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icrosoft YaHei" w:hAnsi="Microsoft YaHei" w:eastAsia="Microsoft YaHei"/>
          <w:b/>
          <w:color w:val="000000"/>
          <w:sz w:val="44"/>
        </w:rPr>
        <w:t>机动车变速箱及其零件对华进口依赖与供应风险分析报告</w:t>
      </w:r>
    </w:p>
    <w:p>
      <w:pPr>
        <w:spacing w:after="320"/>
      </w:pPr>
      <w:r>
        <w:rPr>
          <w:rFonts w:ascii="Microsoft YaHei" w:hAnsi="Microsoft YaHei" w:eastAsia="Microsoft YaHei"/>
          <w:b w:val="0"/>
          <w:color w:val="555555"/>
          <w:sz w:val="22"/>
        </w:rPr>
        <w:t>商品：机动车变速箱及其零件 / Gear boxes and parts thereof · 快照 2026-07-23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00"/>
        <w:gridCol w:w="7060"/>
      </w:tblGrid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真实统计编码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HS6 国际可比口径 870840</w:t>
            </w:r>
          </w:p>
        </w:tc>
      </w:tr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统计口径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HS6 国际可比口径</w:t>
            </w:r>
          </w:p>
        </w:tc>
      </w:tr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2025 自中国进口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188.0 百万美元</w:t>
            </w:r>
          </w:p>
        </w:tc>
      </w:tr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2025 全球进口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1.74 十亿美元</w:t>
            </w:r>
          </w:p>
        </w:tc>
      </w:tr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对华来源占比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10.8%</w:t>
            </w:r>
          </w:p>
        </w:tc>
      </w:tr>
      <w:tr>
        <w:tc>
          <w:tcPr>
            <w:tcW w:type="dxa" w:w="230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结论准确度</w:t>
            </w:r>
          </w:p>
        </w:tc>
        <w:tc>
          <w:tcPr>
            <w:tcW w:type="dxa" w:w="706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高概率：结论基于公开统计与审慎边界。</w:t>
            </w:r>
          </w:p>
        </w:tc>
      </w:tr>
    </w:tbl>
    <w:p/>
    <w:p>
      <w:pPr>
        <w:pStyle w:val="Heading1"/>
      </w:pPr>
      <w:r>
        <w:t>一、核心判断</w:t>
      </w:r>
    </w:p>
    <w:p>
      <w:r>
        <w:t>2025 年，印度进口“机动车变速箱及其零件”中来自中国的金额占比为 10.8%，按本报告阈值属于较低。该判断严格限定于 HS 2022 六位商品编码 870840，不外推至父级税目、具体企业或受控技术参数。</w:t>
      </w:r>
    </w:p>
    <w:p>
      <w:pPr>
        <w:pStyle w:val="Heading1"/>
      </w:pPr>
      <w:r>
        <w:t>二、数据事实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2025 年印度自中国进口 188.0 百万美元，全球进口 1.74 十亿美元，对华来源占比 10.8%。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页面和报告均使用真实的 HS6 国际可比口径 870840；不补零、不使用父级大类代理金额。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剔除中国后，2025 年其他主要供应来源为：日本、韩国、德国、美国、泰国。</w:t>
      </w:r>
    </w:p>
    <w:p>
      <w:pPr>
        <w:pStyle w:val="Heading1"/>
      </w:pPr>
      <w:r>
        <w:t>三、分析</w:t>
      </w:r>
    </w:p>
    <w:p>
      <w:r>
        <w:t>印度自中国进口 188.0 百万美元，相对于该商品进口总额 1.74 十亿美元；比例使用未舍入金额计算，页面显示值仅作四舍五入。</w:t>
      </w:r>
    </w:p>
    <w:p>
      <w:r>
        <w:t>其他供应来源按同一 HS6、同一报告国、同一年度的进口金额排序。它们说明采购来源结构，不等于已经具备同等产能、认证、交付周期或价格条件。</w:t>
      </w:r>
    </w:p>
    <w:p>
      <w:r>
        <w:t>公开贸易数据能够识别来源集中度，但不足以替代企业级 BOM、合同、发票、原产地证书和物流单证。对受控物项还必须核对技术参数、最终用户和最终用途。</w:t>
      </w:r>
    </w:p>
    <w:p>
      <w:pPr>
        <w:pStyle w:val="Heading1"/>
      </w:pPr>
      <w:r>
        <w:t>四、第三国路径与判读边界</w:t>
      </w:r>
    </w:p>
    <w:p>
      <w:r>
        <w:t>当前未取得与 HS6 870840 完全同口径且能够对应同一批货物的逐段单证闭环。即使中国至一个或多个中转国、再至印度的双边金额在同一时期同步上升，也只能作为核验线索；必须再用提单、原产地证书、发票、加工记录或公开查发案例确认。</w:t>
      </w:r>
    </w:p>
    <w:p>
      <w:pPr>
        <w:pStyle w:val="Heading1"/>
      </w:pPr>
      <w:r>
        <w:t>五、结论</w:t>
      </w:r>
    </w:p>
    <w:p>
      <w:r>
        <w:t>机动车变速箱及其零件对华进口来源集中度较低，应保持常态监测。本结论准确度标注为“高概率”，仅适用于 HS6 870840 的 2025 年进口来源结构；后续若取得中国海关 HS8、企业料号和业务单证，应在不改变国际 HS6 可比口径的前提下进一步下钻。</w:t>
      </w:r>
    </w:p>
    <w:p>
      <w:pPr>
        <w:pStyle w:val="Heading1"/>
      </w:pPr>
      <w:r>
        <w:t>六、后续监测重点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HS6 870840 的月度进口金额、数量和对华来源占比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中国海关 HS8、企业料号与印度本国八位税号映射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原产国、装运国、发票国、提单路径与实际加工工序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出口许可证、技术参数、最终用户和最终用途变化</w:t>
      </w:r>
    </w:p>
    <w:p>
      <w:pPr>
        <w:pStyle w:val="Heading1"/>
      </w:pPr>
      <w:r>
        <w:t>七、来源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UN Comtrade 公共 API：reporterCode=699（印度）、partnerCode=0/156、flowCode=M、cmdCode=870840、period=2025；访问 2026-07-23。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印度 DGCI&amp;S TradeStat：月度贸易数据库与编码调整说明。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中国商务部、海关总署及中国出口管制信息网：现行两用物项清单、公告与许可证管理目录。</w:t>
      </w:r>
    </w:p>
    <w:p>
      <w:r>
        <w:t>注：本报告用于公开来源研究和合规初筛，不构成法律意见或个案事实认定。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6666"/>
        <w:sz w:val="18"/>
      </w:rPr>
      <w:t>机动车变速箱及其零件对华进口依赖与供应风险分析报告 · 2026-07-23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666666"/>
        <w:sz w:val="18"/>
      </w:rPr>
      <w:t>中国-印度供应链依赖图谱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