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fldSimple w:instr="TOC \o &quot;1-3&quot; \h \z \u"/>
    </w:p>
    <w:p>
      <w:r>
        <w:rPr>
          <w:rFonts w:ascii="微软雅黑" w:hAnsi="微软雅黑" w:eastAsia="微软雅黑"/>
          <w:color w:val="64748B"/>
          <w:sz w:val="18"/>
        </w:rPr>
        <w:t>（目录为 Word 域：打开文档后按 F9 或右键“更新域”即可生成页码。）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06 · 开源数据集与演示</w:t>
      </w:r>
    </w:p>
    <w:p>
      <w:r>
        <w:rPr>
          <w:rFonts w:ascii="微软雅黑" w:hAnsi="微软雅黑" w:eastAsia="微软雅黑"/>
        </w:rPr>
        <w:t>本页记录仓库内 [</w:t>
      </w:r>
      <w:r>
        <w:rPr>
          <w:rFonts w:ascii="Consolas" w:hAnsi="Consolas" w:eastAsia="Consolas"/>
          <w:color w:val="B03060"/>
          <w:sz w:val="19"/>
        </w:rPr>
        <w:t>datasets/</w:t>
      </w:r>
      <w:r>
        <w:rPr>
          <w:rFonts w:ascii="微软雅黑" w:hAnsi="微软雅黑" w:eastAsia="微软雅黑"/>
        </w:rPr>
        <w:t xml:space="preserve">](https://github.com/moyudoing/MolecuLens/tree/master/datasets) 目录的公开数据集，以及用 </w:t>
      </w:r>
      <w:r>
        <w:rPr>
          <w:rFonts w:ascii="Consolas" w:hAnsi="Consolas" w:eastAsia="Consolas"/>
          <w:color w:val="B03060"/>
          <w:sz w:val="19"/>
        </w:rPr>
        <w:t>moleculens-cli</w:t>
      </w:r>
      <w:r>
        <w:rPr>
          <w:rFonts w:ascii="微软雅黑" w:hAnsi="微软雅黑" w:eastAsia="微软雅黑"/>
        </w:rPr>
        <w:t xml:space="preserve"> 从中生成的可复现演示图。所有图片都是命令行直接渲染的原始 PNG（出版风格、白底、1600×1200 或 1400×1050），没有手工修图或后期合成。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数据规模</w:t>
      </w:r>
      <w:r>
        <w:rPr>
          <w:rFonts w:ascii="微软雅黑" w:hAnsi="微软雅黑" w:eastAsia="微软雅黑"/>
        </w:rPr>
        <w:t>：12 个数据文件，4.29 MiB（清单与 SHA-256 见 [</w:t>
      </w:r>
      <w:r>
        <w:rPr>
          <w:rFonts w:ascii="Consolas" w:hAnsi="Consolas" w:eastAsia="Consolas"/>
          <w:color w:val="B03060"/>
          <w:sz w:val="19"/>
        </w:rPr>
        <w:t>datasets/README.md</w:t>
      </w:r>
      <w:r>
        <w:rPr>
          <w:rFonts w:ascii="微软雅黑" w:hAnsi="微软雅黑" w:eastAsia="微软雅黑"/>
        </w:rPr>
        <w:t>](https://github.com/moyudoing/MolecuLens/blob/master/datasets/README.md)）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覆盖类型</w:t>
      </w:r>
      <w:r>
        <w:rPr>
          <w:rFonts w:ascii="微软雅黑" w:hAnsi="微软雅黑" w:eastAsia="微软雅黑"/>
        </w:rPr>
        <w:t>：蛋白质 / 核酸晶体结构、小分子 3D 构象、分子动力学轨迹、ESP 表面演示夹具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许可原则</w:t>
      </w:r>
      <w:r>
        <w:rPr>
          <w:rFonts w:ascii="微软雅黑" w:hAnsi="微软雅黑" w:eastAsia="微软雅黑"/>
        </w:rPr>
        <w:t>：只收录可再分发的公开数据（wwPDB、PubChem 公有领域、MIT、项目自制），不含 GPL / NC / ND / 来源不明数据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数据集本身</w:t>
      </w:r>
      <w:r>
        <w:rPr>
          <w:rFonts w:ascii="微软雅黑" w:hAnsi="微软雅黑" w:eastAsia="微软雅黑"/>
          <w:b/>
          <w:i/>
          <w:color w:val="475569"/>
        </w:rPr>
        <w:t>不适用</w:t>
      </w:r>
      <w:r>
        <w:rPr>
          <w:rFonts w:ascii="微软雅黑" w:hAnsi="微软雅黑" w:eastAsia="微软雅黑"/>
          <w:i/>
          <w:color w:val="475569"/>
        </w:rPr>
        <w:t xml:space="preserve">本项目的 Apache-2.0；各文件保留上游许可。只有 </w:t>
      </w:r>
      <w:r>
        <w:rPr>
          <w:rFonts w:ascii="Consolas" w:hAnsi="Consolas" w:eastAsia="Consolas"/>
          <w:i/>
          <w:color w:val="475569"/>
          <w:sz w:val="19"/>
        </w:rPr>
        <w:t>datasets/esp/glycine/</w:t>
      </w:r>
      <w:r>
        <w:rPr>
          <w:rFonts w:ascii="微软雅黑" w:hAnsi="微软雅黑" w:eastAsia="微软雅黑"/>
          <w:i/>
          <w:color w:val="475569"/>
        </w:rPr>
        <w:t xml:space="preserve"> 下的合成夹具随项目以 Apache-2.0 发布。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1. 数据集一览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家族</w:t>
            </w:r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文件</w:t>
            </w:r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原子 / 帧</w:t>
            </w:r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来源</w:t>
            </w:r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许可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蛋白质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pdb/1CRN.pdb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crambin，1.50 Å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327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RCSB PDB [1CRN](https://www.rcsb.org/structure/1CRN)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wwPDB 公开数据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蛋白质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pdb/1UBQ.pdb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泛素，1.80 Å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660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RCSB PDB [1UBQ](https://www.rcsb.org/structure/1UBQ)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wwPDB 公开数据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核酸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pdb/1BNA.pdb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B-DNA 十二聚体，1.90 Å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566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RCSB PDB [1BNA](https://www.rcsb.org/structure/1BNA)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wwPDB 公开数据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蛋白质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pdb/4HHB.pdb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人脱氧血红蛋白，1.74 Å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4,779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RCSB PDB [4HHB](https://www.rcsb.org/structure/4HHB)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wwPDB 公开数据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小分子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pubchem/aspirin_2244.sdf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阿司匹林（CID 2244），3D 构象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21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[PubChem](https://pubchem.ncbi.nlm.nih.gov/compound/2244)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公有领域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小分子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pubchem/caffeine_2519.sdf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咖啡因（CID 2519），3D 构象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24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[PubChem](https://pubchem.ncbi.nlm.nih.gov/compound/2519)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公有领域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小分子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pubchem/ibuprofen_3672.sdf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布洛芬（CID 3672），3D 构象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33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[PubChem](https://pubchem.ncbi.nlm.nih.gov/compound/3672)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公有领域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轨迹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md/md_1u19.gro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md_1u19.xtc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视紫红素（PDB 1U19）全原子轨迹，51 帧 × 20 ps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5,547 / 51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[MolSysMT](https://github.com/uibcdf/MolSysMT)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MIT（仓库级）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ESP 夹具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esp/glycine/*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甘氨酸结构 + 合成密度/静电势 cube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10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本项目自制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Apache-2.0</w:t>
            </w:r>
          </w:p>
        </w:tc>
      </w:tr>
    </w:tbl>
    <w:p/>
    <w:p>
      <w:r>
        <w:rPr>
          <w:rFonts w:ascii="微软雅黑" w:hAnsi="微软雅黑" w:eastAsia="微软雅黑"/>
        </w:rPr>
        <w:t xml:space="preserve">完整来源 URL、采集日期、逐文件 SHA-256 与 </w:t>
      </w:r>
      <w:r>
        <w:rPr>
          <w:rFonts w:ascii="Consolas" w:hAnsi="Consolas" w:eastAsia="Consolas"/>
          <w:color w:val="B03060"/>
          <w:sz w:val="19"/>
        </w:rPr>
        <w:t>moleculens-cli info</w:t>
      </w:r>
      <w:r>
        <w:rPr>
          <w:rFonts w:ascii="微软雅黑" w:hAnsi="微软雅黑" w:eastAsia="微软雅黑"/>
        </w:rPr>
        <w:t xml:space="preserve"> 实测结果见 [</w:t>
      </w:r>
      <w:r>
        <w:rPr>
          <w:rFonts w:ascii="Consolas" w:hAnsi="Consolas" w:eastAsia="Consolas"/>
          <w:color w:val="B03060"/>
          <w:sz w:val="19"/>
        </w:rPr>
        <w:t>datasets/README.md</w:t>
      </w:r>
      <w:r>
        <w:rPr>
          <w:rFonts w:ascii="微软雅黑" w:hAnsi="微软雅黑" w:eastAsia="微软雅黑"/>
        </w:rPr>
        <w:t>](https://github.com/moyudoing/MolecuLens/blob/master/datasets/README.md)。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2. 演示图库</w:t>
      </w:r>
    </w:p>
    <w:p>
      <w:pPr>
        <w:pStyle w:val="Heading3"/>
      </w:pPr>
      <w:r>
        <w:rPr>
          <w:rFonts w:ascii="微软雅黑" w:hAnsi="微软雅黑" w:eastAsia="微软雅黑"/>
        </w:rPr>
        <w:t>2.1 蛋白质与核酸结构</w:t>
      </w:r>
    </w:p>
    <w:p>
      <w:r>
        <w:rPr>
          <w:rFonts w:ascii="微软雅黑" w:hAnsi="微软雅黑" w:eastAsia="微软雅黑"/>
        </w:rPr>
        <w:t>&lt;table&gt;&lt;tr&gt;&lt;td width="50%"&gt;&lt;img src="figs_v2/demo/1crn_newcartoon.png" alt="1CRN 卡通表示"&gt;&lt;br&gt;&lt;sub&gt;&lt;b&gt;1CRN · 改进卡通&lt;/b&gt; —— crambin（327 原子），白底出版风格；&lt;code&gt;--repr newcartoon&lt;/code&gt;。&lt;/sub&gt;&lt;/td&gt;&lt;td width="50%"&gt;&lt;img src="figs_v2/demo/4hhb_cartoon.png" alt="4HHB 卡通表示"&gt;&lt;br&gt;&lt;sub&gt;&lt;b&gt;4HHB · 卡通 + 按链配色&lt;/b&gt; —— 人脱氧血红蛋白四聚体（4,779 原子），血红素以球棍显示。&lt;/sub&gt;&lt;/td&gt;&lt;/tr&gt;&lt;tr&gt;&lt;td width="50%"&gt;&lt;img src="figs_v2/demo/1bna_stick.png" alt="1BNA 棒状表示"&gt;&lt;br&gt;&lt;sub&gt;&lt;b&gt;1BNA · 棒状 + 侧视&lt;/b&gt; —— B-DNA 十二聚体；选择表达式 &lt;code&gt;not resname HOH&lt;/code&gt; 去掉 80 个结晶水。&lt;/sub&gt;&lt;/td&gt;&lt;td width="50%"&gt;&lt;img src="figs_v2/demo/4hhb_quicksurf.png" alt="4HHB 快速表面"&gt;&lt;br&gt;&lt;sub&gt;&lt;b&gt;4HHB · QuickSurf 表面&lt;/b&gt; —— 整体系密度表面 + 按链配色，CPU Marching Cubes。&lt;/sub&gt;&lt;/td&gt;&lt;/tr&gt;&lt;/table&gt;</w:t>
      </w:r>
    </w:p>
    <w:p>
      <w:r>
        <w:rPr>
          <w:rFonts w:ascii="微软雅黑" w:hAnsi="微软雅黑" w:eastAsia="微软雅黑"/>
        </w:rPr>
        <w:t>&lt;details&gt;&lt;summary&gt;复现命令&lt;/summary&gt;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$cli = "build\src\cli\Release\moleculens-cli.exe"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# 1CRN：改进卡通，收紧取景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&amp; $cli render datasets\pdb\1CRN.pdb --repr newcartoon --zoom 1.5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--style publication --bg white --size 1600 --height 1200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--out docs\figs_v2\demo\1crn_newcartoon.png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# 4HHB：卡通 + 按链配色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&amp; $cli render datasets\pdb\4HHB.pdb --repr cartoon --coloring chain --zoom 1.35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--style publication --bg white --size 1600 --height 1200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--out docs\figs_v2\demo\4hhb_cartoon.png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# 1BNA：棒状、侧视、去掉水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&amp; $cli render datasets\pdb\1BNA.pdb --rep "stick:not resname HOH:element" --camera side --zoom 1.2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--style publication --bg white --size 1600 --height 1200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--out docs\figs_v2\demo\1bna_stick.png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# 4HHB：整体系 QuickSurf 表面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&amp; $cli render datasets\pdb\4HHB.pdb --rep "quicksurf:all:chain" --zoom 1.35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--style publication --bg white --size 1600 --height 1200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--out docs\figs_v2\demo\4hhb_quicksurf.png</w:t>
      </w:r>
    </w:p>
    <w:p/>
    <w:p>
      <w:r>
        <w:rPr>
          <w:rFonts w:ascii="微软雅黑" w:hAnsi="微软雅黑" w:eastAsia="微软雅黑"/>
        </w:rPr>
        <w:t>&lt;/details&gt;</w:t>
      </w:r>
    </w:p>
    <w:p>
      <w:pPr>
        <w:pStyle w:val="Heading3"/>
      </w:pPr>
      <w:r>
        <w:rPr>
          <w:rFonts w:ascii="微软雅黑" w:hAnsi="微软雅黑" w:eastAsia="微软雅黑"/>
        </w:rPr>
        <w:t>2.2 小分子</w:t>
      </w:r>
    </w:p>
    <w:p>
      <w:r>
        <w:rPr>
          <w:rFonts w:ascii="微软雅黑" w:hAnsi="微软雅黑" w:eastAsia="微软雅黑"/>
        </w:rPr>
        <w:t>&lt;table&gt;&lt;tr&gt;&lt;td width="50%"&gt;&lt;img src="figs_v2/demo/aspirin_ballstick.png" alt="阿司匹林球棍"&gt;&lt;br&gt;&lt;sub&gt;&lt;b&gt;阿司匹林 · 球棍&lt;/b&gt; —— PubChem 3D 构象（21 原子），元素 CPK 配色。&lt;/sub&gt;&lt;/td&gt;&lt;td width="50%"&gt;&lt;img src="figs_v2/demo/caffeine_spacefill.png" alt="咖啡因空间填充"&gt;&lt;br&gt;&lt;sub&gt;&lt;b&gt;咖啡因 · 空间填充&lt;/b&gt; —— 24 原子，范德华球展示分子外形。&lt;/sub&gt;&lt;/td&gt;&lt;/tr&gt;&lt;tr&gt;&lt;td width="50%"&gt;&lt;img src="figs_v2/demo/aspirin_rt.png" alt="阿司匹林光追"&gt;&lt;br&gt;&lt;sub&gt;&lt;b&gt;阿司匹林 · CPU 光追&lt;/b&gt; —— 4 spp，柔和阴影与球体反射，无需 GPU。&lt;/sub&gt;&lt;/td&gt;&lt;td width="50%"&gt;&lt;sub&gt;&lt;b&gt;格式说明&lt;/b&gt; —— 三个 SDF 都是 PubChem 的 V2000 记录，含 3D 坐标；文件名带 CID 便于回溯。记录尾部的 SD 属性块会让 CLI 打印一条 &lt;code&gt;unsupported SDF/MOL version&lt;/code&gt; 告警，分子本身解析正常。&lt;/sub&gt;&lt;/td&gt;&lt;/tr&gt;&lt;/table&gt;</w:t>
      </w:r>
    </w:p>
    <w:p>
      <w:r>
        <w:rPr>
          <w:rFonts w:ascii="微软雅黑" w:hAnsi="微软雅黑" w:eastAsia="微软雅黑"/>
        </w:rPr>
        <w:t>&lt;details&gt;&lt;summary&gt;复现命令&lt;/summary&gt;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# 阿司匹林：球棍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&amp; $cli render datasets\pubchem\aspirin_2244.sdf --repr ballstick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--style publication --bg white --size 1400 --height 1050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--out docs\figs_v2\demo\aspirin_ballstick.png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# 咖啡因：空间填充（拉远一点，避免球被裁切）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&amp; $cli render datasets\pubchem\caffeine_2519.sdf --repr spacefill --zoom 0.8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--style publication --bg white --size 1400 --height 1050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--out docs\figs_v2\demo\caffeine_spacefill.png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# 阿司匹林：CPU 光追 4 spp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&amp; $cli render datasets\pubchem\aspirin_2244.sdf --repr ballstick --rt 4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--style publication --bg white --size 1400 --height 1050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--out docs\figs_v2\demo\aspirin_rt.png</w:t>
      </w:r>
    </w:p>
    <w:p/>
    <w:p>
      <w:r>
        <w:rPr>
          <w:rFonts w:ascii="微软雅黑" w:hAnsi="微软雅黑" w:eastAsia="微软雅黑"/>
        </w:rPr>
        <w:t>&lt;/details&gt;</w:t>
      </w:r>
    </w:p>
    <w:p>
      <w:pPr>
        <w:pStyle w:val="Heading3"/>
      </w:pPr>
      <w:r>
        <w:rPr>
          <w:rFonts w:ascii="微软雅黑" w:hAnsi="微软雅黑" w:eastAsia="微软雅黑"/>
        </w:rPr>
        <w:t>2.3 轨迹与 ESP 表面</w:t>
      </w:r>
    </w:p>
    <w:p>
      <w:r>
        <w:rPr>
          <w:rFonts w:ascii="微软雅黑" w:hAnsi="微软雅黑" w:eastAsia="微软雅黑"/>
        </w:rPr>
        <w:t>&lt;table&gt;&lt;tr&gt;&lt;td width="50%"&gt;&lt;img src="figs_v2/demo/md_1u19_frame25.png" alt="视紫红素轨迹第 25 帧"&gt;&lt;br&gt;&lt;sub&gt;&lt;b&gt;轨迹第 25 帧&lt;/b&gt; —— 视紫红素 5,547 原子、51 帧 × 20 ps；帧号可精确跳转。&lt;/sub&gt;&lt;/td&gt;&lt;td width="50%"&gt;&lt;img src="figs_v2/demo/glycine_esp.png" alt="甘氨酸 ESP 映射表面"&gt;&lt;br&gt;&lt;sub&gt;&lt;b&gt;ESP 映射表面&lt;/b&gt; —— 密度等值面按静电势逐顶点着色，附色标条与极值标注（合成夹具，仅演示管线）。&lt;/sub&gt;&lt;/td&gt;&lt;/tr&gt;&lt;/table&gt;</w:t>
      </w:r>
    </w:p>
    <w:p>
      <w:r>
        <w:rPr>
          <w:rFonts w:ascii="微软雅黑" w:hAnsi="微软雅黑" w:eastAsia="微软雅黑"/>
        </w:rPr>
        <w:t>&lt;details&gt;&lt;summary&gt;复现命令&lt;/summary&gt;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# 轨迹第 25 帧（.gro 拓扑 + .xtc 轨迹）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&amp; $cli render datasets\md\md_1u19.gro --traj datasets\md\md_1u19.xtc --frame 25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--repr stick --zoom 1.35 --style publication --bg white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--size 1600 --height 1200 --out docs\figs_v2\demo\md_1u19_frame25.png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# ESP 映射表面：结构 + 密度 cube + 静电势 cube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&amp; $cli render datasets\esp\glycine\glycine.pdb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--esp datasets\esp\glycine\glycine_esp.cube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--density datasets\esp\glycine\glycine_density.cube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--repr stick --cmap coolwarm --style publication --bg white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--size 1400 --height 1050 --out docs\figs_v2\demo\glycine_esp.png</w:t>
      </w:r>
    </w:p>
    <w:p/>
    <w:p>
      <w:r>
        <w:rPr>
          <w:rFonts w:ascii="微软雅黑" w:hAnsi="微软雅黑" w:eastAsia="微软雅黑"/>
        </w:rPr>
        <w:t>&lt;/details&gt;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3. 从零复现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# 1) 构建（需要 CMake &gt;= 3.21、C++20 编译器、Vulkan SDK、vcpkg）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cmake -B build -S . -DCMAKE_BUILD_TYPE=Release `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   -DCMAKE_TOOLCHAIN_FILE="$env:VCPKG_ROOT/scripts/buildsystems/vcpkg.cmake"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cmake --build build --config Release -j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# 2) 确认数据可读（原子数 / 帧数应与此页一致）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build\src\cli\Release\moleculens-cli.exe info datasets\pdb\1CRN.pdb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build\src\cli\Release\moleculens-cli.exe info datasets\md\md_1u19.gro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# 3) 渲染任意一张演示图：把第 2 节的命令复制执行即可</w:t>
      </w:r>
    </w:p>
    <w:p/>
    <w:p>
      <w:r>
        <w:rPr>
          <w:rFonts w:ascii="微软雅黑" w:hAnsi="微软雅黑" w:eastAsia="微软雅黑"/>
        </w:rPr>
        <w:t xml:space="preserve">Linux / macOS 下把可执行文件路径换成 </w:t>
      </w:r>
      <w:r>
        <w:rPr>
          <w:rFonts w:ascii="Consolas" w:hAnsi="Consolas" w:eastAsia="Consolas"/>
          <w:color w:val="B03060"/>
          <w:sz w:val="19"/>
        </w:rPr>
        <w:t>./build/src/cli/moleculens-cli</w:t>
      </w:r>
      <w:r>
        <w:rPr>
          <w:rFonts w:ascii="微软雅黑" w:hAnsi="微软雅黑" w:eastAsia="微软雅黑"/>
        </w:rPr>
        <w:t xml:space="preserve">，数据路径分隔符换成 </w:t>
      </w:r>
      <w:r>
        <w:rPr>
          <w:rFonts w:ascii="Consolas" w:hAnsi="Consolas" w:eastAsia="Consolas"/>
          <w:color w:val="B03060"/>
          <w:sz w:val="19"/>
        </w:rPr>
        <w:t>/</w:t>
      </w:r>
      <w:r>
        <w:rPr>
          <w:rFonts w:ascii="微软雅黑" w:hAnsi="微软雅黑" w:eastAsia="微软雅黑"/>
        </w:rPr>
        <w:t>；CLI 参数完全一致。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4. 数据来源、引用与许可</w:t>
      </w:r>
    </w:p>
    <w:p>
      <w:pPr>
        <w:pStyle w:val="Heading3"/>
      </w:pPr>
      <w:r>
        <w:rPr>
          <w:rFonts w:ascii="微软雅黑" w:hAnsi="微软雅黑" w:eastAsia="微软雅黑"/>
        </w:rPr>
        <w:t>4.1 引用建议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PDB 条目</w:t>
      </w:r>
      <w:r>
        <w:rPr>
          <w:rFonts w:ascii="微软雅黑" w:hAnsi="微软雅黑" w:eastAsia="微软雅黑"/>
        </w:rPr>
        <w:t>：在论文中写清 PDB ID 与原始文献。建议格式：</w:t>
      </w:r>
    </w:p>
    <w:p>
      <w:r>
        <w:rPr>
          <w:rFonts w:ascii="Consolas" w:hAnsi="Consolas" w:eastAsia="Consolas"/>
          <w:color w:val="B03060"/>
          <w:sz w:val="19"/>
        </w:rPr>
        <w:t>Crambin (PDB 1CRN; Teeter &amp; Hendrickson, J. Mol. Biol. 1981)</w:t>
      </w:r>
      <w:r>
        <w:rPr>
          <w:rFonts w:ascii="微软雅黑" w:hAnsi="微软雅黑" w:eastAsia="微软雅黑"/>
        </w:rPr>
        <w:t>。四条目的完整文献信息见 [</w:t>
      </w:r>
      <w:r>
        <w:rPr>
          <w:rFonts w:ascii="Consolas" w:hAnsi="Consolas" w:eastAsia="Consolas"/>
          <w:color w:val="B03060"/>
          <w:sz w:val="19"/>
        </w:rPr>
        <w:t>datasets/README.md</w:t>
      </w:r>
      <w:r>
        <w:rPr>
          <w:rFonts w:ascii="微软雅黑" w:hAnsi="微软雅黑" w:eastAsia="微软雅黑"/>
        </w:rPr>
        <w:t xml:space="preserve"> §2](https://github.com/moyudoing/MolecuLens/blob/master/datasets/README.md#2-蛋白质与核酸结构--rcsb-pdb)。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PubChem</w:t>
      </w:r>
      <w:r>
        <w:rPr>
          <w:rFonts w:ascii="微软雅黑" w:hAnsi="微软雅黑" w:eastAsia="微软雅黑"/>
        </w:rPr>
        <w:t xml:space="preserve">：注明 </w:t>
      </w:r>
      <w:r>
        <w:rPr>
          <w:rFonts w:ascii="Consolas" w:hAnsi="Consolas" w:eastAsia="Consolas"/>
          <w:color w:val="B03060"/>
          <w:sz w:val="19"/>
        </w:rPr>
        <w:t>PubChem CID 2244 / 2519 / 3672</w:t>
      </w:r>
      <w:r>
        <w:rPr>
          <w:rFonts w:ascii="微软雅黑" w:hAnsi="微软雅黑" w:eastAsia="微软雅黑"/>
        </w:rPr>
        <w:t xml:space="preserve">，并引用 PubChem 数据库（Kim et al., </w:t>
      </w:r>
      <w:r>
        <w:rPr>
          <w:rFonts w:ascii="微软雅黑" w:hAnsi="微软雅黑" w:eastAsia="微软雅黑"/>
          <w:i/>
        </w:rPr>
        <w:t>Nucleic Acids Res.</w:t>
      </w:r>
      <w:r>
        <w:rPr>
          <w:rFonts w:ascii="微软雅黑" w:hAnsi="微软雅黑" w:eastAsia="微软雅黑"/>
        </w:rPr>
        <w:t>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MolSysMT 轨迹</w:t>
      </w:r>
      <w:r>
        <w:rPr>
          <w:rFonts w:ascii="微软雅黑" w:hAnsi="微软雅黑" w:eastAsia="微软雅黑"/>
        </w:rPr>
        <w:t>：注明数据随 [MolSysMT](https://github.com/uibcdf/MolSysMT)（MIT）分发；上游未提供独立数据 DOI，详见清单 §4 的溯源说明。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甘氨酸 ESP 夹具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合成数据</w:t>
      </w:r>
      <w:r>
        <w:rPr>
          <w:rFonts w:ascii="微软雅黑" w:hAnsi="微软雅黑" w:eastAsia="微软雅黑"/>
        </w:rPr>
        <w:t>，只用于软件管线演示，不得作为科学结果引用。</w:t>
      </w:r>
    </w:p>
    <w:p>
      <w:pPr>
        <w:pStyle w:val="Heading3"/>
      </w:pPr>
      <w:r>
        <w:rPr>
          <w:rFonts w:ascii="微软雅黑" w:hAnsi="微软雅黑" w:eastAsia="微软雅黑"/>
        </w:rPr>
        <w:t>4.2 许可边界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许可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能否以 Apache-2.0 再授权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MolecuLens 源代码、着色器、文档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Apache-2.0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datasets/esp/glycine/*</w:t>
            </w:r>
            <w:r>
              <w:rPr>
                <w:rFonts w:ascii="微软雅黑" w:hAnsi="微软雅黑" w:eastAsia="微软雅黑"/>
              </w:rPr>
              <w:t>（自制合成夹具）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Apache-2.0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datasets/pdb/*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wwPDB 公开数据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❌ 保留上游条款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datasets/pubchem/*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公有领域（US NIH）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❌ 保留上游说明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datasets/md/*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MIT（MolSysMT 仓库级）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❌ 需保留版权与许可文本</w:t>
            </w:r>
          </w:p>
        </w:tc>
      </w:tr>
    </w:tbl>
    <w:p/>
    <w:p>
      <w:r>
        <w:rPr>
          <w:rFonts w:ascii="微软雅黑" w:hAnsi="微软雅黑" w:eastAsia="微软雅黑"/>
        </w:rPr>
        <w:t>第三方库、字体与测试数据的完整声明见 [</w:t>
      </w:r>
      <w:r>
        <w:rPr>
          <w:rFonts w:ascii="Consolas" w:hAnsi="Consolas" w:eastAsia="Consolas"/>
          <w:color w:val="B03060"/>
          <w:sz w:val="19"/>
        </w:rPr>
        <w:t>THIRD_PARTY_NOTICES.md</w:t>
      </w:r>
      <w:r>
        <w:rPr>
          <w:rFonts w:ascii="微软雅黑" w:hAnsi="微软雅黑" w:eastAsia="微软雅黑"/>
        </w:rPr>
        <w:t>](https://github.com/moyudoing/MolecuLens/blob/master/THIRD_PARTY_NOTICES.md)。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5. 注意事项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ESP cube 是合成数据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glycine_density.cube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glycine_esp.cube</w:t>
      </w:r>
      <w:r>
        <w:rPr>
          <w:rFonts w:ascii="微软雅黑" w:hAnsi="微软雅黑" w:eastAsia="微软雅黑"/>
        </w:rPr>
        <w:t xml:space="preserve"> 由解析密度与点电荷场生成，仅验证等值面、色标与透明度管线；不能用于比较实验静电势或得出化学结论。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SDF 告警属预期</w:t>
      </w:r>
      <w:r>
        <w:rPr>
          <w:rFonts w:ascii="微软雅黑" w:hAnsi="微软雅黑" w:eastAsia="微软雅黑"/>
        </w:rPr>
        <w:t xml:space="preserve">：PubChem 记录尾部的 </w:t>
      </w:r>
      <w:r>
        <w:rPr>
          <w:rFonts w:ascii="Consolas" w:hAnsi="Consolas" w:eastAsia="Consolas"/>
          <w:color w:val="B03060"/>
          <w:sz w:val="19"/>
        </w:rPr>
        <w:t>&gt; &lt;PUBCHEM_...&gt;</w:t>
      </w:r>
      <w:r>
        <w:rPr>
          <w:rFonts w:ascii="微软雅黑" w:hAnsi="微软雅黑" w:eastAsia="微软雅黑"/>
        </w:rPr>
        <w:t xml:space="preserve"> 属性块会触发 </w:t>
      </w:r>
      <w:r>
        <w:rPr>
          <w:rFonts w:ascii="Consolas" w:hAnsi="Consolas" w:eastAsia="Consolas"/>
          <w:color w:val="B03060"/>
          <w:sz w:val="19"/>
        </w:rPr>
        <w:t>unsupported SDF/MOL version</w:t>
      </w:r>
      <w:r>
        <w:rPr>
          <w:rFonts w:ascii="微软雅黑" w:hAnsi="微软雅黑" w:eastAsia="微软雅黑"/>
        </w:rPr>
        <w:t>，分子解析与渲染不受影响。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`.gro` 拓扑不支持卡通</w:t>
      </w:r>
      <w:r>
        <w:rPr>
          <w:rFonts w:ascii="微软雅黑" w:hAnsi="微软雅黑" w:eastAsia="微软雅黑"/>
        </w:rPr>
        <w:t xml:space="preserve">：对 </w:t>
      </w:r>
      <w:r>
        <w:rPr>
          <w:rFonts w:ascii="Consolas" w:hAnsi="Consolas" w:eastAsia="Consolas"/>
          <w:color w:val="B03060"/>
          <w:sz w:val="19"/>
        </w:rPr>
        <w:t>md_1u19.gro</w:t>
      </w:r>
      <w:r>
        <w:rPr>
          <w:rFonts w:ascii="微软雅黑" w:hAnsi="微软雅黑" w:eastAsia="微软雅黑"/>
        </w:rPr>
        <w:t xml:space="preserve"> 用 </w:t>
      </w:r>
      <w:r>
        <w:rPr>
          <w:rFonts w:ascii="Consolas" w:hAnsi="Consolas" w:eastAsia="Consolas"/>
          <w:color w:val="B03060"/>
          <w:sz w:val="19"/>
        </w:rPr>
        <w:t>--repr cartoon</w:t>
      </w:r>
      <w:r>
        <w:rPr>
          <w:rFonts w:ascii="微软雅黑" w:hAnsi="微软雅黑" w:eastAsia="微软雅黑"/>
        </w:rPr>
        <w:t xml:space="preserve"> 会得到空白图（PDB 输入正常）；轨迹演示请用 </w:t>
      </w:r>
      <w:r>
        <w:rPr>
          <w:rFonts w:ascii="Consolas" w:hAnsi="Consolas" w:eastAsia="Consolas"/>
          <w:color w:val="B03060"/>
          <w:sz w:val="19"/>
        </w:rPr>
        <w:t>stick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ballstick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1CRN 只有 3 条键</w:t>
      </w:r>
      <w:r>
        <w:rPr>
          <w:rFonts w:ascii="微软雅黑" w:hAnsi="微软雅黑" w:eastAsia="微软雅黑"/>
        </w:rPr>
        <w:t xml:space="preserve">：原始 PDB 没有完整 </w:t>
      </w:r>
      <w:r>
        <w:rPr>
          <w:rFonts w:ascii="Consolas" w:hAnsi="Consolas" w:eastAsia="Consolas"/>
          <w:color w:val="B03060"/>
          <w:sz w:val="19"/>
        </w:rPr>
        <w:t>CONECT</w:t>
      </w:r>
      <w:r>
        <w:rPr>
          <w:rFonts w:ascii="微软雅黑" w:hAnsi="微软雅黑" w:eastAsia="微软雅黑"/>
        </w:rPr>
        <w:t xml:space="preserve"> 记录，属文件特征，不影响卡通/棒状按残基连线。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轨迹溯源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md_1u19.*</w:t>
      </w:r>
      <w:r>
        <w:rPr>
          <w:rFonts w:ascii="微软雅黑" w:hAnsi="微软雅黑" w:eastAsia="微软雅黑"/>
        </w:rPr>
        <w:t xml:space="preserve"> 来自 MIT 许可的 MolSysMT 仓库，但上游没有单独的数据 DOI；若论文需要严格可追溯引用，请替换为带 DOI 的数据集（清单中已标注）。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不要新增不可再分发数据</w:t>
      </w:r>
      <w:r>
        <w:rPr>
          <w:rFonts w:ascii="微软雅黑" w:hAnsi="微软雅黑" w:eastAsia="微软雅黑"/>
        </w:rPr>
        <w:t xml:space="preserve">：提交前确认许可为公有领域 / CC0 / CC-BY / MIT / BSD 等；禁止 GPL、NC、ND 与来源不明文件。新增数据需同时更新 </w:t>
      </w:r>
      <w:r>
        <w:rPr>
          <w:rFonts w:ascii="Consolas" w:hAnsi="Consolas" w:eastAsia="Consolas"/>
          <w:color w:val="B03060"/>
          <w:sz w:val="19"/>
        </w:rPr>
        <w:t>datasets/README.md</w:t>
      </w:r>
      <w:r>
        <w:rPr>
          <w:rFonts w:ascii="微软雅黑" w:hAnsi="微软雅黑" w:eastAsia="微软雅黑"/>
        </w:rPr>
        <w:t xml:space="preserve"> 的来源、许可、SHA-256 与 </w:t>
      </w:r>
      <w:r>
        <w:rPr>
          <w:rFonts w:ascii="Consolas" w:hAnsi="Consolas" w:eastAsia="Consolas"/>
          <w:color w:val="B03060"/>
          <w:sz w:val="19"/>
        </w:rPr>
        <w:t>info</w:t>
      </w:r>
      <w:r>
        <w:rPr>
          <w:rFonts w:ascii="微软雅黑" w:hAnsi="微软雅黑" w:eastAsia="微软雅黑"/>
        </w:rPr>
        <w:t xml:space="preserve"> 实测结果。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6. 相关文档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[DFT 常用绘图指南](05-DFT常用绘图指南.md) —— cube 的单位、等值面阈值与 ESP 出图参数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[使用说明](03-使用说明.md) —— CLI 参数全集与 GUI 操作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[数据集清单](https://github.com/moyudoing/MolecuLens/blob/master/datasets/README.md) —— 逐文件来源、哈希与校验命令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[第三方声明](https://github.com/moyudoing/MolecuLens/blob/master/THIRD_PARTY_NOTICES.md) —— 字体、库与测试数据许可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2937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