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sz w:val="52"/>
        </w:rPr>
        <w:t>药材烘干过程数值模拟软件</w:t>
      </w:r>
    </w:p>
    <w:p>
      <w:pPr>
        <w:jc w:val="center"/>
      </w:pPr>
      <w:r>
        <w:rPr>
          <w:rFonts w:ascii="黑体" w:hAnsi="黑体" w:eastAsia="黑体"/>
          <w:sz w:val="30"/>
        </w:rPr>
        <w:t>（V1.0）</w:t>
      </w:r>
    </w:p>
    <w:p>
      <w:pPr>
        <w:jc w:val="center"/>
      </w:pPr>
    </w:p>
    <w:p>
      <w:pPr>
        <w:jc w:val="center"/>
      </w:pPr>
      <w:r>
        <w:rPr>
          <w:rFonts w:ascii="黑体" w:hAnsi="黑体" w:eastAsia="黑体"/>
          <w:sz w:val="40"/>
        </w:rPr>
        <w:t>用  户  手  册</w:t>
      </w:r>
    </w:p>
    <w:p/>
    <w:p/>
    <w:p/>
    <w:p/>
    <w:p/>
    <w:p/>
    <w:p/>
    <w:p/>
    <w:p>
      <w:pPr>
        <w:jc w:val="center"/>
      </w:pPr>
      <w:r>
        <w:rPr>
          <w:rFonts w:ascii="宋体" w:hAnsi="宋体" w:eastAsia="宋体"/>
          <w:sz w:val="25"/>
        </w:rPr>
        <w:t>著作权人：</w:t>
      </w:r>
    </w:p>
    <w:p>
      <w:pPr>
        <w:jc w:val="center"/>
      </w:pPr>
      <w:r>
        <w:rPr>
          <w:rFonts w:ascii="宋体" w:hAnsi="宋体" w:eastAsia="宋体"/>
          <w:sz w:val="25"/>
        </w:rPr>
        <w:t>编制日期：2026 年 9 月</w:t>
      </w:r>
    </w:p>
    <w:p>
      <w:r>
        <w:br w:type="page"/>
      </w:r>
    </w:p>
    <w:p>
      <w:pPr>
        <w:pStyle w:val="Heading1"/>
      </w:pPr>
      <w:r>
        <w:t>目  录</w:t>
      </w:r>
    </w:p>
    <w:p>
      <w:pPr>
        <w:spacing w:after="40"/>
        <w:ind w:left="0"/>
      </w:pPr>
      <w:r>
        <w:rPr>
          <w:b/>
        </w:rPr>
        <w:t>一、软件概述</w:t>
      </w:r>
    </w:p>
    <w:p>
      <w:pPr>
        <w:spacing w:after="40"/>
        <w:ind w:left="120"/>
      </w:pPr>
      <w:r>
        <w:t xml:space="preserve">    1.1 名称与版本</w:t>
      </w:r>
    </w:p>
    <w:p>
      <w:pPr>
        <w:spacing w:after="40"/>
        <w:ind w:left="120"/>
      </w:pPr>
      <w:r>
        <w:t xml:space="preserve">    1.2 开发目的</w:t>
      </w:r>
    </w:p>
    <w:p>
      <w:pPr>
        <w:spacing w:after="40"/>
        <w:ind w:left="120"/>
      </w:pPr>
      <w:r>
        <w:t xml:space="preserve">    1.3 适用范围</w:t>
      </w:r>
    </w:p>
    <w:p>
      <w:pPr>
        <w:spacing w:after="40"/>
        <w:ind w:left="120"/>
      </w:pPr>
      <w:r>
        <w:t xml:space="preserve">    1.4 运行环境</w:t>
      </w:r>
    </w:p>
    <w:p>
      <w:pPr>
        <w:spacing w:after="40"/>
        <w:ind w:left="0"/>
      </w:pPr>
      <w:r>
        <w:rPr>
          <w:b/>
        </w:rPr>
        <w:t>二、软件结构</w:t>
      </w:r>
    </w:p>
    <w:p>
      <w:pPr>
        <w:spacing w:after="40"/>
        <w:ind w:left="120"/>
      </w:pPr>
      <w:r>
        <w:t xml:space="preserve">    2.1 体系结构</w:t>
      </w:r>
    </w:p>
    <w:p>
      <w:pPr>
        <w:spacing w:after="40"/>
        <w:ind w:left="120"/>
      </w:pPr>
      <w:r>
        <w:t xml:space="preserve">    2.2 求解流程</w:t>
      </w:r>
    </w:p>
    <w:p>
      <w:pPr>
        <w:spacing w:after="40"/>
        <w:ind w:left="120"/>
      </w:pPr>
      <w:r>
        <w:t xml:space="preserve">    2.3 计算模型</w:t>
      </w:r>
    </w:p>
    <w:p>
      <w:pPr>
        <w:spacing w:after="40"/>
        <w:ind w:left="0"/>
      </w:pPr>
      <w:r>
        <w:rPr>
          <w:b/>
        </w:rPr>
        <w:t>三、功能模块</w:t>
      </w:r>
    </w:p>
    <w:p>
      <w:pPr>
        <w:spacing w:after="40"/>
        <w:ind w:left="120"/>
      </w:pPr>
      <w:r>
        <w:t xml:space="preserve">    3.1 预热阶段模拟</w:t>
      </w:r>
    </w:p>
    <w:p>
      <w:pPr>
        <w:spacing w:after="40"/>
        <w:ind w:left="120"/>
      </w:pPr>
      <w:r>
        <w:t xml:space="preserve">    3.2 全周期干燥模拟</w:t>
      </w:r>
    </w:p>
    <w:p>
      <w:pPr>
        <w:spacing w:after="40"/>
        <w:ind w:left="120"/>
      </w:pPr>
      <w:r>
        <w:t xml:space="preserve">    3.3 干燥时长预测</w:t>
      </w:r>
    </w:p>
    <w:p>
      <w:pPr>
        <w:spacing w:after="40"/>
        <w:ind w:left="120"/>
      </w:pPr>
      <w:r>
        <w:t xml:space="preserve">    3.4 收缩工况模拟</w:t>
      </w:r>
    </w:p>
    <w:p>
      <w:pPr>
        <w:spacing w:after="40"/>
        <w:ind w:left="0"/>
      </w:pPr>
      <w:r>
        <w:rPr>
          <w:b/>
        </w:rPr>
        <w:t>四、界面说明</w:t>
      </w:r>
    </w:p>
    <w:p>
      <w:pPr>
        <w:spacing w:after="40"/>
        <w:ind w:left="120"/>
      </w:pPr>
      <w:r>
        <w:t xml:space="preserve">    4.1 主界面</w:t>
      </w:r>
    </w:p>
    <w:p>
      <w:pPr>
        <w:spacing w:after="40"/>
        <w:ind w:left="120"/>
      </w:pPr>
      <w:r>
        <w:t xml:space="preserve">    4.2 参数区</w:t>
      </w:r>
    </w:p>
    <w:p>
      <w:pPr>
        <w:spacing w:after="40"/>
        <w:ind w:left="120"/>
      </w:pPr>
      <w:r>
        <w:t xml:space="preserve">    4.3 运行控制</w:t>
      </w:r>
    </w:p>
    <w:p>
      <w:pPr>
        <w:spacing w:after="40"/>
        <w:ind w:left="120"/>
      </w:pPr>
      <w:r>
        <w:t xml:space="preserve">    4.4 实时监控</w:t>
      </w:r>
    </w:p>
    <w:p>
      <w:pPr>
        <w:spacing w:after="40"/>
        <w:ind w:left="120"/>
      </w:pPr>
      <w:r>
        <w:t xml:space="preserve">    4.5 结果查看</w:t>
      </w:r>
    </w:p>
    <w:p>
      <w:pPr>
        <w:spacing w:after="40"/>
        <w:ind w:left="120"/>
      </w:pPr>
      <w:r>
        <w:t xml:space="preserve">    4.6 守恒校核</w:t>
      </w:r>
    </w:p>
    <w:p>
      <w:pPr>
        <w:spacing w:after="40"/>
        <w:ind w:left="0"/>
      </w:pPr>
      <w:r>
        <w:rPr>
          <w:b/>
        </w:rPr>
        <w:t>五、使用流程</w:t>
      </w:r>
    </w:p>
    <w:p>
      <w:pPr>
        <w:spacing w:after="40"/>
        <w:ind w:left="120"/>
      </w:pPr>
      <w:r>
        <w:t xml:space="preserve">    5.1 构建与准备</w:t>
      </w:r>
    </w:p>
    <w:p>
      <w:pPr>
        <w:spacing w:after="40"/>
        <w:ind w:left="120"/>
      </w:pPr>
      <w:r>
        <w:t xml:space="preserve">    5.2 运行求解</w:t>
      </w:r>
    </w:p>
    <w:p>
      <w:pPr>
        <w:spacing w:after="40"/>
        <w:ind w:left="120"/>
      </w:pPr>
      <w:r>
        <w:t xml:space="preserve">    5.3 结果导出</w:t>
      </w:r>
    </w:p>
    <w:p>
      <w:pPr>
        <w:spacing w:after="40"/>
        <w:ind w:left="120"/>
      </w:pPr>
      <w:r>
        <w:t xml:space="preserve">    5.4 命令行方式</w:t>
      </w:r>
    </w:p>
    <w:p>
      <w:pPr>
        <w:spacing w:after="40"/>
        <w:ind w:left="0"/>
      </w:pPr>
      <w:r>
        <w:rPr>
          <w:b/>
        </w:rPr>
        <w:t>六、算例与结果</w:t>
      </w:r>
    </w:p>
    <w:p>
      <w:pPr>
        <w:spacing w:after="40"/>
        <w:ind w:left="120"/>
      </w:pPr>
      <w:r>
        <w:t xml:space="preserve">    6.1 预热阶段</w:t>
      </w:r>
    </w:p>
    <w:p>
      <w:pPr>
        <w:spacing w:after="40"/>
        <w:ind w:left="120"/>
      </w:pPr>
      <w:r>
        <w:t xml:space="preserve">    6.2 全周期干燥</w:t>
      </w:r>
    </w:p>
    <w:p>
      <w:pPr>
        <w:spacing w:after="40"/>
        <w:ind w:left="120"/>
      </w:pPr>
      <w:r>
        <w:t xml:space="preserve">    6.3 干燥时长</w:t>
      </w:r>
    </w:p>
    <w:p>
      <w:pPr>
        <w:spacing w:after="40"/>
        <w:ind w:left="120"/>
      </w:pPr>
      <w:r>
        <w:t xml:space="preserve">    6.4 收缩工况</w:t>
      </w:r>
    </w:p>
    <w:p>
      <w:pPr>
        <w:spacing w:after="40"/>
        <w:ind w:left="120"/>
      </w:pPr>
      <w:r>
        <w:t xml:space="preserve">    6.5 精度校核</w:t>
      </w:r>
    </w:p>
    <w:p>
      <w:pPr>
        <w:spacing w:after="40"/>
        <w:ind w:left="0"/>
      </w:pPr>
      <w:r>
        <w:rPr>
          <w:b/>
        </w:rPr>
        <w:t>七、参数说明</w:t>
      </w:r>
    </w:p>
    <w:p>
      <w:pPr>
        <w:spacing w:after="40"/>
        <w:ind w:left="0"/>
      </w:pPr>
      <w:r>
        <w:rPr>
          <w:b/>
        </w:rPr>
        <w:t>八、常见问题</w:t>
      </w:r>
    </w:p>
    <w:p>
      <w:r>
        <w:br w:type="page"/>
      </w:r>
    </w:p>
    <w:p>
      <w:pPr>
        <w:pStyle w:val="Heading1"/>
      </w:pPr>
      <w:r>
        <w:t>一、软件概述</w:t>
      </w:r>
    </w:p>
    <w:p>
      <w:pPr>
        <w:pStyle w:val="Heading2"/>
      </w:pPr>
      <w:r>
        <w:t>1.1 名称与版本</w:t>
      </w:r>
    </w:p>
    <w:p>
      <w:pPr>
        <w:ind w:firstLine="440"/>
      </w:pPr>
      <w:r>
        <w:t>本软件全称“药材烘干过程数值模拟软件”，简称“烘干模拟”，版本号 V1.0。</w:t>
      </w:r>
    </w:p>
    <w:p>
      <w:pPr>
        <w:ind w:firstLine="440"/>
      </w:pPr>
      <w:r>
        <w:t>软件由两部分组成：核心求解器用 C++17 编写，编译为独立的可执行文件；操作界面与数据准备用 Python 编写。二者通过参数文件与结果文件交换数据，不依赖任何商业组件，求解器也不依赖第三方运行库。</w:t>
      </w:r>
    </w:p>
    <w:p>
      <w:pPr>
        <w:pStyle w:val="Heading2"/>
      </w:pPr>
      <w:r>
        <w:t>1.2 开发目的</w:t>
      </w:r>
    </w:p>
    <w:p>
      <w:pPr>
        <w:ind w:firstLine="440"/>
      </w:pPr>
      <w:r>
        <w:t>中药材烘干属于内部扩散控制的过程。水分在物料内部的迁移速度决定了整批料需要烘多久，而这个速度随含水率和温度变化很大——含水率从 2.55 kg/kg 降到0.15 kg/kg 的过程中，扩散系数会下降两个数量级。工程上按经验估算，容易把时间算短，出现“表面已干、中心未达标”的情况。</w:t>
      </w:r>
    </w:p>
    <w:p>
      <w:pPr>
        <w:ind w:firstLine="440"/>
      </w:pPr>
      <w:r>
        <w:t>本软件把该过程离散成一维径向的传热传质方程组，用数值方法逐步求解，给出任意时刻物料内部各点的温度与含水率，并据此推算全批料达到干燥要求所需的时间。要解决的问题可以概括为：给定烘房的温度与湿度曲线，求物料内部的水分何时降到目标值。</w:t>
      </w:r>
    </w:p>
    <w:p>
      <w:pPr>
        <w:pStyle w:val="Heading2"/>
      </w:pPr>
      <w:r>
        <w:t>1.3 适用范围</w:t>
      </w:r>
    </w:p>
    <w:p>
      <w:pPr>
        <w:ind w:firstLine="440"/>
      </w:pPr>
      <w:r>
        <w:t>适用于无限长圆柱、轴向均匀的药材及性质相近的多孔物料。物料半径、初始含水率、烘房的温度与湿度曲线均可在界面上调整。软件内置三套物性方案，并支持半径随失水收缩的工况。</w:t>
      </w:r>
    </w:p>
    <w:p>
      <w:pPr>
        <w:ind w:firstLine="440"/>
      </w:pPr>
      <w:r>
        <w:t>对于轴向温度梯度明显、或内部伴随剧烈化学反应的场合，本软件的模型不适用。</w:t>
      </w:r>
    </w:p>
    <w:p>
      <w:pPr>
        <w:pStyle w:val="Heading2"/>
      </w:pPr>
      <w:r>
        <w:t>1.4 运行环境</w:t>
      </w:r>
    </w:p>
    <w:tbl>
      <w:tblPr>
        <w:tblStyle w:val="TableGrid"/>
        <w:tblW w:type="auto" w:w="0"/>
        <w:jc w:val="center"/>
        <w:tblLook w:firstColumn="1" w:firstRow="1" w:lastColumn="0" w:lastRow="0" w:noHBand="0" w:noVBand="1" w:val="04A0"/>
      </w:tblPr>
      <w:tblGrid>
        <w:gridCol w:w="4153"/>
        <w:gridCol w:w="4153"/>
      </w:tblGrid>
      <w:tr>
        <w:trPr>
          <w:tblHeader/>
        </w:trPr>
        <w:tc>
          <w:tcPr>
            <w:tcW w:type="dxa" w:w="2268"/>
          </w:tcPr>
          <w:p>
            <w:r/>
            <w:r>
              <w:rPr>
                <w:rFonts w:ascii="宋体" w:hAnsi="宋体" w:eastAsia="宋体"/>
                <w:b/>
                <w:sz w:val="19"/>
              </w:rPr>
              <w:t>项目</w:t>
            </w:r>
          </w:p>
        </w:tc>
        <w:tc>
          <w:tcPr>
            <w:tcW w:type="dxa" w:w="6236"/>
          </w:tcPr>
          <w:p>
            <w:r/>
            <w:r>
              <w:rPr>
                <w:rFonts w:ascii="宋体" w:hAnsi="宋体" w:eastAsia="宋体"/>
                <w:b/>
                <w:sz w:val="19"/>
              </w:rPr>
              <w:t>要求</w:t>
            </w:r>
          </w:p>
        </w:tc>
      </w:tr>
      <w:tr>
        <w:trPr>
          <w:cantSplit/>
        </w:trPr>
        <w:tc>
          <w:tcPr>
            <w:tcW w:type="dxa" w:w="2268"/>
          </w:tcPr>
          <w:p>
            <w:r/>
            <w:r>
              <w:rPr>
                <w:rFonts w:ascii="宋体" w:hAnsi="宋体" w:eastAsia="宋体"/>
                <w:sz w:val="19"/>
              </w:rPr>
              <w:t>操作系统</w:t>
            </w:r>
          </w:p>
        </w:tc>
        <w:tc>
          <w:tcPr>
            <w:tcW w:type="dxa" w:w="6236"/>
          </w:tcPr>
          <w:p>
            <w:r/>
            <w:r>
              <w:rPr>
                <w:rFonts w:ascii="宋体" w:hAnsi="宋体" w:eastAsia="宋体"/>
                <w:sz w:val="19"/>
              </w:rPr>
              <w:t>Windows 10 / 11（64 位）</w:t>
            </w:r>
          </w:p>
        </w:tc>
      </w:tr>
      <w:tr>
        <w:trPr>
          <w:cantSplit/>
        </w:trPr>
        <w:tc>
          <w:tcPr>
            <w:tcW w:type="dxa" w:w="2268"/>
          </w:tcPr>
          <w:p>
            <w:r/>
            <w:r>
              <w:rPr>
                <w:rFonts w:ascii="宋体" w:hAnsi="宋体" w:eastAsia="宋体"/>
                <w:sz w:val="19"/>
              </w:rPr>
              <w:t>处理器与内存</w:t>
            </w:r>
          </w:p>
        </w:tc>
        <w:tc>
          <w:tcPr>
            <w:tcW w:type="dxa" w:w="6236"/>
          </w:tcPr>
          <w:p>
            <w:r/>
            <w:r>
              <w:rPr>
                <w:rFonts w:ascii="宋体" w:hAnsi="宋体" w:eastAsia="宋体"/>
                <w:sz w:val="19"/>
              </w:rPr>
              <w:t>双核以上；内存 2 GB 以上</w:t>
            </w:r>
          </w:p>
        </w:tc>
      </w:tr>
      <w:tr>
        <w:trPr>
          <w:cantSplit/>
        </w:trPr>
        <w:tc>
          <w:tcPr>
            <w:tcW w:type="dxa" w:w="2268"/>
          </w:tcPr>
          <w:p>
            <w:r/>
            <w:r>
              <w:rPr>
                <w:rFonts w:ascii="宋体" w:hAnsi="宋体" w:eastAsia="宋体"/>
                <w:sz w:val="19"/>
              </w:rPr>
              <w:t>磁盘空间</w:t>
            </w:r>
          </w:p>
        </w:tc>
        <w:tc>
          <w:tcPr>
            <w:tcW w:type="dxa" w:w="6236"/>
          </w:tcPr>
          <w:p>
            <w:r/>
            <w:r>
              <w:rPr>
                <w:rFonts w:ascii="宋体" w:hAnsi="宋体" w:eastAsia="宋体"/>
                <w:sz w:val="19"/>
              </w:rPr>
              <w:t>约 50 MB（含编译产物与结果文件）</w:t>
            </w:r>
          </w:p>
        </w:tc>
      </w:tr>
      <w:tr>
        <w:trPr>
          <w:cantSplit/>
        </w:trPr>
        <w:tc>
          <w:tcPr>
            <w:tcW w:type="dxa" w:w="2268"/>
          </w:tcPr>
          <w:p>
            <w:r/>
            <w:r>
              <w:rPr>
                <w:rFonts w:ascii="宋体" w:hAnsi="宋体" w:eastAsia="宋体"/>
                <w:sz w:val="19"/>
              </w:rPr>
              <w:t>运行依赖</w:t>
            </w:r>
          </w:p>
        </w:tc>
        <w:tc>
          <w:tcPr>
            <w:tcW w:type="dxa" w:w="6236"/>
          </w:tcPr>
          <w:p>
            <w:r/>
            <w:r>
              <w:rPr>
                <w:rFonts w:ascii="宋体" w:hAnsi="宋体" w:eastAsia="宋体"/>
                <w:sz w:val="19"/>
              </w:rPr>
              <w:t>无。求解器静态链接，不依赖第三方运行库</w:t>
            </w:r>
          </w:p>
        </w:tc>
      </w:tr>
      <w:tr>
        <w:trPr>
          <w:cantSplit/>
        </w:trPr>
        <w:tc>
          <w:tcPr>
            <w:tcW w:type="dxa" w:w="2268"/>
          </w:tcPr>
          <w:p>
            <w:r/>
            <w:r>
              <w:rPr>
                <w:rFonts w:ascii="宋体" w:hAnsi="宋体" w:eastAsia="宋体"/>
                <w:sz w:val="19"/>
              </w:rPr>
              <w:t>重新编译所需</w:t>
            </w:r>
          </w:p>
        </w:tc>
        <w:tc>
          <w:tcPr>
            <w:tcW w:type="dxa" w:w="6236"/>
          </w:tcPr>
          <w:p>
            <w:r/>
            <w:r>
              <w:rPr>
                <w:rFonts w:ascii="宋体" w:hAnsi="宋体" w:eastAsia="宋体"/>
                <w:sz w:val="19"/>
              </w:rPr>
              <w:t>C++17 编译器（MinGW-w64 g++ 13 或更高）</w:t>
            </w:r>
          </w:p>
        </w:tc>
      </w:tr>
      <w:tr>
        <w:trPr>
          <w:cantSplit/>
        </w:trPr>
        <w:tc>
          <w:tcPr>
            <w:tcW w:type="dxa" w:w="2268"/>
          </w:tcPr>
          <w:p>
            <w:r/>
            <w:r>
              <w:rPr>
                <w:rFonts w:ascii="宋体" w:hAnsi="宋体" w:eastAsia="宋体"/>
                <w:sz w:val="19"/>
              </w:rPr>
              <w:t>界面运行所需</w:t>
            </w:r>
          </w:p>
        </w:tc>
        <w:tc>
          <w:tcPr>
            <w:tcW w:type="dxa" w:w="6236"/>
          </w:tcPr>
          <w:p>
            <w:r/>
            <w:r>
              <w:rPr>
                <w:rFonts w:ascii="宋体" w:hAnsi="宋体" w:eastAsia="宋体"/>
                <w:sz w:val="19"/>
              </w:rPr>
              <w:t>Python 3.9 及以上，numpy、scipy、matplotlib、openpyxl、scikit-learn</w:t>
            </w:r>
          </w:p>
        </w:tc>
      </w:tr>
    </w:tbl>
    <w:p/>
    <w:p>
      <w:pPr>
        <w:pStyle w:val="Heading1"/>
      </w:pPr>
      <w:r>
        <w:t>二、软件结构</w:t>
      </w:r>
    </w:p>
    <w:p>
      <w:pPr>
        <w:pStyle w:val="Heading2"/>
      </w:pPr>
      <w:r>
        <w:t>2.1 体系结构</w:t>
      </w:r>
    </w:p>
    <w:p>
      <w:pPr>
        <w:ind w:firstLine="440"/>
      </w:pPr>
      <w:r>
        <w:t>软件分三层。上层是表现层，提供图形界面和命令行两个入口；中间是编排层，负责参数装配、输入数据生成、结果组装和对比验证；底层是求解层，即编译好的核心求解器。</w:t>
      </w:r>
    </w:p>
    <w:p>
      <w:pPr>
        <w:ind w:firstLine="440"/>
      </w:pPr>
      <w:r>
        <w:t>上下层之间只用文件交换，不通过内存共享。Python 把参数写成文本参数文件，求解器读入后把温度场、水分场、逐时序列和守恒校核结果写成 CSV，再组装成 Excel 表格和插图。这样做的好处是求解器可以脱离界面单独运行，界面出问题也不影响已经算完的结果。</w:t>
      </w:r>
    </w:p>
    <w:p>
      <w:pPr>
        <w:spacing w:before="120" w:after="40"/>
        <w:jc w:val="center"/>
      </w:pPr>
      <w:r>
        <w:drawing>
          <wp:inline xmlns:a="http://schemas.openxmlformats.org/drawingml/2006/main" xmlns:pic="http://schemas.openxmlformats.org/drawingml/2006/picture">
            <wp:extent cx="5472000" cy="3809044"/>
            <wp:docPr id="1" name="Picture 1"/>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472000" cy="3809044"/>
                    </a:xfrm>
                    <a:prstGeom prst="rect"/>
                  </pic:spPr>
                </pic:pic>
              </a:graphicData>
            </a:graphic>
          </wp:inline>
        </w:drawing>
      </w:r>
    </w:p>
    <w:p>
      <w:pPr>
        <w:spacing w:after="200"/>
        <w:jc w:val="center"/>
      </w:pPr>
      <w:r>
        <w:rPr>
          <w:rFonts w:ascii="宋体" w:hAnsi="宋体" w:eastAsia="宋体"/>
          <w:sz w:val="18"/>
        </w:rPr>
        <w:t>图 2-1  软件体系结构</w:t>
      </w:r>
    </w:p>
    <w:p>
      <w:pPr>
        <w:pStyle w:val="Heading2"/>
      </w:pPr>
      <w:r>
        <w:t>2.2 求解流程</w:t>
      </w:r>
    </w:p>
    <w:p>
      <w:pPr>
        <w:ind w:firstLine="440"/>
      </w:pPr>
      <w:r>
        <w:t>求解按时间步推进。进入循环之前，先读入烘房工况曲线建立边界条件、构造径向网格与物性参数。</w:t>
      </w:r>
    </w:p>
    <w:p>
      <w:pPr>
        <w:ind w:firstLine="440"/>
      </w:pPr>
      <w:r>
        <w:t>每个时间步内，先组装三对角方程组的系数，解质量方程得到新的含水率场；再按新含水率更新热容量与导热系数，解能量方程得到新的温度场。由于物性随含水率变化，同一个时间步内需要反复迭代若干次，直到相邻两次的结果之差小于设定容差，这一步称为 Picard 迭代。</w:t>
      </w:r>
    </w:p>
    <w:p>
      <w:pPr>
        <w:ind w:firstLine="440"/>
      </w:pPr>
      <w:r>
        <w:t>收敛之后记录快照、累加守恒量、检查终点判据，然后进入下一个时间步。质量方程与能量方程共用同一套三对角解法，矩阵始终严格对角占优。</w:t>
      </w:r>
    </w:p>
    <w:p>
      <w:pPr>
        <w:spacing w:before="120" w:after="40"/>
        <w:jc w:val="center"/>
      </w:pPr>
      <w:r>
        <w:drawing>
          <wp:inline xmlns:a="http://schemas.openxmlformats.org/drawingml/2006/main" xmlns:pic="http://schemas.openxmlformats.org/drawingml/2006/picture">
            <wp:extent cx="5112000" cy="4024340"/>
            <wp:docPr id="2" name="Picture 2"/>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5112000" cy="4024340"/>
                    </a:xfrm>
                    <a:prstGeom prst="rect"/>
                  </pic:spPr>
                </pic:pic>
              </a:graphicData>
            </a:graphic>
          </wp:inline>
        </w:drawing>
      </w:r>
    </w:p>
    <w:p>
      <w:pPr>
        <w:spacing w:after="200"/>
        <w:jc w:val="center"/>
      </w:pPr>
      <w:r>
        <w:rPr>
          <w:rFonts w:ascii="宋体" w:hAnsi="宋体" w:eastAsia="宋体"/>
          <w:sz w:val="18"/>
        </w:rPr>
        <w:t>图 2-2  求解流程</w:t>
      </w:r>
    </w:p>
    <w:p>
      <w:pPr>
        <w:pStyle w:val="Heading2"/>
      </w:pPr>
      <w:r>
        <w:t>2.3 计算模型</w:t>
      </w:r>
    </w:p>
    <w:p>
      <w:pPr>
        <w:ind w:firstLine="440"/>
      </w:pPr>
      <w:r>
        <w:t>物料按无限长圆柱处理，只考虑径向变化。控制方程为：</w:t>
      </w:r>
    </w:p>
    <w:p>
      <w:pPr>
        <w:spacing w:after="80"/>
        <w:jc w:val="center"/>
      </w:pPr>
      <w:r>
        <w:rPr>
          <w:rFonts w:ascii="Cambria Math" w:hAnsi="Cambria Math" w:eastAsia="宋体"/>
          <w:sz w:val="22"/>
        </w:rPr>
        <w:t>ρ(C)·c_p(C)·∂T/∂t = (1/r)·∂/∂r [ k(C)·r·∂T/∂r ]</w:t>
      </w:r>
    </w:p>
    <w:p>
      <w:pPr>
        <w:spacing w:after="80"/>
        <w:jc w:val="center"/>
      </w:pPr>
      <w:r>
        <w:rPr>
          <w:rFonts w:ascii="Cambria Math" w:hAnsi="Cambria Math" w:eastAsia="宋体"/>
          <w:sz w:val="22"/>
        </w:rPr>
        <w:t>∂C/∂t = (1/r)·∂/∂r [ D(C,T)·r·∂C/∂r ]</w:t>
      </w:r>
    </w:p>
    <w:p>
      <w:pPr>
        <w:ind w:firstLine="440"/>
      </w:pPr>
      <w:r>
        <w:t>边界条件分两段处理。预热段表面按对流换热处理，表面能量平衡中扣除蒸发带走的热量；到达表面的水分里只有份额 ε 真正发生相变，其余以液态水形式被气流带离。ε 取 0.03，依据是预热段的热量分配——该段传入的热量绝大部分用于物料升温，汽化在数量上并不显著。</w:t>
      </w:r>
    </w:p>
    <w:p>
      <w:pPr>
        <w:ind w:firstLine="440"/>
      </w:pPr>
      <w:r>
        <w:t>恒温段表面形成连续液膜，相变发生在液膜的自由面上，位置已经在物料域之外。因此物料内部的能量方程不再含相变源，表面温度由液膜钉在空气的湿球温度上。软件用一个系数很大的罚函数对流边界来实现这一点，矩阵仍保持三对角结构。需要说明的是，物料域内“没有相变源”并不等于“没有蒸发”，蒸发的热量记在边界条件上，在物料之外结清。</w:t>
      </w:r>
    </w:p>
    <w:p>
      <w:pPr>
        <w:ind w:firstLine="440"/>
      </w:pPr>
      <w:r>
        <w:t>物性分三套方案。方案 B 与方案 C 的比热和导热系数按质量分数混合律给出，反解可得液态水比热 4186 J/(kg·K)、导热系数 0.59 W/(m·K)，与物性表一致，公式是自洽的。</w:t>
      </w:r>
    </w:p>
    <w:p>
      <w:pPr>
        <w:ind w:firstLine="440"/>
      </w:pPr>
      <w:r>
        <w:t>数值方法上，空间采用节点中心有限体积法，时间采用 Crank–Nicolson 格式，物性随含水率变化带来的非线性用 Picard 迭代处理。网格数取 80 时节点恰好落在 0、0.1、……、2.0 cm 上，与常用的输出位置逐点重合，输出不需要插值。</w:t>
      </w:r>
    </w:p>
    <w:p>
      <w:pPr>
        <w:pStyle w:val="Heading1"/>
      </w:pPr>
      <w:r>
        <w:t>三、功能模块</w:t>
      </w:r>
    </w:p>
    <w:p>
      <w:pPr>
        <w:ind w:firstLine="440"/>
      </w:pPr>
      <w:r>
        <w:t>软件按用途分成四个模块，共用同一套求解器与表面模型，只是参数配置不同。在界面顶部切换模块时，参数会自动重新载入。</w:t>
      </w:r>
    </w:p>
    <w:p>
      <w:pPr>
        <w:pStyle w:val="Heading2"/>
      </w:pPr>
      <w:r>
        <w:t>3.1 预热阶段模拟</w:t>
      </w:r>
    </w:p>
    <w:p>
      <w:pPr>
        <w:ind w:firstLine="440"/>
      </w:pPr>
      <w:r>
        <w:t>模拟物料从室温升到准平衡的短时段，用于观察表面失水与整体升温的过程。</w:t>
      </w:r>
    </w:p>
    <w:tbl>
      <w:tblPr>
        <w:tblStyle w:val="TableGrid"/>
        <w:tblW w:type="auto" w:w="0"/>
        <w:jc w:val="center"/>
        <w:tblLook w:firstColumn="1" w:firstRow="1" w:lastColumn="0" w:lastRow="0" w:noHBand="0" w:noVBand="1" w:val="04A0"/>
      </w:tblPr>
      <w:tblGrid>
        <w:gridCol w:w="4153"/>
        <w:gridCol w:w="4153"/>
      </w:tblGrid>
      <w:tr>
        <w:trPr>
          <w:tblHeader/>
        </w:trPr>
        <w:tc>
          <w:tcPr>
            <w:tcW w:type="dxa" w:w="2041"/>
          </w:tcPr>
          <w:p>
            <w:r/>
            <w:r>
              <w:rPr>
                <w:rFonts w:ascii="宋体" w:hAnsi="宋体" w:eastAsia="宋体"/>
                <w:b/>
                <w:sz w:val="19"/>
              </w:rPr>
              <w:t>项目</w:t>
            </w:r>
          </w:p>
        </w:tc>
        <w:tc>
          <w:tcPr>
            <w:tcW w:type="dxa" w:w="6463"/>
          </w:tcPr>
          <w:p>
            <w:r/>
            <w:r>
              <w:rPr>
                <w:rFonts w:ascii="宋体" w:hAnsi="宋体" w:eastAsia="宋体"/>
                <w:b/>
                <w:sz w:val="19"/>
              </w:rPr>
              <w:t>设置</w:t>
            </w:r>
          </w:p>
        </w:tc>
      </w:tr>
      <w:tr>
        <w:trPr>
          <w:cantSplit/>
        </w:trPr>
        <w:tc>
          <w:tcPr>
            <w:tcW w:type="dxa" w:w="2041"/>
          </w:tcPr>
          <w:p>
            <w:r/>
            <w:r>
              <w:rPr>
                <w:rFonts w:ascii="宋体" w:hAnsi="宋体" w:eastAsia="宋体"/>
                <w:sz w:val="19"/>
              </w:rPr>
              <w:t>计算时长</w:t>
            </w:r>
          </w:p>
        </w:tc>
        <w:tc>
          <w:tcPr>
            <w:tcW w:type="dxa" w:w="6463"/>
          </w:tcPr>
          <w:p>
            <w:r/>
            <w:r>
              <w:rPr>
                <w:rFonts w:ascii="宋体" w:hAnsi="宋体" w:eastAsia="宋体"/>
                <w:sz w:val="19"/>
              </w:rPr>
              <w:t>1800 s</w:t>
            </w:r>
          </w:p>
        </w:tc>
      </w:tr>
      <w:tr>
        <w:trPr>
          <w:cantSplit/>
        </w:trPr>
        <w:tc>
          <w:tcPr>
            <w:tcW w:type="dxa" w:w="2041"/>
          </w:tcPr>
          <w:p>
            <w:r/>
            <w:r>
              <w:rPr>
                <w:rFonts w:ascii="宋体" w:hAnsi="宋体" w:eastAsia="宋体"/>
                <w:sz w:val="19"/>
              </w:rPr>
              <w:t>时间步长</w:t>
            </w:r>
          </w:p>
        </w:tc>
        <w:tc>
          <w:tcPr>
            <w:tcW w:type="dxa" w:w="6463"/>
          </w:tcPr>
          <w:p>
            <w:r/>
            <w:r>
              <w:rPr>
                <w:rFonts w:ascii="宋体" w:hAnsi="宋体" w:eastAsia="宋体"/>
                <w:sz w:val="19"/>
              </w:rPr>
              <w:t>固定 0.1 s</w:t>
            </w:r>
          </w:p>
        </w:tc>
      </w:tr>
      <w:tr>
        <w:trPr>
          <w:cantSplit/>
        </w:trPr>
        <w:tc>
          <w:tcPr>
            <w:tcW w:type="dxa" w:w="2041"/>
          </w:tcPr>
          <w:p>
            <w:r/>
            <w:r>
              <w:rPr>
                <w:rFonts w:ascii="宋体" w:hAnsi="宋体" w:eastAsia="宋体"/>
                <w:sz w:val="19"/>
              </w:rPr>
              <w:t>物性方案</w:t>
            </w:r>
          </w:p>
        </w:tc>
        <w:tc>
          <w:tcPr>
            <w:tcW w:type="dxa" w:w="6463"/>
          </w:tcPr>
          <w:p>
            <w:r/>
            <w:r>
              <w:rPr>
                <w:rFonts w:ascii="宋体" w:hAnsi="宋体" w:eastAsia="宋体"/>
                <w:sz w:val="19"/>
              </w:rPr>
              <w:t>方案 A（常数物性）</w:t>
            </w:r>
          </w:p>
        </w:tc>
      </w:tr>
      <w:tr>
        <w:trPr>
          <w:cantSplit/>
        </w:trPr>
        <w:tc>
          <w:tcPr>
            <w:tcW w:type="dxa" w:w="2041"/>
          </w:tcPr>
          <w:p>
            <w:r/>
            <w:r>
              <w:rPr>
                <w:rFonts w:ascii="宋体" w:hAnsi="宋体" w:eastAsia="宋体"/>
                <w:sz w:val="19"/>
              </w:rPr>
              <w:t>边界</w:t>
            </w:r>
          </w:p>
        </w:tc>
        <w:tc>
          <w:tcPr>
            <w:tcW w:type="dxa" w:w="6463"/>
          </w:tcPr>
          <w:p>
            <w:r/>
            <w:r>
              <w:rPr>
                <w:rFonts w:ascii="宋体" w:hAnsi="宋体" w:eastAsia="宋体"/>
                <w:sz w:val="19"/>
              </w:rPr>
              <w:t>烘房工况曲线实测段</w:t>
            </w:r>
          </w:p>
        </w:tc>
      </w:tr>
      <w:tr>
        <w:trPr>
          <w:cantSplit/>
        </w:trPr>
        <w:tc>
          <w:tcPr>
            <w:tcW w:type="dxa" w:w="2041"/>
          </w:tcPr>
          <w:p>
            <w:r/>
            <w:r>
              <w:rPr>
                <w:rFonts w:ascii="宋体" w:hAnsi="宋体" w:eastAsia="宋体"/>
                <w:sz w:val="19"/>
              </w:rPr>
              <w:t>输出</w:t>
            </w:r>
          </w:p>
        </w:tc>
        <w:tc>
          <w:tcPr>
            <w:tcW w:type="dxa" w:w="6463"/>
          </w:tcPr>
          <w:p>
            <w:r/>
            <w:r>
              <w:rPr>
                <w:rFonts w:ascii="宋体" w:hAnsi="宋体" w:eastAsia="宋体"/>
                <w:sz w:val="19"/>
              </w:rPr>
              <w:t>每 1 s 一张完整剖面</w:t>
            </w:r>
          </w:p>
        </w:tc>
      </w:tr>
    </w:tbl>
    <w:p/>
    <w:p>
      <w:pPr>
        <w:ind w:firstLine="440"/>
      </w:pPr>
      <w:r>
        <w:t>这一阶段物料刚开始受热，表面水分蒸发带走部分热量，但传入的热量主要用来提高物料本身温度，因此温度整体上升；水分变化集中在靠近表面的薄层内，中心基本未受影响。</w:t>
      </w:r>
    </w:p>
    <w:p>
      <w:pPr>
        <w:pStyle w:val="Heading2"/>
      </w:pPr>
      <w:r>
        <w:t>3.2 全周期干燥模拟</w:t>
      </w:r>
    </w:p>
    <w:p>
      <w:pPr>
        <w:ind w:firstLine="440"/>
      </w:pPr>
      <w:r>
        <w:t>模拟完整的烘干过程，给出全场随时间的演化。</w:t>
      </w:r>
    </w:p>
    <w:tbl>
      <w:tblPr>
        <w:tblStyle w:val="TableGrid"/>
        <w:tblW w:type="auto" w:w="0"/>
        <w:jc w:val="center"/>
        <w:tblLook w:firstColumn="1" w:firstRow="1" w:lastColumn="0" w:lastRow="0" w:noHBand="0" w:noVBand="1" w:val="04A0"/>
      </w:tblPr>
      <w:tblGrid>
        <w:gridCol w:w="4153"/>
        <w:gridCol w:w="4153"/>
      </w:tblGrid>
      <w:tr>
        <w:trPr>
          <w:tblHeader/>
        </w:trPr>
        <w:tc>
          <w:tcPr>
            <w:tcW w:type="dxa" w:w="2041"/>
          </w:tcPr>
          <w:p>
            <w:r/>
            <w:r>
              <w:rPr>
                <w:rFonts w:ascii="宋体" w:hAnsi="宋体" w:eastAsia="宋体"/>
                <w:b/>
                <w:sz w:val="19"/>
              </w:rPr>
              <w:t>项目</w:t>
            </w:r>
          </w:p>
        </w:tc>
        <w:tc>
          <w:tcPr>
            <w:tcW w:type="dxa" w:w="6463"/>
          </w:tcPr>
          <w:p>
            <w:r/>
            <w:r>
              <w:rPr>
                <w:rFonts w:ascii="宋体" w:hAnsi="宋体" w:eastAsia="宋体"/>
                <w:b/>
                <w:sz w:val="19"/>
              </w:rPr>
              <w:t>设置</w:t>
            </w:r>
          </w:p>
        </w:tc>
      </w:tr>
      <w:tr>
        <w:trPr>
          <w:cantSplit/>
        </w:trPr>
        <w:tc>
          <w:tcPr>
            <w:tcW w:type="dxa" w:w="2041"/>
          </w:tcPr>
          <w:p>
            <w:r/>
            <w:r>
              <w:rPr>
                <w:rFonts w:ascii="宋体" w:hAnsi="宋体" w:eastAsia="宋体"/>
                <w:sz w:val="19"/>
              </w:rPr>
              <w:t>计算时长</w:t>
            </w:r>
          </w:p>
        </w:tc>
        <w:tc>
          <w:tcPr>
            <w:tcW w:type="dxa" w:w="6463"/>
          </w:tcPr>
          <w:p>
            <w:r/>
            <w:r>
              <w:rPr>
                <w:rFonts w:ascii="宋体" w:hAnsi="宋体" w:eastAsia="宋体"/>
                <w:sz w:val="19"/>
              </w:rPr>
              <w:t>72 h</w:t>
            </w:r>
          </w:p>
        </w:tc>
      </w:tr>
      <w:tr>
        <w:trPr>
          <w:cantSplit/>
        </w:trPr>
        <w:tc>
          <w:tcPr>
            <w:tcW w:type="dxa" w:w="2041"/>
          </w:tcPr>
          <w:p>
            <w:r/>
            <w:r>
              <w:rPr>
                <w:rFonts w:ascii="宋体" w:hAnsi="宋体" w:eastAsia="宋体"/>
                <w:sz w:val="19"/>
              </w:rPr>
              <w:t>时间步长</w:t>
            </w:r>
          </w:p>
        </w:tc>
        <w:tc>
          <w:tcPr>
            <w:tcW w:type="dxa" w:w="6463"/>
          </w:tcPr>
          <w:p>
            <w:r/>
            <w:r>
              <w:rPr>
                <w:rFonts w:ascii="宋体" w:hAnsi="宋体" w:eastAsia="宋体"/>
                <w:sz w:val="19"/>
              </w:rPr>
              <w:t>启动段 0.1 s，主段 1 s</w:t>
            </w:r>
          </w:p>
        </w:tc>
      </w:tr>
      <w:tr>
        <w:trPr>
          <w:cantSplit/>
        </w:trPr>
        <w:tc>
          <w:tcPr>
            <w:tcW w:type="dxa" w:w="2041"/>
          </w:tcPr>
          <w:p>
            <w:r/>
            <w:r>
              <w:rPr>
                <w:rFonts w:ascii="宋体" w:hAnsi="宋体" w:eastAsia="宋体"/>
                <w:sz w:val="19"/>
              </w:rPr>
              <w:t>物性方案</w:t>
            </w:r>
          </w:p>
        </w:tc>
        <w:tc>
          <w:tcPr>
            <w:tcW w:type="dxa" w:w="6463"/>
          </w:tcPr>
          <w:p>
            <w:r/>
            <w:r>
              <w:rPr>
                <w:rFonts w:ascii="宋体" w:hAnsi="宋体" w:eastAsia="宋体"/>
                <w:sz w:val="19"/>
              </w:rPr>
              <w:t>预热段方案 A，恒温段方案 B（按窗口连续过渡）</w:t>
            </w:r>
          </w:p>
        </w:tc>
      </w:tr>
      <w:tr>
        <w:trPr>
          <w:cantSplit/>
        </w:trPr>
        <w:tc>
          <w:tcPr>
            <w:tcW w:type="dxa" w:w="2041"/>
          </w:tcPr>
          <w:p>
            <w:r/>
            <w:r>
              <w:rPr>
                <w:rFonts w:ascii="宋体" w:hAnsi="宋体" w:eastAsia="宋体"/>
                <w:sz w:val="19"/>
              </w:rPr>
              <w:t>边界</w:t>
            </w:r>
          </w:p>
        </w:tc>
        <w:tc>
          <w:tcPr>
            <w:tcW w:type="dxa" w:w="6463"/>
          </w:tcPr>
          <w:p>
            <w:r/>
            <w:r>
              <w:rPr>
                <w:rFonts w:ascii="宋体" w:hAnsi="宋体" w:eastAsia="宋体"/>
                <w:sz w:val="19"/>
              </w:rPr>
              <w:t>实测曲线 + 末段外推，接恒温干燥条件</w:t>
            </w:r>
          </w:p>
        </w:tc>
      </w:tr>
      <w:tr>
        <w:trPr>
          <w:cantSplit/>
        </w:trPr>
        <w:tc>
          <w:tcPr>
            <w:tcW w:type="dxa" w:w="2041"/>
          </w:tcPr>
          <w:p>
            <w:r/>
            <w:r>
              <w:rPr>
                <w:rFonts w:ascii="宋体" w:hAnsi="宋体" w:eastAsia="宋体"/>
                <w:sz w:val="19"/>
              </w:rPr>
              <w:t>输出</w:t>
            </w:r>
          </w:p>
        </w:tc>
        <w:tc>
          <w:tcPr>
            <w:tcW w:type="dxa" w:w="6463"/>
          </w:tcPr>
          <w:p>
            <w:r/>
            <w:r>
              <w:rPr>
                <w:rFonts w:ascii="宋体" w:hAnsi="宋体" w:eastAsia="宋体"/>
                <w:sz w:val="19"/>
              </w:rPr>
              <w:t>逐小时剖面 + 每 60 s 逐点序列 + 逐秒流</w:t>
            </w:r>
          </w:p>
        </w:tc>
      </w:tr>
    </w:tbl>
    <w:p/>
    <w:p>
      <w:pPr>
        <w:ind w:firstLine="440"/>
      </w:pPr>
      <w:r>
        <w:t>烘干过程可以明显分成两段。前期水分变化集中在外层，中心几乎不动，这一段由表面对流换热控制；约 30 小时以后干燥前沿到达中心，整条曲线一起下降，这一段由内部扩散控制，也是整个过程耗时最长的部分。</w:t>
      </w:r>
    </w:p>
    <w:p>
      <w:pPr>
        <w:pStyle w:val="Heading2"/>
      </w:pPr>
      <w:r>
        <w:t>3.3 干燥时长预测</w:t>
      </w:r>
    </w:p>
    <w:p>
      <w:pPr>
        <w:ind w:firstLine="440"/>
      </w:pPr>
      <w:r>
        <w:t>推送到物料各点都达标，给出所需的烘干时间。判据是全域最大含水率低于目标值，默认 0.15 kg/kg。</w:t>
      </w:r>
    </w:p>
    <w:p>
      <w:pPr>
        <w:ind w:firstLine="440"/>
      </w:pPr>
      <w:r>
        <w:t>定位过程分三步。主循环用 1 s 步长推进并监控全域最大含水率；首次低于目标值后，用割线法在相邻两步之间定位穿越时刻；连续三步确认达标后，再从终点前 2.5 小时的检查点恢复、改用 0.1 s 步长复核一遍，以排除尾部数值波动造成的误判。</w:t>
      </w:r>
    </w:p>
    <w:p>
      <w:pPr>
        <w:ind w:firstLine="440"/>
      </w:pPr>
      <w:r>
        <w:t>软件同时给出两个独立的交叉校验：把末段数据按对数线性外推得到的达标时刻，以及用干燥曲线经验模型反解得到的时刻。三者接近时结果可信。</w:t>
      </w:r>
    </w:p>
    <w:p>
      <w:pPr>
        <w:pStyle w:val="Heading2"/>
      </w:pPr>
      <w:r>
        <w:t>3.4 收缩工况模拟</w:t>
      </w:r>
    </w:p>
    <w:p>
      <w:pPr>
        <w:ind w:firstLine="440"/>
      </w:pPr>
      <w:r>
        <w:t>考虑物料半径随失水而收缩的情形，物性改用方案 C。</w:t>
      </w:r>
    </w:p>
    <w:p>
      <w:pPr>
        <w:ind w:firstLine="440"/>
      </w:pPr>
      <w:r>
        <w:t>求解采用材料坐标：把径向位置除以当时的半径，得到不随时间变化的归一化坐标，物料内部的点在坐标系里是固定的。这样处理后，半径收缩的影响表现为扩散项多出一个与半径平方成反比的因子，也就是“收缩会加快干燥”这一效应的数学形式。</w:t>
      </w:r>
    </w:p>
    <w:p>
      <w:pPr>
        <w:ind w:firstLine="440"/>
      </w:pPr>
      <w:r>
        <w:t>收缩与物性变化的方向相反，软件提供效应分解把它们分开：分别固定半径只换物性、以及只收缩半径不换物性，各算一次，与主结果对照。</w:t>
      </w:r>
    </w:p>
    <w:p>
      <w:pPr>
        <w:pStyle w:val="Heading1"/>
      </w:pPr>
      <w:r>
        <w:t>四、界面说明</w:t>
      </w:r>
    </w:p>
    <w:p>
      <w:pPr>
        <w:pStyle w:val="Heading2"/>
      </w:pPr>
      <w:r>
        <w:t>4.1 主界面</w:t>
      </w:r>
    </w:p>
    <w:p>
      <w:pPr>
        <w:ind w:firstLine="440"/>
      </w:pPr>
      <w:r>
        <w:t>主窗口分成左右两块。左侧是参数区与运行控制按钮，右侧是三个标签页：实时监控、结果、守恒。窗口顶部选择功能模块，四个模块共用同一套界面，只是默认参数不同。</w:t>
      </w:r>
    </w:p>
    <w:p>
      <w:pPr>
        <w:spacing w:before="120" w:after="40"/>
        <w:jc w:val="center"/>
      </w:pPr>
      <w:r>
        <w:drawing>
          <wp:inline xmlns:a="http://schemas.openxmlformats.org/drawingml/2006/main" xmlns:pic="http://schemas.openxmlformats.org/drawingml/2006/picture">
            <wp:extent cx="5544000" cy="3649668"/>
            <wp:docPr id="3" name="Picture 3"/>
            <wp:cNvGraphicFramePr>
              <a:graphicFrameLocks noChangeAspect="1"/>
            </wp:cNvGraphicFramePr>
            <a:graphic>
              <a:graphicData uri="http://schemas.openxmlformats.org/drawingml/2006/picture">
                <pic:pic>
                  <pic:nvPicPr>
                    <pic:cNvPr id="0" name="gui_params_preheat.png"/>
                    <pic:cNvPicPr/>
                  </pic:nvPicPr>
                  <pic:blipFill>
                    <a:blip r:embed="rId12"/>
                    <a:stretch>
                      <a:fillRect/>
                    </a:stretch>
                  </pic:blipFill>
                  <pic:spPr>
                    <a:xfrm>
                      <a:off x="0" y="0"/>
                      <a:ext cx="5544000" cy="3649668"/>
                    </a:xfrm>
                    <a:prstGeom prst="rect"/>
                  </pic:spPr>
                </pic:pic>
              </a:graphicData>
            </a:graphic>
          </wp:inline>
        </w:drawing>
      </w:r>
    </w:p>
    <w:p>
      <w:pPr>
        <w:spacing w:after="200"/>
        <w:jc w:val="center"/>
      </w:pPr>
      <w:r>
        <w:rPr>
          <w:rFonts w:ascii="宋体" w:hAnsi="宋体" w:eastAsia="宋体"/>
          <w:sz w:val="18"/>
        </w:rPr>
        <w:t>图 4-1  主界面（预热阶段模拟）</w:t>
      </w:r>
    </w:p>
    <w:p>
      <w:pPr>
        <w:pStyle w:val="Heading2"/>
      </w:pPr>
      <w:r>
        <w:t>4.2 参数区</w:t>
      </w:r>
    </w:p>
    <w:p>
      <w:pPr>
        <w:ind w:firstLine="440"/>
      </w:pPr>
      <w:r>
        <w:t>参数按用途分成若干组，从上到下依次是数值、边界、表面、物性与几何、终点判据、记录与输出。每个输入框右侧有一个圆形提示标记，点一下会弹出该参数的说明。</w:t>
      </w:r>
    </w:p>
    <w:p>
      <w:pPr>
        <w:ind w:firstLine="440"/>
      </w:pPr>
      <w:r>
        <w:t>切换模块时参数会自动重新载入。默认值不是写死在界面里的，而是从软件的参数定义文件读取，因此界面上的默认设定与求解器实际使用的口径始终一致。点击“载入默认参数”可以随时恢复。</w:t>
      </w:r>
    </w:p>
    <w:p>
      <w:pPr>
        <w:ind w:firstLine="440"/>
      </w:pPr>
      <w:r>
        <w:t>参数区下方还有一个“高级”文本框，里面是该模块的完整参数清单。界面上没有列出的参数可以直接在这里修改，同样生效。</w:t>
      </w:r>
    </w:p>
    <w:p>
      <w:pPr>
        <w:spacing w:before="120" w:after="40"/>
        <w:jc w:val="center"/>
      </w:pPr>
      <w:r>
        <w:drawing>
          <wp:inline xmlns:a="http://schemas.openxmlformats.org/drawingml/2006/main" xmlns:pic="http://schemas.openxmlformats.org/drawingml/2006/picture">
            <wp:extent cx="5544000" cy="3649668"/>
            <wp:docPr id="4" name="Picture 4"/>
            <wp:cNvGraphicFramePr>
              <a:graphicFrameLocks noChangeAspect="1"/>
            </wp:cNvGraphicFramePr>
            <a:graphic>
              <a:graphicData uri="http://schemas.openxmlformats.org/drawingml/2006/picture">
                <pic:pic>
                  <pic:nvPicPr>
                    <pic:cNvPr id="0" name="gui_params_shrinkage.png"/>
                    <pic:cNvPicPr/>
                  </pic:nvPicPr>
                  <pic:blipFill>
                    <a:blip r:embed="rId13"/>
                    <a:stretch>
                      <a:fillRect/>
                    </a:stretch>
                  </pic:blipFill>
                  <pic:spPr>
                    <a:xfrm>
                      <a:off x="0" y="0"/>
                      <a:ext cx="5544000" cy="3649668"/>
                    </a:xfrm>
                    <a:prstGeom prst="rect"/>
                  </pic:spPr>
                </pic:pic>
              </a:graphicData>
            </a:graphic>
          </wp:inline>
        </w:drawing>
      </w:r>
    </w:p>
    <w:p>
      <w:pPr>
        <w:spacing w:after="200"/>
        <w:jc w:val="center"/>
      </w:pPr>
      <w:r>
        <w:rPr>
          <w:rFonts w:ascii="宋体" w:hAnsi="宋体" w:eastAsia="宋体"/>
          <w:sz w:val="18"/>
        </w:rPr>
        <w:t>图 4-2  参数区（收缩工况模拟）</w:t>
      </w:r>
    </w:p>
    <w:p>
      <w:pPr>
        <w:pStyle w:val="Heading2"/>
      </w:pPr>
      <w:r>
        <w:t>4.3 运行控制</w:t>
      </w:r>
    </w:p>
    <w:p>
      <w:pPr>
        <w:ind w:firstLine="440"/>
      </w:pPr>
      <w:r>
        <w:t>运行控制区有六个按钮：</w:t>
      </w:r>
    </w:p>
    <w:p>
      <w:pPr>
        <w:pStyle w:val="ListBullet"/>
      </w:pPr>
      <w:r>
        <w:t>构建 exe：重新编译求解器。改动过 C++ 代码后需要执行一次。</w:t>
      </w:r>
    </w:p>
    <w:p>
      <w:pPr>
        <w:pStyle w:val="ListBullet"/>
      </w:pPr>
      <w:r>
        <w:t>准备数据表：读取烘房工况曲线与收缩曲线，生成求解器需要的输入文件。首次使用或更换数据后需要执行。</w:t>
      </w:r>
    </w:p>
    <w:p>
      <w:pPr>
        <w:pStyle w:val="ListBullet"/>
      </w:pPr>
      <w:r>
        <w:t>运行：按当前参数开始计算。</w:t>
      </w:r>
    </w:p>
    <w:p>
      <w:pPr>
        <w:pStyle w:val="ListBullet"/>
      </w:pPr>
      <w:r>
        <w:t>取消：终止正在进行的计算，已经算出的部分不会丢失。</w:t>
      </w:r>
    </w:p>
    <w:p>
      <w:pPr>
        <w:pStyle w:val="ListBullet"/>
      </w:pPr>
      <w:r>
        <w:t>打开输出目录：在文件管理器中打开本次运行的输出目录。</w:t>
      </w:r>
    </w:p>
    <w:p>
      <w:pPr>
        <w:pStyle w:val="ListBullet"/>
      </w:pPr>
      <w:r>
        <w:t>载入默认参数：把参数恢复到默认值。</w:t>
      </w:r>
    </w:p>
    <w:p>
      <w:pPr>
        <w:ind w:firstLine="440"/>
      </w:pPr>
      <w:r>
        <w:t>按钮下方有三个复选框。第一个控制是否同时生成 Excel 结果表格，第二个控制是否把结果写入正式数据目录，第三个只在收缩工况下显示，用于控制是否运行效应分解对照（会增加约 35 秒计算时间）。</w:t>
      </w:r>
    </w:p>
    <w:p>
      <w:pPr>
        <w:pStyle w:val="Heading2"/>
      </w:pPr>
      <w:r>
        <w:t>4.4 实时监控</w:t>
      </w:r>
    </w:p>
    <w:p>
      <w:pPr>
        <w:ind w:firstLine="440"/>
      </w:pPr>
      <w:r>
        <w:t>点击运行后，程序在后台子进程中计算，界面不会卡住。实时监控标签页随着计算推进不断刷新，左图是中心与表面含水率随时间的下降曲线，红线标出终点判据 0.15 kg/kg；右图是表面温度曲线，虚线标出空气的湿球温度。</w:t>
      </w:r>
    </w:p>
    <w:p>
      <w:pPr>
        <w:ind w:firstLine="440"/>
      </w:pPr>
      <w:r>
        <w:t>界面下方的进度条显示完成百分比，旁边给出已用时间和预计剩余时间。日志区逐行输出计算状态，包括当前时刻、已走步数、迭代次数和表面温度。</w:t>
      </w:r>
    </w:p>
    <w:p>
      <w:pPr>
        <w:spacing w:before="120" w:after="40"/>
        <w:jc w:val="center"/>
      </w:pPr>
      <w:r>
        <w:drawing>
          <wp:inline xmlns:a="http://schemas.openxmlformats.org/drawingml/2006/main" xmlns:pic="http://schemas.openxmlformats.org/drawingml/2006/picture">
            <wp:extent cx="5544000" cy="3649668"/>
            <wp:docPr id="5" name="Picture 5"/>
            <wp:cNvGraphicFramePr>
              <a:graphicFrameLocks noChangeAspect="1"/>
            </wp:cNvGraphicFramePr>
            <a:graphic>
              <a:graphicData uri="http://schemas.openxmlformats.org/drawingml/2006/picture">
                <pic:pic>
                  <pic:nvPicPr>
                    <pic:cNvPr id="0" name="gui_live_fullcycle.png"/>
                    <pic:cNvPicPr/>
                  </pic:nvPicPr>
                  <pic:blipFill>
                    <a:blip r:embed="rId14"/>
                    <a:stretch>
                      <a:fillRect/>
                    </a:stretch>
                  </pic:blipFill>
                  <pic:spPr>
                    <a:xfrm>
                      <a:off x="0" y="0"/>
                      <a:ext cx="5544000" cy="3649668"/>
                    </a:xfrm>
                    <a:prstGeom prst="rect"/>
                  </pic:spPr>
                </pic:pic>
              </a:graphicData>
            </a:graphic>
          </wp:inline>
        </w:drawing>
      </w:r>
    </w:p>
    <w:p>
      <w:pPr>
        <w:spacing w:after="200"/>
        <w:jc w:val="center"/>
      </w:pPr>
      <w:r>
        <w:rPr>
          <w:rFonts w:ascii="宋体" w:hAnsi="宋体" w:eastAsia="宋体"/>
          <w:sz w:val="18"/>
        </w:rPr>
        <w:t>图 4-3  计算过程中的实时监控</w:t>
      </w:r>
    </w:p>
    <w:p>
      <w:pPr>
        <w:pStyle w:val="Heading2"/>
      </w:pPr>
      <w:r>
        <w:t>4.5 结果查看</w:t>
      </w:r>
    </w:p>
    <w:p>
      <w:pPr>
        <w:ind w:firstLine="440"/>
      </w:pPr>
      <w:r>
        <w:t>“结果”标签页在计算完成后显示两项内容。左边是场演化云图，横轴为时间、纵轴为到中心的距离，颜色表示该位置该时刻的含水率；图中白色虚线标出恒温段的起点。右边是干燥曲线，分别给出中心与表面含水率的变化过程。</w:t>
      </w:r>
    </w:p>
    <w:p>
      <w:pPr>
        <w:ind w:firstLine="440"/>
      </w:pPr>
      <w:r>
        <w:t>云图上可以清楚地看到干燥前沿由表面向中心推进：前期水分变化只发生在靠近表面的薄层内，中心区域基本保持初始含水率；约 30 小时以后前沿到达中心，整条曲线才一起缓慢下降。</w:t>
      </w:r>
    </w:p>
    <w:p>
      <w:pPr>
        <w:spacing w:before="120" w:after="40"/>
        <w:jc w:val="center"/>
      </w:pPr>
      <w:r>
        <w:drawing>
          <wp:inline xmlns:a="http://schemas.openxmlformats.org/drawingml/2006/main" xmlns:pic="http://schemas.openxmlformats.org/drawingml/2006/picture">
            <wp:extent cx="5544000" cy="3649668"/>
            <wp:docPr id="6" name="Picture 6"/>
            <wp:cNvGraphicFramePr>
              <a:graphicFrameLocks noChangeAspect="1"/>
            </wp:cNvGraphicFramePr>
            <a:graphic>
              <a:graphicData uri="http://schemas.openxmlformats.org/drawingml/2006/picture">
                <pic:pic>
                  <pic:nvPicPr>
                    <pic:cNvPr id="0" name="gui_result_duration.png"/>
                    <pic:cNvPicPr/>
                  </pic:nvPicPr>
                  <pic:blipFill>
                    <a:blip r:embed="rId15"/>
                    <a:stretch>
                      <a:fillRect/>
                    </a:stretch>
                  </pic:blipFill>
                  <pic:spPr>
                    <a:xfrm>
                      <a:off x="0" y="0"/>
                      <a:ext cx="5544000" cy="3649668"/>
                    </a:xfrm>
                    <a:prstGeom prst="rect"/>
                  </pic:spPr>
                </pic:pic>
              </a:graphicData>
            </a:graphic>
          </wp:inline>
        </w:drawing>
      </w:r>
    </w:p>
    <w:p>
      <w:pPr>
        <w:spacing w:after="200"/>
        <w:jc w:val="center"/>
      </w:pPr>
      <w:r>
        <w:rPr>
          <w:rFonts w:ascii="宋体" w:hAnsi="宋体" w:eastAsia="宋体"/>
          <w:sz w:val="18"/>
        </w:rPr>
        <w:t>图 4-4  结果标签页（干燥时长预测）</w:t>
      </w:r>
    </w:p>
    <w:p>
      <w:pPr>
        <w:pStyle w:val="Heading2"/>
      </w:pPr>
      <w:r>
        <w:t>4.6 守恒校核</w:t>
      </w:r>
    </w:p>
    <w:p>
      <w:pPr>
        <w:ind w:firstLine="440"/>
      </w:pPr>
      <w:r>
        <w:t>“守恒”标签页给出质量与能量两本账的核对结果。左图是逐步累加得到的相对失衡量，采用对数纵轴，红色虚线是 1×10⁻⁹ 的门槛。曲线上的小幅震荡是迭代收敛过程在残差上的反映，实际数值始终远低于门槛。</w:t>
      </w:r>
    </w:p>
    <w:p>
      <w:pPr>
        <w:ind w:firstLine="440"/>
      </w:pPr>
      <w:r>
        <w:t>右图是移动边界工况下的质量收支分解：域内存量的变化、表面传质带走的水量、以及边界内缩携带的水量。三者相加应当与域内存量变化严格相等，这条恒等式是移动边界实现正确性的直接证据。</w:t>
      </w:r>
    </w:p>
    <w:p>
      <w:pPr>
        <w:spacing w:before="120" w:after="40"/>
        <w:jc w:val="center"/>
      </w:pPr>
      <w:r>
        <w:drawing>
          <wp:inline xmlns:a="http://schemas.openxmlformats.org/drawingml/2006/main" xmlns:pic="http://schemas.openxmlformats.org/drawingml/2006/picture">
            <wp:extent cx="5544000" cy="3649668"/>
            <wp:docPr id="7" name="Picture 7"/>
            <wp:cNvGraphicFramePr>
              <a:graphicFrameLocks noChangeAspect="1"/>
            </wp:cNvGraphicFramePr>
            <a:graphic>
              <a:graphicData uri="http://schemas.openxmlformats.org/drawingml/2006/picture">
                <pic:pic>
                  <pic:nvPicPr>
                    <pic:cNvPr id="0" name="gui_check_shrinkage.png"/>
                    <pic:cNvPicPr/>
                  </pic:nvPicPr>
                  <pic:blipFill>
                    <a:blip r:embed="rId16"/>
                    <a:stretch>
                      <a:fillRect/>
                    </a:stretch>
                  </pic:blipFill>
                  <pic:spPr>
                    <a:xfrm>
                      <a:off x="0" y="0"/>
                      <a:ext cx="5544000" cy="3649668"/>
                    </a:xfrm>
                    <a:prstGeom prst="rect"/>
                  </pic:spPr>
                </pic:pic>
              </a:graphicData>
            </a:graphic>
          </wp:inline>
        </w:drawing>
      </w:r>
    </w:p>
    <w:p>
      <w:pPr>
        <w:spacing w:after="200"/>
        <w:jc w:val="center"/>
      </w:pPr>
      <w:r>
        <w:rPr>
          <w:rFonts w:ascii="宋体" w:hAnsi="宋体" w:eastAsia="宋体"/>
          <w:sz w:val="18"/>
        </w:rPr>
        <w:t>图 4-5  守恒校核（收缩工况模拟）</w:t>
      </w:r>
    </w:p>
    <w:p>
      <w:pPr>
        <w:pStyle w:val="Heading1"/>
      </w:pPr>
      <w:r>
        <w:t>五、使用流程</w:t>
      </w:r>
    </w:p>
    <w:p>
      <w:pPr>
        <w:pStyle w:val="Heading2"/>
      </w:pPr>
      <w:r>
        <w:t>5.1 构建与准备</w:t>
      </w:r>
    </w:p>
    <w:p>
      <w:pPr>
        <w:ind w:firstLine="440"/>
      </w:pPr>
      <w:r>
        <w:t>首次使用依次点“构建 exe”和“准备数据表”。构建过程会自动探测本机可用的编译器并编译，完成后立即运行一遍自检，结果打印在日志区。自检覆盖网格几何、三套物性、三对角求解、湿球温度、两阶段表面模型、逐步守恒闭合等内容，共 29 项。</w:t>
      </w:r>
    </w:p>
    <w:p>
      <w:pPr>
        <w:ind w:firstLine="440"/>
      </w:pPr>
      <w:r>
        <w:t>准备数据表会读取烘房工况曲线与收缩曲线，生成求解器需要的输入文件，包括边界控制曲线、工况曲线末段的外推表，以及收缩曲线的拟合结果。这一步只依赖数据、不依赖代码，数据不变时执行一次即可。</w:t>
      </w:r>
    </w:p>
    <w:p>
      <w:pPr>
        <w:pStyle w:val="Heading2"/>
      </w:pPr>
      <w:r>
        <w:t>5.2 运行求解</w:t>
      </w:r>
    </w:p>
    <w:p>
      <w:pPr>
        <w:ind w:firstLine="440"/>
      </w:pPr>
      <w:r>
        <w:t>在顶部选择模块，按需要调整参数，然后点“运行”。四个模块的默认设置如下：</w:t>
      </w:r>
    </w:p>
    <w:tbl>
      <w:tblPr>
        <w:tblStyle w:val="TableGrid"/>
        <w:tblW w:type="auto" w:w="0"/>
        <w:jc w:val="center"/>
        <w:tblLook w:firstColumn="1" w:firstRow="1" w:lastColumn="0" w:lastRow="0" w:noHBand="0" w:noVBand="1" w:val="04A0"/>
      </w:tblPr>
      <w:tblGrid>
        <w:gridCol w:w="2076"/>
        <w:gridCol w:w="2076"/>
        <w:gridCol w:w="2076"/>
        <w:gridCol w:w="2076"/>
      </w:tblGrid>
      <w:tr>
        <w:trPr>
          <w:tblHeader/>
        </w:trPr>
        <w:tc>
          <w:tcPr>
            <w:tcW w:type="dxa" w:w="1701"/>
          </w:tcPr>
          <w:p>
            <w:r/>
            <w:r>
              <w:rPr>
                <w:rFonts w:ascii="宋体" w:hAnsi="宋体" w:eastAsia="宋体"/>
                <w:b/>
                <w:sz w:val="19"/>
              </w:rPr>
              <w:t>模块</w:t>
            </w:r>
          </w:p>
        </w:tc>
        <w:tc>
          <w:tcPr>
            <w:tcW w:type="dxa" w:w="2835"/>
          </w:tcPr>
          <w:p>
            <w:r/>
            <w:r>
              <w:rPr>
                <w:rFonts w:ascii="宋体" w:hAnsi="宋体" w:eastAsia="宋体"/>
                <w:b/>
                <w:sz w:val="19"/>
              </w:rPr>
              <w:t>计算内容</w:t>
            </w:r>
          </w:p>
        </w:tc>
        <w:tc>
          <w:tcPr>
            <w:tcW w:type="dxa" w:w="1928"/>
          </w:tcPr>
          <w:p>
            <w:r/>
            <w:r>
              <w:rPr>
                <w:rFonts w:ascii="宋体" w:hAnsi="宋体" w:eastAsia="宋体"/>
                <w:b/>
                <w:sz w:val="19"/>
              </w:rPr>
              <w:t>时间范围</w:t>
            </w:r>
          </w:p>
        </w:tc>
        <w:tc>
          <w:tcPr>
            <w:tcW w:type="dxa" w:w="2268"/>
          </w:tcPr>
          <w:p>
            <w:r/>
            <w:r>
              <w:rPr>
                <w:rFonts w:ascii="宋体" w:hAnsi="宋体" w:eastAsia="宋体"/>
                <w:b/>
                <w:sz w:val="19"/>
              </w:rPr>
              <w:t>默认步长</w:t>
            </w:r>
          </w:p>
        </w:tc>
      </w:tr>
      <w:tr>
        <w:trPr>
          <w:cantSplit/>
        </w:trPr>
        <w:tc>
          <w:tcPr>
            <w:tcW w:type="dxa" w:w="1701"/>
          </w:tcPr>
          <w:p>
            <w:r/>
            <w:r>
              <w:rPr>
                <w:rFonts w:ascii="宋体" w:hAnsi="宋体" w:eastAsia="宋体"/>
                <w:sz w:val="19"/>
              </w:rPr>
              <w:t>预热阶段模拟</w:t>
            </w:r>
          </w:p>
        </w:tc>
        <w:tc>
          <w:tcPr>
            <w:tcW w:type="dxa" w:w="2835"/>
          </w:tcPr>
          <w:p>
            <w:r/>
            <w:r>
              <w:rPr>
                <w:rFonts w:ascii="宋体" w:hAnsi="宋体" w:eastAsia="宋体"/>
                <w:sz w:val="19"/>
              </w:rPr>
              <w:t>升温与表面失水的短时段</w:t>
            </w:r>
          </w:p>
        </w:tc>
        <w:tc>
          <w:tcPr>
            <w:tcW w:type="dxa" w:w="1928"/>
          </w:tcPr>
          <w:p>
            <w:r/>
            <w:r>
              <w:rPr>
                <w:rFonts w:ascii="宋体" w:hAnsi="宋体" w:eastAsia="宋体"/>
                <w:sz w:val="19"/>
              </w:rPr>
              <w:t>0 – 1800 s</w:t>
            </w:r>
          </w:p>
        </w:tc>
        <w:tc>
          <w:tcPr>
            <w:tcW w:type="dxa" w:w="2268"/>
          </w:tcPr>
          <w:p>
            <w:r/>
            <w:r>
              <w:rPr>
                <w:rFonts w:ascii="宋体" w:hAnsi="宋体" w:eastAsia="宋体"/>
                <w:sz w:val="19"/>
              </w:rPr>
              <w:t>0.1 s</w:t>
            </w:r>
          </w:p>
        </w:tc>
      </w:tr>
      <w:tr>
        <w:trPr>
          <w:cantSplit/>
        </w:trPr>
        <w:tc>
          <w:tcPr>
            <w:tcW w:type="dxa" w:w="1701"/>
          </w:tcPr>
          <w:p>
            <w:r/>
            <w:r>
              <w:rPr>
                <w:rFonts w:ascii="宋体" w:hAnsi="宋体" w:eastAsia="宋体"/>
                <w:sz w:val="19"/>
              </w:rPr>
              <w:t>全周期干燥模拟</w:t>
            </w:r>
          </w:p>
        </w:tc>
        <w:tc>
          <w:tcPr>
            <w:tcW w:type="dxa" w:w="2835"/>
          </w:tcPr>
          <w:p>
            <w:r/>
            <w:r>
              <w:rPr>
                <w:rFonts w:ascii="宋体" w:hAnsi="宋体" w:eastAsia="宋体"/>
                <w:sz w:val="19"/>
              </w:rPr>
              <w:t>完整烘干过程的场演化</w:t>
            </w:r>
          </w:p>
        </w:tc>
        <w:tc>
          <w:tcPr>
            <w:tcW w:type="dxa" w:w="1928"/>
          </w:tcPr>
          <w:p>
            <w:r/>
            <w:r>
              <w:rPr>
                <w:rFonts w:ascii="宋体" w:hAnsi="宋体" w:eastAsia="宋体"/>
                <w:sz w:val="19"/>
              </w:rPr>
              <w:t>0 – 72 h</w:t>
            </w:r>
          </w:p>
        </w:tc>
        <w:tc>
          <w:tcPr>
            <w:tcW w:type="dxa" w:w="2268"/>
          </w:tcPr>
          <w:p>
            <w:r/>
            <w:r>
              <w:rPr>
                <w:rFonts w:ascii="宋体" w:hAnsi="宋体" w:eastAsia="宋体"/>
                <w:sz w:val="19"/>
              </w:rPr>
              <w:t>启动段 0.1 s，主段 1 s</w:t>
            </w:r>
          </w:p>
        </w:tc>
      </w:tr>
      <w:tr>
        <w:trPr>
          <w:cantSplit/>
        </w:trPr>
        <w:tc>
          <w:tcPr>
            <w:tcW w:type="dxa" w:w="1701"/>
          </w:tcPr>
          <w:p>
            <w:r/>
            <w:r>
              <w:rPr>
                <w:rFonts w:ascii="宋体" w:hAnsi="宋体" w:eastAsia="宋体"/>
                <w:sz w:val="19"/>
              </w:rPr>
              <w:t>干燥时长预测</w:t>
            </w:r>
          </w:p>
        </w:tc>
        <w:tc>
          <w:tcPr>
            <w:tcW w:type="dxa" w:w="2835"/>
          </w:tcPr>
          <w:p>
            <w:r/>
            <w:r>
              <w:rPr>
                <w:rFonts w:ascii="宋体" w:hAnsi="宋体" w:eastAsia="宋体"/>
                <w:sz w:val="19"/>
              </w:rPr>
              <w:t>推算烘干所需时间</w:t>
            </w:r>
          </w:p>
        </w:tc>
        <w:tc>
          <w:tcPr>
            <w:tcW w:type="dxa" w:w="1928"/>
          </w:tcPr>
          <w:p>
            <w:r/>
            <w:r>
              <w:rPr>
                <w:rFonts w:ascii="宋体" w:hAnsi="宋体" w:eastAsia="宋体"/>
                <w:sz w:val="19"/>
              </w:rPr>
              <w:t>至全域达标</w:t>
            </w:r>
          </w:p>
        </w:tc>
        <w:tc>
          <w:tcPr>
            <w:tcW w:type="dxa" w:w="2268"/>
          </w:tcPr>
          <w:p>
            <w:r/>
            <w:r>
              <w:rPr>
                <w:rFonts w:ascii="宋体" w:hAnsi="宋体" w:eastAsia="宋体"/>
                <w:sz w:val="19"/>
              </w:rPr>
              <w:t>同上，终点前 2.5 h 用 0.1 s 复核</w:t>
            </w:r>
          </w:p>
        </w:tc>
      </w:tr>
      <w:tr>
        <w:trPr>
          <w:cantSplit/>
        </w:trPr>
        <w:tc>
          <w:tcPr>
            <w:tcW w:type="dxa" w:w="1701"/>
          </w:tcPr>
          <w:p>
            <w:r/>
            <w:r>
              <w:rPr>
                <w:rFonts w:ascii="宋体" w:hAnsi="宋体" w:eastAsia="宋体"/>
                <w:sz w:val="19"/>
              </w:rPr>
              <w:t>收缩工况模拟</w:t>
            </w:r>
          </w:p>
        </w:tc>
        <w:tc>
          <w:tcPr>
            <w:tcW w:type="dxa" w:w="2835"/>
          </w:tcPr>
          <w:p>
            <w:r/>
            <w:r>
              <w:rPr>
                <w:rFonts w:ascii="宋体" w:hAnsi="宋体" w:eastAsia="宋体"/>
                <w:sz w:val="19"/>
              </w:rPr>
              <w:t>考虑半径收缩的时长与场演化</w:t>
            </w:r>
          </w:p>
        </w:tc>
        <w:tc>
          <w:tcPr>
            <w:tcW w:type="dxa" w:w="1928"/>
          </w:tcPr>
          <w:p>
            <w:r/>
            <w:r>
              <w:rPr>
                <w:rFonts w:ascii="宋体" w:hAnsi="宋体" w:eastAsia="宋体"/>
                <w:sz w:val="19"/>
              </w:rPr>
              <w:t>至全域达标</w:t>
            </w:r>
          </w:p>
        </w:tc>
        <w:tc>
          <w:tcPr>
            <w:tcW w:type="dxa" w:w="2268"/>
          </w:tcPr>
          <w:p>
            <w:r/>
            <w:r>
              <w:rPr>
                <w:rFonts w:ascii="宋体" w:hAnsi="宋体" w:eastAsia="宋体"/>
                <w:sz w:val="19"/>
              </w:rPr>
              <w:t>同上一行</w:t>
            </w:r>
          </w:p>
        </w:tc>
      </w:tr>
    </w:tbl>
    <w:p/>
    <w:p>
      <w:pPr>
        <w:ind w:firstLine="440"/>
      </w:pPr>
      <w:r>
        <w:t>计算在后台进行，可以随时点“取消”中断。中断后已经写入的部分结果仍然保留在输出目录中。</w:t>
      </w:r>
    </w:p>
    <w:p>
      <w:pPr>
        <w:pStyle w:val="Heading2"/>
      </w:pPr>
      <w:r>
        <w:t>5.3 结果导出</w:t>
      </w:r>
    </w:p>
    <w:p>
      <w:pPr>
        <w:ind w:firstLine="440"/>
      </w:pPr>
      <w:r>
        <w:t>计算完成后，结果默认保存在运行目录下，不会自动覆盖正式数据。需要生成正式结果文件时，在运行前勾选“同时生成 result*.xlsx”，软件会按规定的表格格式写出结果，包含各时刻、各到中心距离上的温度与含水率，数值保留四位小数。</w:t>
      </w:r>
    </w:p>
    <w:p>
      <w:pPr>
        <w:ind w:firstLine="440"/>
      </w:pPr>
      <w:r>
        <w:t>收缩工况的结果表格中，已经收缩到物料之外的位置留空，这是材料域变小的正常表现，不是数据缺失。</w:t>
      </w:r>
    </w:p>
    <w:p>
      <w:pPr>
        <w:pStyle w:val="Heading2"/>
      </w:pPr>
      <w:r>
        <w:t>5.4 命令行方式</w:t>
      </w:r>
    </w:p>
    <w:p>
      <w:pPr>
        <w:ind w:firstLine="440"/>
      </w:pPr>
      <w:r>
        <w:t>软件也可以完全不用界面，通过命令行运行，便于批量计算：</w:t>
      </w:r>
    </w:p>
    <w:p>
      <w:pPr>
        <w:spacing w:after="20"/>
        <w:ind w:left="480"/>
      </w:pPr>
      <w:r>
        <w:rPr>
          <w:rFonts w:ascii="Consolas" w:hAnsi="Consolas" w:eastAsia="宋体"/>
          <w:sz w:val="19"/>
        </w:rPr>
        <w:t>python -m cpp.python.cli prep              生成输入数据</w:t>
      </w:r>
    </w:p>
    <w:p>
      <w:pPr>
        <w:spacing w:after="20"/>
        <w:ind w:left="480"/>
      </w:pPr>
      <w:r>
        <w:rPr>
          <w:rFonts w:ascii="Consolas" w:hAnsi="Consolas" w:eastAsia="宋体"/>
          <w:sz w:val="19"/>
        </w:rPr>
        <w:t>python -m cpp.python.cli run preheat        计算预热阶段</w:t>
      </w:r>
    </w:p>
    <w:p>
      <w:pPr>
        <w:spacing w:after="20"/>
        <w:ind w:left="480"/>
      </w:pPr>
      <w:r>
        <w:rPr>
          <w:rFonts w:ascii="Consolas" w:hAnsi="Consolas" w:eastAsia="宋体"/>
          <w:sz w:val="19"/>
        </w:rPr>
        <w:t>python -m cpp.python.cli verify preheat     与标准结果对比</w:t>
      </w:r>
    </w:p>
    <w:p>
      <w:pPr>
        <w:spacing w:after="20"/>
        <w:ind w:left="480"/>
      </w:pPr>
      <w:r>
        <w:rPr>
          <w:rFonts w:ascii="Consolas" w:hAnsi="Consolas" w:eastAsia="宋体"/>
          <w:sz w:val="19"/>
        </w:rPr>
        <w:t>python -m cpp.python.cli run preheat --excel  同时导出结果表格</w:t>
      </w:r>
    </w:p>
    <w:p>
      <w:pPr>
        <w:ind w:firstLine="440"/>
      </w:pPr>
      <w:r>
        <w:t>命令行与界面走的是同一套计算流程，结果完全一致。</w:t>
      </w:r>
    </w:p>
    <w:p>
      <w:pPr>
        <w:pStyle w:val="Heading1"/>
      </w:pPr>
      <w:r>
        <w:t>六、算例与结果</w:t>
      </w:r>
    </w:p>
    <w:p>
      <w:pPr>
        <w:ind w:firstLine="440"/>
      </w:pPr>
      <w:r>
        <w:t>以下结果均由本软件按默认参数计算得到。物料半径 2 cm，初始温度 28 ℃，初始含水率 2.55 kg/kg，表面对流换热系数（含辐射折算）31.72 W/(m²·K)，表面传质系数 8×10⁻⁷ m/s。</w:t>
      </w:r>
    </w:p>
    <w:p>
      <w:pPr>
        <w:pStyle w:val="Heading2"/>
      </w:pPr>
      <w:r>
        <w:t>6.1 预热阶段</w:t>
      </w:r>
    </w:p>
    <w:tbl>
      <w:tblPr>
        <w:tblStyle w:val="TableGrid"/>
        <w:tblW w:type="auto" w:w="0"/>
        <w:jc w:val="center"/>
        <w:tblLook w:firstColumn="1" w:firstRow="1" w:lastColumn="0" w:lastRow="0" w:noHBand="0" w:noVBand="1" w:val="04A0"/>
      </w:tblPr>
      <w:tblGrid>
        <w:gridCol w:w="4153"/>
        <w:gridCol w:w="4153"/>
      </w:tblGrid>
      <w:tr>
        <w:trPr>
          <w:tblHeader/>
        </w:trPr>
        <w:tc>
          <w:tcPr>
            <w:tcW w:type="dxa" w:w="3402"/>
          </w:tcPr>
          <w:p>
            <w:r/>
            <w:r>
              <w:rPr>
                <w:rFonts w:ascii="宋体" w:hAnsi="宋体" w:eastAsia="宋体"/>
                <w:b/>
                <w:sz w:val="19"/>
              </w:rPr>
              <w:t>量</w:t>
            </w:r>
          </w:p>
        </w:tc>
        <w:tc>
          <w:tcPr>
            <w:tcW w:type="dxa" w:w="3402"/>
          </w:tcPr>
          <w:p>
            <w:r/>
            <w:r>
              <w:rPr>
                <w:rFonts w:ascii="宋体" w:hAnsi="宋体" w:eastAsia="宋体"/>
                <w:b/>
                <w:sz w:val="19"/>
              </w:rPr>
              <w:t>结果</w:t>
            </w:r>
          </w:p>
        </w:tc>
      </w:tr>
      <w:tr>
        <w:trPr>
          <w:cantSplit/>
        </w:trPr>
        <w:tc>
          <w:tcPr>
            <w:tcW w:type="dxa" w:w="3402"/>
          </w:tcPr>
          <w:p>
            <w:r/>
            <w:r>
              <w:rPr>
                <w:rFonts w:ascii="宋体" w:hAnsi="宋体" w:eastAsia="宋体"/>
                <w:sz w:val="19"/>
              </w:rPr>
              <w:t>表面温度（1800 s）</w:t>
            </w:r>
          </w:p>
        </w:tc>
        <w:tc>
          <w:tcPr>
            <w:tcW w:type="dxa" w:w="3402"/>
          </w:tcPr>
          <w:p>
            <w:r/>
            <w:r>
              <w:rPr>
                <w:rFonts w:ascii="宋体" w:hAnsi="宋体" w:eastAsia="宋体"/>
                <w:sz w:val="19"/>
              </w:rPr>
              <w:t>36.7731 ℃</w:t>
            </w:r>
          </w:p>
        </w:tc>
      </w:tr>
      <w:tr>
        <w:trPr>
          <w:cantSplit/>
        </w:trPr>
        <w:tc>
          <w:tcPr>
            <w:tcW w:type="dxa" w:w="3402"/>
          </w:tcPr>
          <w:p>
            <w:r/>
            <w:r>
              <w:rPr>
                <w:rFonts w:ascii="宋体" w:hAnsi="宋体" w:eastAsia="宋体"/>
                <w:sz w:val="19"/>
              </w:rPr>
              <w:t>中心温度（1800 s）</w:t>
            </w:r>
          </w:p>
        </w:tc>
        <w:tc>
          <w:tcPr>
            <w:tcW w:type="dxa" w:w="3402"/>
          </w:tcPr>
          <w:p>
            <w:r/>
            <w:r>
              <w:rPr>
                <w:rFonts w:ascii="宋体" w:hAnsi="宋体" w:eastAsia="宋体"/>
                <w:sz w:val="19"/>
              </w:rPr>
              <w:t>33.4481 ℃</w:t>
            </w:r>
          </w:p>
        </w:tc>
      </w:tr>
      <w:tr>
        <w:trPr>
          <w:cantSplit/>
        </w:trPr>
        <w:tc>
          <w:tcPr>
            <w:tcW w:type="dxa" w:w="3402"/>
          </w:tcPr>
          <w:p>
            <w:r/>
            <w:r>
              <w:rPr>
                <w:rFonts w:ascii="宋体" w:hAnsi="宋体" w:eastAsia="宋体"/>
                <w:sz w:val="19"/>
              </w:rPr>
              <w:t>表面含水率（1800 s）</w:t>
            </w:r>
          </w:p>
        </w:tc>
        <w:tc>
          <w:tcPr>
            <w:tcW w:type="dxa" w:w="3402"/>
          </w:tcPr>
          <w:p>
            <w:r/>
            <w:r>
              <w:rPr>
                <w:rFonts w:ascii="宋体" w:hAnsi="宋体" w:eastAsia="宋体"/>
                <w:sz w:val="19"/>
              </w:rPr>
              <w:t>1.5103 kg/kg</w:t>
            </w:r>
          </w:p>
        </w:tc>
      </w:tr>
      <w:tr>
        <w:trPr>
          <w:cantSplit/>
        </w:trPr>
        <w:tc>
          <w:tcPr>
            <w:tcW w:type="dxa" w:w="3402"/>
          </w:tcPr>
          <w:p>
            <w:r/>
            <w:r>
              <w:rPr>
                <w:rFonts w:ascii="宋体" w:hAnsi="宋体" w:eastAsia="宋体"/>
                <w:sz w:val="19"/>
              </w:rPr>
              <w:t>截面平均失水率</w:t>
            </w:r>
          </w:p>
        </w:tc>
        <w:tc>
          <w:tcPr>
            <w:tcW w:type="dxa" w:w="3402"/>
          </w:tcPr>
          <w:p>
            <w:r/>
            <w:r>
              <w:rPr>
                <w:rFonts w:ascii="宋体" w:hAnsi="宋体" w:eastAsia="宋体"/>
                <w:sz w:val="19"/>
              </w:rPr>
              <w:t>10.06%</w:t>
            </w:r>
          </w:p>
        </w:tc>
      </w:tr>
    </w:tbl>
    <w:p/>
    <w:p>
      <w:pPr>
        <w:ind w:firstLine="440"/>
      </w:pPr>
      <w:r>
        <w:t>温度呈“表面高、中心低”的正常升温剖面，内外相差 3.3 ℃。水分变化集中在靠近表面的薄层内，中心基本未受影响。</w:t>
      </w:r>
    </w:p>
    <w:p>
      <w:pPr>
        <w:pStyle w:val="Heading2"/>
      </w:pPr>
      <w:r>
        <w:t>6.2 全周期干燥</w:t>
      </w:r>
    </w:p>
    <w:p>
      <w:pPr>
        <w:ind w:firstLine="440"/>
      </w:pPr>
      <w:r>
        <w:t>前 4 小时用实测的温湿度曲线作为边界，之后按恒温干燥条件取温度 50 ℃、湿度 0.0499 kg/kg。</w:t>
      </w:r>
    </w:p>
    <w:p>
      <w:pPr>
        <w:ind w:firstLine="440"/>
      </w:pPr>
      <w:r>
        <w:t>水分场呈现出明显的干燥前沿。前 30 小时内失水主要发生在外层，中心含水率几乎不变；30 小时以后前沿到达中心，整条曲线一起下降。这一点从下图的颜色分布可以看得很清楚。</w:t>
      </w:r>
    </w:p>
    <w:p>
      <w:pPr>
        <w:spacing w:before="120" w:after="40"/>
        <w:jc w:val="center"/>
      </w:pPr>
      <w:r>
        <w:drawing>
          <wp:inline xmlns:a="http://schemas.openxmlformats.org/drawingml/2006/main" xmlns:pic="http://schemas.openxmlformats.org/drawingml/2006/picture">
            <wp:extent cx="5544000" cy="2132308"/>
            <wp:docPr id="8" name="Picture 8"/>
            <wp:cNvGraphicFramePr>
              <a:graphicFrameLocks noChangeAspect="1"/>
            </wp:cNvGraphicFramePr>
            <a:graphic>
              <a:graphicData uri="http://schemas.openxmlformats.org/drawingml/2006/picture">
                <pic:pic>
                  <pic:nvPicPr>
                    <pic:cNvPr id="0" name="fig_field.png"/>
                    <pic:cNvPicPr/>
                  </pic:nvPicPr>
                  <pic:blipFill>
                    <a:blip r:embed="rId17"/>
                    <a:stretch>
                      <a:fillRect/>
                    </a:stretch>
                  </pic:blipFill>
                  <pic:spPr>
                    <a:xfrm>
                      <a:off x="0" y="0"/>
                      <a:ext cx="5544000" cy="2132308"/>
                    </a:xfrm>
                    <a:prstGeom prst="rect"/>
                  </pic:spPr>
                </pic:pic>
              </a:graphicData>
            </a:graphic>
          </wp:inline>
        </w:drawing>
      </w:r>
    </w:p>
    <w:p>
      <w:pPr>
        <w:spacing w:after="200"/>
        <w:jc w:val="center"/>
      </w:pPr>
      <w:r>
        <w:rPr>
          <w:rFonts w:ascii="宋体" w:hAnsi="宋体" w:eastAsia="宋体"/>
          <w:sz w:val="18"/>
        </w:rPr>
        <w:t>图 6-1  温度场与水分场演化</w:t>
      </w:r>
    </w:p>
    <w:p>
      <w:pPr>
        <w:ind w:firstLine="440"/>
      </w:pPr>
      <w:r>
        <w:t>温度场的形态与水分场相反。表面在最初几十分钟内迅速升温，随后进入恒温段——表面被液膜覆盖，温度稳定在空气的湿球温度附近；直到表面变干、液膜消失，温度才继续回升。</w:t>
      </w:r>
    </w:p>
    <w:p>
      <w:pPr>
        <w:pStyle w:val="Heading2"/>
      </w:pPr>
      <w:r>
        <w:t>6.3 干燥时长</w:t>
      </w:r>
    </w:p>
    <w:tbl>
      <w:tblPr>
        <w:tblStyle w:val="TableGrid"/>
        <w:tblW w:type="auto" w:w="0"/>
        <w:jc w:val="center"/>
        <w:tblLook w:firstColumn="1" w:firstRow="1" w:lastColumn="0" w:lastRow="0" w:noHBand="0" w:noVBand="1" w:val="04A0"/>
      </w:tblPr>
      <w:tblGrid>
        <w:gridCol w:w="4153"/>
        <w:gridCol w:w="4153"/>
      </w:tblGrid>
      <w:tr>
        <w:trPr>
          <w:tblHeader/>
        </w:trPr>
        <w:tc>
          <w:tcPr>
            <w:tcW w:type="dxa" w:w="3402"/>
          </w:tcPr>
          <w:p>
            <w:r/>
            <w:r>
              <w:rPr>
                <w:rFonts w:ascii="宋体" w:hAnsi="宋体" w:eastAsia="宋体"/>
                <w:b/>
                <w:sz w:val="19"/>
              </w:rPr>
              <w:t>量</w:t>
            </w:r>
          </w:p>
        </w:tc>
        <w:tc>
          <w:tcPr>
            <w:tcW w:type="dxa" w:w="3402"/>
          </w:tcPr>
          <w:p>
            <w:r/>
            <w:r>
              <w:rPr>
                <w:rFonts w:ascii="宋体" w:hAnsi="宋体" w:eastAsia="宋体"/>
                <w:b/>
                <w:sz w:val="19"/>
              </w:rPr>
              <w:t>结果</w:t>
            </w:r>
          </w:p>
        </w:tc>
      </w:tr>
      <w:tr>
        <w:trPr>
          <w:cantSplit/>
        </w:trPr>
        <w:tc>
          <w:tcPr>
            <w:tcW w:type="dxa" w:w="3402"/>
          </w:tcPr>
          <w:p>
            <w:r/>
            <w:r>
              <w:rPr>
                <w:rFonts w:ascii="宋体" w:hAnsi="宋体" w:eastAsia="宋体"/>
                <w:sz w:val="19"/>
              </w:rPr>
              <w:t>烘干所需时间</w:t>
            </w:r>
          </w:p>
        </w:tc>
        <w:tc>
          <w:tcPr>
            <w:tcW w:type="dxa" w:w="3402"/>
          </w:tcPr>
          <w:p>
            <w:r/>
            <w:r>
              <w:rPr>
                <w:rFonts w:ascii="宋体" w:hAnsi="宋体" w:eastAsia="宋体"/>
                <w:sz w:val="19"/>
              </w:rPr>
              <w:t>59.2771 h（2.47 天）</w:t>
            </w:r>
          </w:p>
        </w:tc>
      </w:tr>
      <w:tr>
        <w:trPr>
          <w:cantSplit/>
        </w:trPr>
        <w:tc>
          <w:tcPr>
            <w:tcW w:type="dxa" w:w="3402"/>
          </w:tcPr>
          <w:p>
            <w:r/>
            <w:r>
              <w:rPr>
                <w:rFonts w:ascii="宋体" w:hAnsi="宋体" w:eastAsia="宋体"/>
                <w:sz w:val="19"/>
              </w:rPr>
              <w:t>首次穿越 0.15 kg/kg</w:t>
            </w:r>
          </w:p>
        </w:tc>
        <w:tc>
          <w:tcPr>
            <w:tcW w:type="dxa" w:w="3402"/>
          </w:tcPr>
          <w:p>
            <w:r/>
            <w:r>
              <w:rPr>
                <w:rFonts w:ascii="宋体" w:hAnsi="宋体" w:eastAsia="宋体"/>
                <w:sz w:val="19"/>
              </w:rPr>
              <w:t>59.2772 h</w:t>
            </w:r>
          </w:p>
        </w:tc>
      </w:tr>
      <w:tr>
        <w:trPr>
          <w:cantSplit/>
        </w:trPr>
        <w:tc>
          <w:tcPr>
            <w:tcW w:type="dxa" w:w="3402"/>
          </w:tcPr>
          <w:p>
            <w:r/>
            <w:r>
              <w:rPr>
                <w:rFonts w:ascii="宋体" w:hAnsi="宋体" w:eastAsia="宋体"/>
                <w:sz w:val="19"/>
              </w:rPr>
              <w:t>三步确认达标</w:t>
            </w:r>
          </w:p>
        </w:tc>
        <w:tc>
          <w:tcPr>
            <w:tcW w:type="dxa" w:w="3402"/>
          </w:tcPr>
          <w:p>
            <w:r/>
            <w:r>
              <w:rPr>
                <w:rFonts w:ascii="宋体" w:hAnsi="宋体" w:eastAsia="宋体"/>
                <w:sz w:val="19"/>
              </w:rPr>
              <w:t>59.2778 h</w:t>
            </w:r>
          </w:p>
        </w:tc>
      </w:tr>
      <w:tr>
        <w:trPr>
          <w:cantSplit/>
        </w:trPr>
        <w:tc>
          <w:tcPr>
            <w:tcW w:type="dxa" w:w="3402"/>
          </w:tcPr>
          <w:p>
            <w:r/>
            <w:r>
              <w:rPr>
                <w:rFonts w:ascii="宋体" w:hAnsi="宋体" w:eastAsia="宋体"/>
                <w:sz w:val="19"/>
              </w:rPr>
              <w:t>质量恒等式相对失衡</w:t>
            </w:r>
          </w:p>
        </w:tc>
        <w:tc>
          <w:tcPr>
            <w:tcW w:type="dxa" w:w="3402"/>
          </w:tcPr>
          <w:p>
            <w:r/>
            <w:r>
              <w:rPr>
                <w:rFonts w:ascii="宋体" w:hAnsi="宋体" w:eastAsia="宋体"/>
                <w:sz w:val="19"/>
              </w:rPr>
              <w:t>7.7×10⁻¹⁵</w:t>
            </w:r>
          </w:p>
        </w:tc>
      </w:tr>
      <w:tr>
        <w:trPr>
          <w:cantSplit/>
        </w:trPr>
        <w:tc>
          <w:tcPr>
            <w:tcW w:type="dxa" w:w="3402"/>
          </w:tcPr>
          <w:p>
            <w:r/>
            <w:r>
              <w:rPr>
                <w:rFonts w:ascii="宋体" w:hAnsi="宋体" w:eastAsia="宋体"/>
                <w:sz w:val="19"/>
              </w:rPr>
              <w:t>能量恒等式相对失衡</w:t>
            </w:r>
          </w:p>
        </w:tc>
        <w:tc>
          <w:tcPr>
            <w:tcW w:type="dxa" w:w="3402"/>
          </w:tcPr>
          <w:p>
            <w:r/>
            <w:r>
              <w:rPr>
                <w:rFonts w:ascii="宋体" w:hAnsi="宋体" w:eastAsia="宋体"/>
                <w:sz w:val="19"/>
              </w:rPr>
              <w:t>7.4×10⁻¹²</w:t>
            </w:r>
          </w:p>
        </w:tc>
      </w:tr>
    </w:tbl>
    <w:p/>
    <w:p>
      <w:pPr>
        <w:ind w:firstLine="440"/>
      </w:pPr>
      <w:r>
        <w:t>时间主要由尾部决定。含水率降到 0.15 kg/kg 附近时扩散系数只有 8×10⁻¹⁰ m²/s，一阶模态的时间常数从初期的 4.5 小时升到约 24 小时，这是整个烘干过程需要两天以上的直接原因。</w:t>
      </w:r>
    </w:p>
    <w:p>
      <w:pPr>
        <w:pStyle w:val="Heading2"/>
      </w:pPr>
      <w:r>
        <w:t>6.4 收缩工况</w:t>
      </w:r>
    </w:p>
    <w:p>
      <w:pPr>
        <w:ind w:firstLine="440"/>
      </w:pPr>
      <w:r>
        <w:t>半径收缩使等效扩散速率提高约 2.8 倍，而方案 C 的扩散系数比方案 B 小，两者方向相反。软件给出的效应分解如下：</w:t>
      </w:r>
    </w:p>
    <w:tbl>
      <w:tblPr>
        <w:tblStyle w:val="TableGrid"/>
        <w:tblW w:type="auto" w:w="0"/>
        <w:jc w:val="center"/>
        <w:tblLook w:firstColumn="1" w:firstRow="1" w:lastColumn="0" w:lastRow="0" w:noHBand="0" w:noVBand="1" w:val="04A0"/>
      </w:tblPr>
      <w:tblGrid>
        <w:gridCol w:w="2769"/>
        <w:gridCol w:w="2769"/>
        <w:gridCol w:w="2769"/>
      </w:tblGrid>
      <w:tr>
        <w:trPr>
          <w:tblHeader/>
        </w:trPr>
        <w:tc>
          <w:tcPr>
            <w:tcW w:type="dxa" w:w="4195"/>
          </w:tcPr>
          <w:p>
            <w:r/>
            <w:r>
              <w:rPr>
                <w:rFonts w:ascii="宋体" w:hAnsi="宋体" w:eastAsia="宋体"/>
                <w:b/>
                <w:sz w:val="19"/>
              </w:rPr>
              <w:t>配置</w:t>
            </w:r>
          </w:p>
        </w:tc>
        <w:tc>
          <w:tcPr>
            <w:tcW w:type="dxa" w:w="2041"/>
          </w:tcPr>
          <w:p>
            <w:r/>
            <w:r>
              <w:rPr>
                <w:rFonts w:ascii="宋体" w:hAnsi="宋体" w:eastAsia="宋体"/>
                <w:b/>
                <w:sz w:val="19"/>
              </w:rPr>
              <w:t>烘干时间 / h</w:t>
            </w:r>
          </w:p>
        </w:tc>
        <w:tc>
          <w:tcPr>
            <w:tcW w:type="dxa" w:w="1701"/>
          </w:tcPr>
          <w:p>
            <w:r/>
            <w:r>
              <w:rPr>
                <w:rFonts w:ascii="宋体" w:hAnsi="宋体" w:eastAsia="宋体"/>
                <w:b/>
                <w:sz w:val="19"/>
              </w:rPr>
              <w:t>相对上一个基准</w:t>
            </w:r>
          </w:p>
        </w:tc>
      </w:tr>
      <w:tr>
        <w:trPr>
          <w:cantSplit/>
        </w:trPr>
        <w:tc>
          <w:tcPr>
            <w:tcW w:type="dxa" w:w="4195"/>
          </w:tcPr>
          <w:p>
            <w:r/>
            <w:r>
              <w:rPr>
                <w:rFonts w:ascii="宋体" w:hAnsi="宋体" w:eastAsia="宋体"/>
                <w:sz w:val="19"/>
              </w:rPr>
              <w:t>固定半径 + 方案 B（基准）</w:t>
            </w:r>
          </w:p>
        </w:tc>
        <w:tc>
          <w:tcPr>
            <w:tcW w:type="dxa" w:w="2041"/>
          </w:tcPr>
          <w:p>
            <w:r/>
            <w:r>
              <w:rPr>
                <w:rFonts w:ascii="宋体" w:hAnsi="宋体" w:eastAsia="宋体"/>
                <w:sz w:val="19"/>
              </w:rPr>
              <w:t>59.2771</w:t>
            </w:r>
          </w:p>
        </w:tc>
        <w:tc>
          <w:tcPr>
            <w:tcW w:type="dxa" w:w="1701"/>
          </w:tcPr>
          <w:p>
            <w:r/>
            <w:r>
              <w:rPr>
                <w:rFonts w:ascii="宋体" w:hAnsi="宋体" w:eastAsia="宋体"/>
                <w:sz w:val="19"/>
              </w:rPr>
              <w:t>—</w:t>
            </w:r>
          </w:p>
        </w:tc>
      </w:tr>
      <w:tr>
        <w:trPr>
          <w:cantSplit/>
        </w:trPr>
        <w:tc>
          <w:tcPr>
            <w:tcW w:type="dxa" w:w="4195"/>
          </w:tcPr>
          <w:p>
            <w:r/>
            <w:r>
              <w:rPr>
                <w:rFonts w:ascii="宋体" w:hAnsi="宋体" w:eastAsia="宋体"/>
                <w:sz w:val="19"/>
              </w:rPr>
              <w:t>① 固定半径 + 方案 C（物性效应）</w:t>
            </w:r>
          </w:p>
        </w:tc>
        <w:tc>
          <w:tcPr>
            <w:tcW w:type="dxa" w:w="2041"/>
          </w:tcPr>
          <w:p>
            <w:r/>
            <w:r>
              <w:rPr>
                <w:rFonts w:ascii="宋体" w:hAnsi="宋体" w:eastAsia="宋体"/>
                <w:sz w:val="19"/>
              </w:rPr>
              <w:t>132.8735</w:t>
            </w:r>
          </w:p>
        </w:tc>
        <w:tc>
          <w:tcPr>
            <w:tcW w:type="dxa" w:w="1701"/>
          </w:tcPr>
          <w:p>
            <w:r/>
            <w:r>
              <w:rPr>
                <w:rFonts w:ascii="宋体" w:hAnsi="宋体" w:eastAsia="宋体"/>
                <w:sz w:val="19"/>
              </w:rPr>
              <w:t>+124.2%</w:t>
            </w:r>
          </w:p>
        </w:tc>
      </w:tr>
      <w:tr>
        <w:trPr>
          <w:cantSplit/>
        </w:trPr>
        <w:tc>
          <w:tcPr>
            <w:tcW w:type="dxa" w:w="4195"/>
          </w:tcPr>
          <w:p>
            <w:r/>
            <w:r>
              <w:rPr>
                <w:rFonts w:ascii="宋体" w:hAnsi="宋体" w:eastAsia="宋体"/>
                <w:sz w:val="19"/>
              </w:rPr>
              <w:t>② 半径收缩 + 方案 B（几何效应）</w:t>
            </w:r>
          </w:p>
        </w:tc>
        <w:tc>
          <w:tcPr>
            <w:tcW w:type="dxa" w:w="2041"/>
          </w:tcPr>
          <w:p>
            <w:r/>
            <w:r>
              <w:rPr>
                <w:rFonts w:ascii="宋体" w:hAnsi="宋体" w:eastAsia="宋体"/>
                <w:sz w:val="19"/>
              </w:rPr>
              <w:t>26.5647</w:t>
            </w:r>
          </w:p>
        </w:tc>
        <w:tc>
          <w:tcPr>
            <w:tcW w:type="dxa" w:w="1701"/>
          </w:tcPr>
          <w:p>
            <w:r/>
            <w:r>
              <w:rPr>
                <w:rFonts w:ascii="宋体" w:hAnsi="宋体" w:eastAsia="宋体"/>
                <w:sz w:val="19"/>
              </w:rPr>
              <w:t>−55.2%</w:t>
            </w:r>
          </w:p>
        </w:tc>
      </w:tr>
      <w:tr>
        <w:trPr>
          <w:cantSplit/>
        </w:trPr>
        <w:tc>
          <w:tcPr>
            <w:tcW w:type="dxa" w:w="4195"/>
          </w:tcPr>
          <w:p>
            <w:r/>
            <w:r>
              <w:rPr>
                <w:rFonts w:ascii="宋体" w:hAnsi="宋体" w:eastAsia="宋体"/>
                <w:sz w:val="19"/>
              </w:rPr>
              <w:t>③ 半径收缩 + 方案 C（本模块结果）</w:t>
            </w:r>
          </w:p>
        </w:tc>
        <w:tc>
          <w:tcPr>
            <w:tcW w:type="dxa" w:w="2041"/>
          </w:tcPr>
          <w:p>
            <w:r/>
            <w:r>
              <w:rPr>
                <w:rFonts w:ascii="宋体" w:hAnsi="宋体" w:eastAsia="宋体"/>
                <w:sz w:val="19"/>
              </w:rPr>
              <w:t>53.6104</w:t>
            </w:r>
          </w:p>
        </w:tc>
        <w:tc>
          <w:tcPr>
            <w:tcW w:type="dxa" w:w="1701"/>
          </w:tcPr>
          <w:p>
            <w:r/>
            <w:r>
              <w:rPr>
                <w:rFonts w:ascii="宋体" w:hAnsi="宋体" w:eastAsia="宋体"/>
                <w:sz w:val="19"/>
              </w:rPr>
              <w:t>−9.6%</w:t>
            </w:r>
          </w:p>
        </w:tc>
      </w:tr>
    </w:tbl>
    <w:p/>
    <w:p>
      <w:pPr>
        <w:ind w:firstLine="440"/>
      </w:pPr>
      <w:r>
        <w:t>单独看物性，烘干时间增加一倍以上；单独看收缩，时间缩短一半以上。两者量级相当、方向相反，合起来只比基准短 9.6%。只看收缩会得出“烘干时间减半”的结论，是不完整的。</w:t>
      </w:r>
    </w:p>
    <w:p>
      <w:pPr>
        <w:spacing w:before="120" w:after="40"/>
        <w:jc w:val="center"/>
      </w:pPr>
      <w:r>
        <w:drawing>
          <wp:inline xmlns:a="http://schemas.openxmlformats.org/drawingml/2006/main" xmlns:pic="http://schemas.openxmlformats.org/drawingml/2006/picture">
            <wp:extent cx="5544000" cy="2175372"/>
            <wp:docPr id="9" name="Picture 9"/>
            <wp:cNvGraphicFramePr>
              <a:graphicFrameLocks noChangeAspect="1"/>
            </wp:cNvGraphicFramePr>
            <a:graphic>
              <a:graphicData uri="http://schemas.openxmlformats.org/drawingml/2006/picture">
                <pic:pic>
                  <pic:nvPicPr>
                    <pic:cNvPr id="0" name="fig_drying.png"/>
                    <pic:cNvPicPr/>
                  </pic:nvPicPr>
                  <pic:blipFill>
                    <a:blip r:embed="rId18"/>
                    <a:stretch>
                      <a:fillRect/>
                    </a:stretch>
                  </pic:blipFill>
                  <pic:spPr>
                    <a:xfrm>
                      <a:off x="0" y="0"/>
                      <a:ext cx="5544000" cy="2175372"/>
                    </a:xfrm>
                    <a:prstGeom prst="rect"/>
                  </pic:spPr>
                </pic:pic>
              </a:graphicData>
            </a:graphic>
          </wp:inline>
        </w:drawing>
      </w:r>
    </w:p>
    <w:p>
      <w:pPr>
        <w:spacing w:after="200"/>
        <w:jc w:val="center"/>
      </w:pPr>
      <w:r>
        <w:rPr>
          <w:rFonts w:ascii="宋体" w:hAnsi="宋体" w:eastAsia="宋体"/>
          <w:sz w:val="18"/>
        </w:rPr>
        <w:t>图 6-2  各模块的中心与表面含水率变化对比</w:t>
      </w:r>
    </w:p>
    <w:p>
      <w:pPr>
        <w:pStyle w:val="Heading2"/>
      </w:pPr>
      <w:r>
        <w:t>6.5 精度校核</w:t>
      </w:r>
    </w:p>
    <w:p>
      <w:pPr>
        <w:ind w:firstLine="440"/>
      </w:pPr>
      <w:r>
        <w:t>软件自带三层校核，可以在不依赖任何外部结果的情况下判断计算是否可信。</w:t>
      </w:r>
    </w:p>
    <w:p>
      <w:pPr>
        <w:ind w:firstLine="440"/>
      </w:pPr>
      <w:r>
        <w:t>第一层是自检，共 29 项，覆盖网格几何守恒、三套物性、三对角求解、湿球温度、两阶段表面模型的分段行为，以及逐步守恒闭合。其中带液膜与相变的算例，质量与能量恒等式的相对残差都在 10⁻¹¹ 量级。这类残差之所以能压到舍入水平，是因为守恒量是在推进循环内部逐步累加的，用的是与求解器完全相同的离散式，而不是事后对采样序列做积分。</w:t>
      </w:r>
    </w:p>
    <w:p>
      <w:pPr>
        <w:ind w:firstLine="440"/>
      </w:pPr>
      <w:r>
        <w:t>第二层是把软件内部实现的几个数值例程与通用科学计算库逐点对比，用于把“算法本身的差异”和“实现出错”分开：</w:t>
      </w:r>
    </w:p>
    <w:tbl>
      <w:tblPr>
        <w:tblStyle w:val="TableGrid"/>
        <w:tblW w:type="auto" w:w="0"/>
        <w:jc w:val="center"/>
        <w:tblLook w:firstColumn="1" w:firstRow="1" w:lastColumn="0" w:lastRow="0" w:noHBand="0" w:noVBand="1" w:val="04A0"/>
      </w:tblPr>
      <w:tblGrid>
        <w:gridCol w:w="4153"/>
        <w:gridCol w:w="4153"/>
      </w:tblGrid>
      <w:tr>
        <w:trPr>
          <w:tblHeader/>
        </w:trPr>
        <w:tc>
          <w:tcPr>
            <w:tcW w:type="dxa" w:w="4535"/>
          </w:tcPr>
          <w:p>
            <w:r/>
            <w:r>
              <w:rPr>
                <w:rFonts w:ascii="宋体" w:hAnsi="宋体" w:eastAsia="宋体"/>
                <w:b/>
                <w:sz w:val="19"/>
              </w:rPr>
              <w:t>对比项</w:t>
            </w:r>
          </w:p>
        </w:tc>
        <w:tc>
          <w:tcPr>
            <w:tcW w:type="dxa" w:w="3402"/>
          </w:tcPr>
          <w:p>
            <w:r/>
            <w:r>
              <w:rPr>
                <w:rFonts w:ascii="宋体" w:hAnsi="宋体" w:eastAsia="宋体"/>
                <w:b/>
                <w:sz w:val="19"/>
              </w:rPr>
              <w:t>最大偏差</w:t>
            </w:r>
          </w:p>
        </w:tc>
      </w:tr>
      <w:tr>
        <w:trPr>
          <w:cantSplit/>
        </w:trPr>
        <w:tc>
          <w:tcPr>
            <w:tcW w:type="dxa" w:w="4535"/>
          </w:tcPr>
          <w:p>
            <w:r/>
            <w:r>
              <w:rPr>
                <w:rFonts w:ascii="宋体" w:hAnsi="宋体" w:eastAsia="宋体"/>
                <w:sz w:val="19"/>
              </w:rPr>
              <w:t>保形插值 vs scipy.interpolate</w:t>
            </w:r>
          </w:p>
        </w:tc>
        <w:tc>
          <w:tcPr>
            <w:tcW w:type="dxa" w:w="3402"/>
          </w:tcPr>
          <w:p>
            <w:r/>
            <w:r>
              <w:rPr>
                <w:rFonts w:ascii="宋体" w:hAnsi="宋体" w:eastAsia="宋体"/>
                <w:sz w:val="19"/>
              </w:rPr>
              <w:t>1.4×10⁻¹⁴</w:t>
            </w:r>
          </w:p>
        </w:tc>
      </w:tr>
      <w:tr>
        <w:trPr>
          <w:cantSplit/>
        </w:trPr>
        <w:tc>
          <w:tcPr>
            <w:tcW w:type="dxa" w:w="4535"/>
          </w:tcPr>
          <w:p>
            <w:r/>
            <w:r>
              <w:rPr>
                <w:rFonts w:ascii="宋体" w:hAnsi="宋体" w:eastAsia="宋体"/>
                <w:sz w:val="19"/>
              </w:rPr>
              <w:t>湿球温度求根 vs scipy.optimize</w:t>
            </w:r>
          </w:p>
        </w:tc>
        <w:tc>
          <w:tcPr>
            <w:tcW w:type="dxa" w:w="3402"/>
          </w:tcPr>
          <w:p>
            <w:r/>
            <w:r>
              <w:rPr>
                <w:rFonts w:ascii="宋体" w:hAnsi="宋体" w:eastAsia="宋体"/>
                <w:sz w:val="19"/>
              </w:rPr>
              <w:t>3.6×10⁻¹⁵ K</w:t>
            </w:r>
          </w:p>
        </w:tc>
      </w:tr>
      <w:tr>
        <w:trPr>
          <w:cantSplit/>
        </w:trPr>
        <w:tc>
          <w:tcPr>
            <w:tcW w:type="dxa" w:w="4535"/>
          </w:tcPr>
          <w:p>
            <w:r/>
            <w:r>
              <w:rPr>
                <w:rFonts w:ascii="宋体" w:hAnsi="宋体" w:eastAsia="宋体"/>
                <w:sz w:val="19"/>
              </w:rPr>
              <w:t>三套物性 vs 闭式表达式</w:t>
            </w:r>
          </w:p>
        </w:tc>
        <w:tc>
          <w:tcPr>
            <w:tcW w:type="dxa" w:w="3402"/>
          </w:tcPr>
          <w:p>
            <w:r/>
            <w:r>
              <w:rPr>
                <w:rFonts w:ascii="宋体" w:hAnsi="宋体" w:eastAsia="宋体"/>
                <w:sz w:val="19"/>
              </w:rPr>
              <w:t>逐位相同</w:t>
            </w:r>
          </w:p>
        </w:tc>
      </w:tr>
      <w:tr>
        <w:trPr>
          <w:cantSplit/>
        </w:trPr>
        <w:tc>
          <w:tcPr>
            <w:tcW w:type="dxa" w:w="4535"/>
          </w:tcPr>
          <w:p>
            <w:r/>
            <w:r>
              <w:rPr>
                <w:rFonts w:ascii="宋体" w:hAnsi="宋体" w:eastAsia="宋体"/>
                <w:sz w:val="19"/>
              </w:rPr>
              <w:t>收缩曲线拟合在采样点的偏离</w:t>
            </w:r>
          </w:p>
        </w:tc>
        <w:tc>
          <w:tcPr>
            <w:tcW w:type="dxa" w:w="3402"/>
          </w:tcPr>
          <w:p>
            <w:r/>
            <w:r>
              <w:rPr>
                <w:rFonts w:ascii="宋体" w:hAnsi="宋体" w:eastAsia="宋体"/>
                <w:sz w:val="19"/>
              </w:rPr>
              <w:t>0.017 cm</w:t>
            </w:r>
          </w:p>
        </w:tc>
      </w:tr>
    </w:tbl>
    <w:p/>
    <w:p>
      <w:pPr>
        <w:ind w:firstLine="440"/>
      </w:pPr>
      <w:r>
        <w:t>第三层是结果对比：把本次求解的场与序列同标准结果逐键比较，四个模块的温度场最大偏差在 10⁻¹² ~ 10⁻⁹ K 之间，水分场在 10⁻¹⁴ ~ 10⁻¹⁰ kg/kg 之间，数组形状与标准结果完全一致。</w:t>
      </w:r>
    </w:p>
    <w:p>
      <w:pPr>
        <w:ind w:firstLine="440"/>
      </w:pPr>
      <w:r>
        <w:t>此外还有一项退化检验：把半径收缩率设为零，移动边界求解器应当精确退化为固定网格求解器。实测两者的相对偏差为 5×10⁻¹⁵，即机器精度。这条检验直接说明，收缩工况所用的坐标变换在推导与实现上没有引入误差。</w:t>
      </w:r>
    </w:p>
    <w:p>
      <w:pPr>
        <w:pStyle w:val="Heading1"/>
      </w:pPr>
      <w:r>
        <w:t>七、参数说明</w:t>
      </w:r>
    </w:p>
    <w:p>
      <w:pPr>
        <w:ind w:firstLine="440"/>
      </w:pPr>
      <w:r>
        <w:t>界面上常用的参数按组说明如下，未列出的参数可在“高级”文本框中查看和修改。</w:t>
      </w:r>
    </w:p>
    <w:p>
      <w:pPr>
        <w:pStyle w:val="Heading2"/>
      </w:pPr>
      <w:r>
        <w:t>7.1 数值参数</w:t>
      </w:r>
    </w:p>
    <w:tbl>
      <w:tblPr>
        <w:tblStyle w:val="TableGrid"/>
        <w:tblW w:type="auto" w:w="0"/>
        <w:jc w:val="center"/>
        <w:tblLook w:firstColumn="1" w:firstRow="1" w:lastColumn="0" w:lastRow="0" w:noHBand="0" w:noVBand="1" w:val="04A0"/>
      </w:tblPr>
      <w:tblGrid>
        <w:gridCol w:w="2769"/>
        <w:gridCol w:w="2769"/>
        <w:gridCol w:w="2769"/>
      </w:tblGrid>
      <w:tr>
        <w:trPr>
          <w:tblHeader/>
        </w:trPr>
        <w:tc>
          <w:tcPr>
            <w:tcW w:type="dxa" w:w="1928"/>
          </w:tcPr>
          <w:p>
            <w:r/>
            <w:r>
              <w:rPr>
                <w:rFonts w:ascii="宋体" w:hAnsi="宋体" w:eastAsia="宋体"/>
                <w:b/>
                <w:sz w:val="19"/>
              </w:rPr>
              <w:t>参数</w:t>
            </w:r>
          </w:p>
        </w:tc>
        <w:tc>
          <w:tcPr>
            <w:tcW w:type="dxa" w:w="4876"/>
          </w:tcPr>
          <w:p>
            <w:r/>
            <w:r>
              <w:rPr>
                <w:rFonts w:ascii="宋体" w:hAnsi="宋体" w:eastAsia="宋体"/>
                <w:b/>
                <w:sz w:val="19"/>
              </w:rPr>
              <w:t>含义</w:t>
            </w:r>
          </w:p>
        </w:tc>
        <w:tc>
          <w:tcPr>
            <w:tcW w:type="dxa" w:w="1474"/>
          </w:tcPr>
          <w:p>
            <w:r/>
            <w:r>
              <w:rPr>
                <w:rFonts w:ascii="宋体" w:hAnsi="宋体" w:eastAsia="宋体"/>
                <w:b/>
                <w:sz w:val="19"/>
              </w:rPr>
              <w:t>默认值</w:t>
            </w:r>
          </w:p>
        </w:tc>
      </w:tr>
      <w:tr>
        <w:trPr>
          <w:cantSplit/>
        </w:trPr>
        <w:tc>
          <w:tcPr>
            <w:tcW w:type="dxa" w:w="1928"/>
          </w:tcPr>
          <w:p>
            <w:r/>
            <w:r>
              <w:rPr>
                <w:rFonts w:ascii="宋体" w:hAnsi="宋体" w:eastAsia="宋体"/>
                <w:sz w:val="19"/>
              </w:rPr>
              <w:t>网格数 NR</w:t>
            </w:r>
          </w:p>
        </w:tc>
        <w:tc>
          <w:tcPr>
            <w:tcW w:type="dxa" w:w="4876"/>
          </w:tcPr>
          <w:p>
            <w:r/>
            <w:r>
              <w:rPr>
                <w:rFonts w:ascii="宋体" w:hAnsi="宋体" w:eastAsia="宋体"/>
                <w:sz w:val="19"/>
              </w:rPr>
              <w:t>径向网格节点数，取 20 的整数倍时输出位置恰好落在节点上</w:t>
            </w:r>
          </w:p>
        </w:tc>
        <w:tc>
          <w:tcPr>
            <w:tcW w:type="dxa" w:w="1474"/>
          </w:tcPr>
          <w:p>
            <w:r/>
            <w:r>
              <w:rPr>
                <w:rFonts w:ascii="宋体" w:hAnsi="宋体" w:eastAsia="宋体"/>
                <w:sz w:val="19"/>
              </w:rPr>
              <w:t>80</w:t>
            </w:r>
          </w:p>
        </w:tc>
      </w:tr>
      <w:tr>
        <w:trPr>
          <w:cantSplit/>
        </w:trPr>
        <w:tc>
          <w:tcPr>
            <w:tcW w:type="dxa" w:w="1928"/>
          </w:tcPr>
          <w:p>
            <w:r/>
            <w:r>
              <w:rPr>
                <w:rFonts w:ascii="宋体" w:hAnsi="宋体" w:eastAsia="宋体"/>
                <w:sz w:val="19"/>
              </w:rPr>
              <w:t>启动段步长</w:t>
            </w:r>
          </w:p>
        </w:tc>
        <w:tc>
          <w:tcPr>
            <w:tcW w:type="dxa" w:w="4876"/>
          </w:tcPr>
          <w:p>
            <w:r/>
            <w:r>
              <w:rPr>
                <w:rFonts w:ascii="宋体" w:hAnsi="宋体" w:eastAsia="宋体"/>
                <w:sz w:val="19"/>
              </w:rPr>
              <w:t>起始阶段的时间步长，用于抹平初始的表面通量突变</w:t>
            </w:r>
          </w:p>
        </w:tc>
        <w:tc>
          <w:tcPr>
            <w:tcW w:type="dxa" w:w="1474"/>
          </w:tcPr>
          <w:p>
            <w:r/>
            <w:r>
              <w:rPr>
                <w:rFonts w:ascii="宋体" w:hAnsi="宋体" w:eastAsia="宋体"/>
                <w:sz w:val="19"/>
              </w:rPr>
              <w:t>0.1 s</w:t>
            </w:r>
          </w:p>
        </w:tc>
      </w:tr>
      <w:tr>
        <w:trPr>
          <w:cantSplit/>
        </w:trPr>
        <w:tc>
          <w:tcPr>
            <w:tcW w:type="dxa" w:w="1928"/>
          </w:tcPr>
          <w:p>
            <w:r/>
            <w:r>
              <w:rPr>
                <w:rFonts w:ascii="宋体" w:hAnsi="宋体" w:eastAsia="宋体"/>
                <w:sz w:val="19"/>
              </w:rPr>
              <w:t>主段步长</w:t>
            </w:r>
          </w:p>
        </w:tc>
        <w:tc>
          <w:tcPr>
            <w:tcW w:type="dxa" w:w="4876"/>
          </w:tcPr>
          <w:p>
            <w:r/>
            <w:r>
              <w:rPr>
                <w:rFonts w:ascii="宋体" w:hAnsi="宋体" w:eastAsia="宋体"/>
                <w:sz w:val="19"/>
              </w:rPr>
              <w:t>正常推进的时间步长</w:t>
            </w:r>
          </w:p>
        </w:tc>
        <w:tc>
          <w:tcPr>
            <w:tcW w:type="dxa" w:w="1474"/>
          </w:tcPr>
          <w:p>
            <w:r/>
            <w:r>
              <w:rPr>
                <w:rFonts w:ascii="宋体" w:hAnsi="宋体" w:eastAsia="宋体"/>
                <w:sz w:val="19"/>
              </w:rPr>
              <w:t>1 s</w:t>
            </w:r>
          </w:p>
        </w:tc>
      </w:tr>
      <w:tr>
        <w:trPr>
          <w:cantSplit/>
        </w:trPr>
        <w:tc>
          <w:tcPr>
            <w:tcW w:type="dxa" w:w="1928"/>
          </w:tcPr>
          <w:p>
            <w:r/>
            <w:r>
              <w:rPr>
                <w:rFonts w:ascii="宋体" w:hAnsi="宋体" w:eastAsia="宋体"/>
                <w:sz w:val="19"/>
              </w:rPr>
              <w:t>启动段结束</w:t>
            </w:r>
          </w:p>
        </w:tc>
        <w:tc>
          <w:tcPr>
            <w:tcW w:type="dxa" w:w="4876"/>
          </w:tcPr>
          <w:p>
            <w:r/>
            <w:r>
              <w:rPr>
                <w:rFonts w:ascii="宋体" w:hAnsi="宋体" w:eastAsia="宋体"/>
                <w:sz w:val="19"/>
              </w:rPr>
              <w:t>启动段与主段的分界时刻</w:t>
            </w:r>
          </w:p>
        </w:tc>
        <w:tc>
          <w:tcPr>
            <w:tcW w:type="dxa" w:w="1474"/>
          </w:tcPr>
          <w:p>
            <w:r/>
            <w:r>
              <w:rPr>
                <w:rFonts w:ascii="宋体" w:hAnsi="宋体" w:eastAsia="宋体"/>
                <w:sz w:val="19"/>
              </w:rPr>
              <w:t>120 s</w:t>
            </w:r>
          </w:p>
        </w:tc>
      </w:tr>
      <w:tr>
        <w:trPr>
          <w:cantSplit/>
        </w:trPr>
        <w:tc>
          <w:tcPr>
            <w:tcW w:type="dxa" w:w="1928"/>
          </w:tcPr>
          <w:p>
            <w:r/>
            <w:r>
              <w:rPr>
                <w:rFonts w:ascii="宋体" w:hAnsi="宋体" w:eastAsia="宋体"/>
                <w:sz w:val="19"/>
              </w:rPr>
              <w:t>细化段步长</w:t>
            </w:r>
          </w:p>
        </w:tc>
        <w:tc>
          <w:tcPr>
            <w:tcW w:type="dxa" w:w="4876"/>
          </w:tcPr>
          <w:p>
            <w:r/>
            <w:r>
              <w:rPr>
                <w:rFonts w:ascii="宋体" w:hAnsi="宋体" w:eastAsia="宋体"/>
                <w:sz w:val="19"/>
              </w:rPr>
              <w:t>终点复核使用的时间步长</w:t>
            </w:r>
          </w:p>
        </w:tc>
        <w:tc>
          <w:tcPr>
            <w:tcW w:type="dxa" w:w="1474"/>
          </w:tcPr>
          <w:p>
            <w:r/>
            <w:r>
              <w:rPr>
                <w:rFonts w:ascii="宋体" w:hAnsi="宋体" w:eastAsia="宋体"/>
                <w:sz w:val="19"/>
              </w:rPr>
              <w:t>0.1 s</w:t>
            </w:r>
          </w:p>
        </w:tc>
      </w:tr>
      <w:tr>
        <w:trPr>
          <w:cantSplit/>
        </w:trPr>
        <w:tc>
          <w:tcPr>
            <w:tcW w:type="dxa" w:w="1928"/>
          </w:tcPr>
          <w:p>
            <w:r/>
            <w:r>
              <w:rPr>
                <w:rFonts w:ascii="宋体" w:hAnsi="宋体" w:eastAsia="宋体"/>
                <w:sz w:val="19"/>
              </w:rPr>
              <w:t>Picard 容差</w:t>
            </w:r>
          </w:p>
        </w:tc>
        <w:tc>
          <w:tcPr>
            <w:tcW w:type="dxa" w:w="4876"/>
          </w:tcPr>
          <w:p>
            <w:r/>
            <w:r>
              <w:rPr>
                <w:rFonts w:ascii="宋体" w:hAnsi="宋体" w:eastAsia="宋体"/>
                <w:sz w:val="19"/>
              </w:rPr>
              <w:t>迭代收敛的判据，前后两次结果的最大相对变化量</w:t>
            </w:r>
          </w:p>
        </w:tc>
        <w:tc>
          <w:tcPr>
            <w:tcW w:type="dxa" w:w="1474"/>
          </w:tcPr>
          <w:p>
            <w:r/>
            <w:r>
              <w:rPr>
                <w:rFonts w:ascii="宋体" w:hAnsi="宋体" w:eastAsia="宋体"/>
                <w:sz w:val="19"/>
              </w:rPr>
              <w:t>1e-12</w:t>
            </w:r>
          </w:p>
        </w:tc>
      </w:tr>
    </w:tbl>
    <w:p/>
    <w:p>
      <w:pPr>
        <w:pStyle w:val="Heading2"/>
      </w:pPr>
      <w:r>
        <w:t>7.2 边界与表面参数</w:t>
      </w:r>
    </w:p>
    <w:tbl>
      <w:tblPr>
        <w:tblStyle w:val="TableGrid"/>
        <w:tblW w:type="auto" w:w="0"/>
        <w:jc w:val="center"/>
        <w:tblLook w:firstColumn="1" w:firstRow="1" w:lastColumn="0" w:lastRow="0" w:noHBand="0" w:noVBand="1" w:val="04A0"/>
      </w:tblPr>
      <w:tblGrid>
        <w:gridCol w:w="2769"/>
        <w:gridCol w:w="2769"/>
        <w:gridCol w:w="2769"/>
      </w:tblGrid>
      <w:tr>
        <w:trPr>
          <w:tblHeader/>
        </w:trPr>
        <w:tc>
          <w:tcPr>
            <w:tcW w:type="dxa" w:w="1928"/>
          </w:tcPr>
          <w:p>
            <w:r/>
            <w:r>
              <w:rPr>
                <w:rFonts w:ascii="宋体" w:hAnsi="宋体" w:eastAsia="宋体"/>
                <w:b/>
                <w:sz w:val="19"/>
              </w:rPr>
              <w:t>参数</w:t>
            </w:r>
          </w:p>
        </w:tc>
        <w:tc>
          <w:tcPr>
            <w:tcW w:type="dxa" w:w="4876"/>
          </w:tcPr>
          <w:p>
            <w:r/>
            <w:r>
              <w:rPr>
                <w:rFonts w:ascii="宋体" w:hAnsi="宋体" w:eastAsia="宋体"/>
                <w:b/>
                <w:sz w:val="19"/>
              </w:rPr>
              <w:t>含义</w:t>
            </w:r>
          </w:p>
        </w:tc>
        <w:tc>
          <w:tcPr>
            <w:tcW w:type="dxa" w:w="1474"/>
          </w:tcPr>
          <w:p>
            <w:r/>
            <w:r>
              <w:rPr>
                <w:rFonts w:ascii="宋体" w:hAnsi="宋体" w:eastAsia="宋体"/>
                <w:b/>
                <w:sz w:val="19"/>
              </w:rPr>
              <w:t>默认值</w:t>
            </w:r>
          </w:p>
        </w:tc>
      </w:tr>
      <w:tr>
        <w:trPr>
          <w:cantSplit/>
        </w:trPr>
        <w:tc>
          <w:tcPr>
            <w:tcW w:type="dxa" w:w="1928"/>
          </w:tcPr>
          <w:p>
            <w:r/>
            <w:r>
              <w:rPr>
                <w:rFonts w:ascii="宋体" w:hAnsi="宋体" w:eastAsia="宋体"/>
                <w:sz w:val="19"/>
              </w:rPr>
              <w:t>边界模式</w:t>
            </w:r>
          </w:p>
        </w:tc>
        <w:tc>
          <w:tcPr>
            <w:tcW w:type="dxa" w:w="4876"/>
          </w:tcPr>
          <w:p>
            <w:r/>
            <w:r>
              <w:rPr>
                <w:rFonts w:ascii="宋体" w:hAnsi="宋体" w:eastAsia="宋体"/>
                <w:sz w:val="19"/>
              </w:rPr>
              <w:t>实测段用保形插值，之后用外推并平滑过渡</w:t>
            </w:r>
          </w:p>
        </w:tc>
        <w:tc>
          <w:tcPr>
            <w:tcW w:type="dxa" w:w="1474"/>
          </w:tcPr>
          <w:p>
            <w:r/>
            <w:r>
              <w:rPr>
                <w:rFonts w:ascii="宋体" w:hAnsi="宋体" w:eastAsia="宋体"/>
                <w:sz w:val="19"/>
              </w:rPr>
              <w:t>pchip_gp</w:t>
            </w:r>
          </w:p>
        </w:tc>
      </w:tr>
      <w:tr>
        <w:trPr>
          <w:cantSplit/>
        </w:trPr>
        <w:tc>
          <w:tcPr>
            <w:tcW w:type="dxa" w:w="1928"/>
          </w:tcPr>
          <w:p>
            <w:r/>
            <w:r>
              <w:rPr>
                <w:rFonts w:ascii="宋体" w:hAnsi="宋体" w:eastAsia="宋体"/>
                <w:sz w:val="19"/>
              </w:rPr>
              <w:t>两阶段分界</w:t>
            </w:r>
          </w:p>
        </w:tc>
        <w:tc>
          <w:tcPr>
            <w:tcW w:type="dxa" w:w="4876"/>
          </w:tcPr>
          <w:p>
            <w:r/>
            <w:r>
              <w:rPr>
                <w:rFonts w:ascii="宋体" w:hAnsi="宋体" w:eastAsia="宋体"/>
                <w:sz w:val="19"/>
              </w:rPr>
              <w:t>实测曲线结束、转入恒温干燥条件的时刻</w:t>
            </w:r>
          </w:p>
        </w:tc>
        <w:tc>
          <w:tcPr>
            <w:tcW w:type="dxa" w:w="1474"/>
          </w:tcPr>
          <w:p>
            <w:r/>
            <w:r>
              <w:rPr>
                <w:rFonts w:ascii="宋体" w:hAnsi="宋体" w:eastAsia="宋体"/>
                <w:sz w:val="19"/>
              </w:rPr>
              <w:t>14400 s</w:t>
            </w:r>
          </w:p>
        </w:tc>
      </w:tr>
      <w:tr>
        <w:trPr>
          <w:cantSplit/>
        </w:trPr>
        <w:tc>
          <w:tcPr>
            <w:tcW w:type="dxa" w:w="1928"/>
          </w:tcPr>
          <w:p>
            <w:r/>
            <w:r>
              <w:rPr>
                <w:rFonts w:ascii="宋体" w:hAnsi="宋体" w:eastAsia="宋体"/>
                <w:sz w:val="19"/>
              </w:rPr>
              <w:t>边界过渡宽度</w:t>
            </w:r>
          </w:p>
        </w:tc>
        <w:tc>
          <w:tcPr>
            <w:tcW w:type="dxa" w:w="4876"/>
          </w:tcPr>
          <w:p>
            <w:r/>
            <w:r>
              <w:rPr>
                <w:rFonts w:ascii="宋体" w:hAnsi="宋体" w:eastAsia="宋体"/>
                <w:sz w:val="19"/>
              </w:rPr>
              <w:t>边界由实测曲线过渡到恒温值的窗口长度</w:t>
            </w:r>
          </w:p>
        </w:tc>
        <w:tc>
          <w:tcPr>
            <w:tcW w:type="dxa" w:w="1474"/>
          </w:tcPr>
          <w:p>
            <w:r/>
            <w:r>
              <w:rPr>
                <w:rFonts w:ascii="宋体" w:hAnsi="宋体" w:eastAsia="宋体"/>
                <w:sz w:val="19"/>
              </w:rPr>
              <w:t>2.0 h</w:t>
            </w:r>
          </w:p>
        </w:tc>
      </w:tr>
      <w:tr>
        <w:trPr>
          <w:cantSplit/>
        </w:trPr>
        <w:tc>
          <w:tcPr>
            <w:tcW w:type="dxa" w:w="1928"/>
          </w:tcPr>
          <w:p>
            <w:r/>
            <w:r>
              <w:rPr>
                <w:rFonts w:ascii="宋体" w:hAnsi="宋体" w:eastAsia="宋体"/>
                <w:sz w:val="19"/>
              </w:rPr>
              <w:t>恒温段 T∞</w:t>
            </w:r>
          </w:p>
        </w:tc>
        <w:tc>
          <w:tcPr>
            <w:tcW w:type="dxa" w:w="4876"/>
          </w:tcPr>
          <w:p>
            <w:r/>
            <w:r>
              <w:rPr>
                <w:rFonts w:ascii="宋体" w:hAnsi="宋体" w:eastAsia="宋体"/>
                <w:sz w:val="19"/>
              </w:rPr>
              <w:t>恒温干燥段的烘房温度</w:t>
            </w:r>
          </w:p>
        </w:tc>
        <w:tc>
          <w:tcPr>
            <w:tcW w:type="dxa" w:w="1474"/>
          </w:tcPr>
          <w:p>
            <w:r/>
            <w:r>
              <w:rPr>
                <w:rFonts w:ascii="宋体" w:hAnsi="宋体" w:eastAsia="宋体"/>
                <w:sz w:val="19"/>
              </w:rPr>
              <w:t>50 ℃</w:t>
            </w:r>
          </w:p>
        </w:tc>
      </w:tr>
      <w:tr>
        <w:trPr>
          <w:cantSplit/>
        </w:trPr>
        <w:tc>
          <w:tcPr>
            <w:tcW w:type="dxa" w:w="1928"/>
          </w:tcPr>
          <w:p>
            <w:r/>
            <w:r>
              <w:rPr>
                <w:rFonts w:ascii="宋体" w:hAnsi="宋体" w:eastAsia="宋体"/>
                <w:sz w:val="19"/>
              </w:rPr>
              <w:t>恒温段 C∞</w:t>
            </w:r>
          </w:p>
        </w:tc>
        <w:tc>
          <w:tcPr>
            <w:tcW w:type="dxa" w:w="4876"/>
          </w:tcPr>
          <w:p>
            <w:r/>
            <w:r>
              <w:rPr>
                <w:rFonts w:ascii="宋体" w:hAnsi="宋体" w:eastAsia="宋体"/>
                <w:sz w:val="19"/>
              </w:rPr>
              <w:t>恒温干燥段的烘房湿度</w:t>
            </w:r>
          </w:p>
        </w:tc>
        <w:tc>
          <w:tcPr>
            <w:tcW w:type="dxa" w:w="1474"/>
          </w:tcPr>
          <w:p>
            <w:r/>
            <w:r>
              <w:rPr>
                <w:rFonts w:ascii="宋体" w:hAnsi="宋体" w:eastAsia="宋体"/>
                <w:sz w:val="19"/>
              </w:rPr>
              <w:t>0.0499 kg/kg</w:t>
            </w:r>
          </w:p>
        </w:tc>
      </w:tr>
      <w:tr>
        <w:trPr>
          <w:cantSplit/>
        </w:trPr>
        <w:tc>
          <w:tcPr>
            <w:tcW w:type="dxa" w:w="1928"/>
          </w:tcPr>
          <w:p>
            <w:r/>
            <w:r>
              <w:rPr>
                <w:rFonts w:ascii="宋体" w:hAnsi="宋体" w:eastAsia="宋体"/>
                <w:sz w:val="19"/>
              </w:rPr>
              <w:t>预热段 ε</w:t>
            </w:r>
          </w:p>
        </w:tc>
        <w:tc>
          <w:tcPr>
            <w:tcW w:type="dxa" w:w="4876"/>
          </w:tcPr>
          <w:p>
            <w:r/>
            <w:r>
              <w:rPr>
                <w:rFonts w:ascii="宋体" w:hAnsi="宋体" w:eastAsia="宋体"/>
                <w:sz w:val="19"/>
              </w:rPr>
              <w:t>到达表面的水分中真正发生相变的份额</w:t>
            </w:r>
          </w:p>
        </w:tc>
        <w:tc>
          <w:tcPr>
            <w:tcW w:type="dxa" w:w="1474"/>
          </w:tcPr>
          <w:p>
            <w:r/>
            <w:r>
              <w:rPr>
                <w:rFonts w:ascii="宋体" w:hAnsi="宋体" w:eastAsia="宋体"/>
                <w:sz w:val="19"/>
              </w:rPr>
              <w:t>0.03</w:t>
            </w:r>
          </w:p>
        </w:tc>
      </w:tr>
      <w:tr>
        <w:trPr>
          <w:cantSplit/>
        </w:trPr>
        <w:tc>
          <w:tcPr>
            <w:tcW w:type="dxa" w:w="1928"/>
          </w:tcPr>
          <w:p>
            <w:r/>
            <w:r>
              <w:rPr>
                <w:rFonts w:ascii="宋体" w:hAnsi="宋体" w:eastAsia="宋体"/>
                <w:sz w:val="19"/>
              </w:rPr>
              <w:t>液膜过渡</w:t>
            </w:r>
          </w:p>
        </w:tc>
        <w:tc>
          <w:tcPr>
            <w:tcW w:type="dxa" w:w="4876"/>
          </w:tcPr>
          <w:p>
            <w:r/>
            <w:r>
              <w:rPr>
                <w:rFonts w:ascii="宋体" w:hAnsi="宋体" w:eastAsia="宋体"/>
                <w:sz w:val="19"/>
              </w:rPr>
              <w:t>表面由对流边界过渡到湿球温度边界的时间</w:t>
            </w:r>
          </w:p>
        </w:tc>
        <w:tc>
          <w:tcPr>
            <w:tcW w:type="dxa" w:w="1474"/>
          </w:tcPr>
          <w:p>
            <w:r/>
            <w:r>
              <w:rPr>
                <w:rFonts w:ascii="宋体" w:hAnsi="宋体" w:eastAsia="宋体"/>
                <w:sz w:val="19"/>
              </w:rPr>
              <w:t>600 s</w:t>
            </w:r>
          </w:p>
        </w:tc>
      </w:tr>
    </w:tbl>
    <w:p/>
    <w:p>
      <w:pPr>
        <w:pStyle w:val="Heading2"/>
      </w:pPr>
      <w:r>
        <w:t>7.3 记录参数</w:t>
      </w:r>
    </w:p>
    <w:tbl>
      <w:tblPr>
        <w:tblStyle w:val="TableGrid"/>
        <w:tblW w:type="auto" w:w="0"/>
        <w:jc w:val="center"/>
        <w:tblLook w:firstColumn="1" w:firstRow="1" w:lastColumn="0" w:lastRow="0" w:noHBand="0" w:noVBand="1" w:val="04A0"/>
      </w:tblPr>
      <w:tblGrid>
        <w:gridCol w:w="2769"/>
        <w:gridCol w:w="2769"/>
        <w:gridCol w:w="2769"/>
      </w:tblGrid>
      <w:tr>
        <w:trPr>
          <w:tblHeader/>
        </w:trPr>
        <w:tc>
          <w:tcPr>
            <w:tcW w:type="dxa" w:w="1928"/>
          </w:tcPr>
          <w:p>
            <w:r/>
            <w:r>
              <w:rPr>
                <w:rFonts w:ascii="宋体" w:hAnsi="宋体" w:eastAsia="宋体"/>
                <w:b/>
                <w:sz w:val="19"/>
              </w:rPr>
              <w:t>参数</w:t>
            </w:r>
          </w:p>
        </w:tc>
        <w:tc>
          <w:tcPr>
            <w:tcW w:type="dxa" w:w="4876"/>
          </w:tcPr>
          <w:p>
            <w:r/>
            <w:r>
              <w:rPr>
                <w:rFonts w:ascii="宋体" w:hAnsi="宋体" w:eastAsia="宋体"/>
                <w:b/>
                <w:sz w:val="19"/>
              </w:rPr>
              <w:t>含义</w:t>
            </w:r>
          </w:p>
        </w:tc>
        <w:tc>
          <w:tcPr>
            <w:tcW w:type="dxa" w:w="1474"/>
          </w:tcPr>
          <w:p>
            <w:r/>
            <w:r>
              <w:rPr>
                <w:rFonts w:ascii="宋体" w:hAnsi="宋体" w:eastAsia="宋体"/>
                <w:b/>
                <w:sz w:val="19"/>
              </w:rPr>
              <w:t>默认值</w:t>
            </w:r>
          </w:p>
        </w:tc>
      </w:tr>
      <w:tr>
        <w:trPr>
          <w:cantSplit/>
        </w:trPr>
        <w:tc>
          <w:tcPr>
            <w:tcW w:type="dxa" w:w="1928"/>
          </w:tcPr>
          <w:p>
            <w:r/>
            <w:r>
              <w:rPr>
                <w:rFonts w:ascii="宋体" w:hAnsi="宋体" w:eastAsia="宋体"/>
                <w:sz w:val="19"/>
              </w:rPr>
              <w:t>快照间隔</w:t>
            </w:r>
          </w:p>
        </w:tc>
        <w:tc>
          <w:tcPr>
            <w:tcW w:type="dxa" w:w="4876"/>
          </w:tcPr>
          <w:p>
            <w:r/>
            <w:r>
              <w:rPr>
                <w:rFonts w:ascii="宋体" w:hAnsi="宋体" w:eastAsia="宋体"/>
                <w:sz w:val="19"/>
              </w:rPr>
              <w:t>保存完整场剖面的时间间隔</w:t>
            </w:r>
          </w:p>
        </w:tc>
        <w:tc>
          <w:tcPr>
            <w:tcW w:type="dxa" w:w="1474"/>
          </w:tcPr>
          <w:p>
            <w:r/>
            <w:r>
              <w:rPr>
                <w:rFonts w:ascii="宋体" w:hAnsi="宋体" w:eastAsia="宋体"/>
                <w:sz w:val="19"/>
              </w:rPr>
              <w:t>预热阶段 1 s，全周期 3600 s</w:t>
            </w:r>
          </w:p>
        </w:tc>
      </w:tr>
      <w:tr>
        <w:trPr>
          <w:cantSplit/>
        </w:trPr>
        <w:tc>
          <w:tcPr>
            <w:tcW w:type="dxa" w:w="1928"/>
          </w:tcPr>
          <w:p>
            <w:r/>
            <w:r>
              <w:rPr>
                <w:rFonts w:ascii="宋体" w:hAnsi="宋体" w:eastAsia="宋体"/>
                <w:sz w:val="19"/>
              </w:rPr>
              <w:t>行输出间隔</w:t>
            </w:r>
          </w:p>
        </w:tc>
        <w:tc>
          <w:tcPr>
            <w:tcW w:type="dxa" w:w="4876"/>
          </w:tcPr>
          <w:p>
            <w:r/>
            <w:r>
              <w:rPr>
                <w:rFonts w:ascii="宋体" w:hAnsi="宋体" w:eastAsia="宋体"/>
                <w:sz w:val="19"/>
              </w:rPr>
              <w:t>保存逐点序列的时间间隔</w:t>
            </w:r>
          </w:p>
        </w:tc>
        <w:tc>
          <w:tcPr>
            <w:tcW w:type="dxa" w:w="1474"/>
          </w:tcPr>
          <w:p>
            <w:r/>
            <w:r>
              <w:rPr>
                <w:rFonts w:ascii="宋体" w:hAnsi="宋体" w:eastAsia="宋体"/>
                <w:sz w:val="19"/>
              </w:rPr>
              <w:t>60 s</w:t>
            </w:r>
          </w:p>
        </w:tc>
      </w:tr>
      <w:tr>
        <w:trPr>
          <w:cantSplit/>
        </w:trPr>
        <w:tc>
          <w:tcPr>
            <w:tcW w:type="dxa" w:w="1928"/>
          </w:tcPr>
          <w:p>
            <w:r/>
            <w:r>
              <w:rPr>
                <w:rFonts w:ascii="宋体" w:hAnsi="宋体" w:eastAsia="宋体"/>
                <w:sz w:val="19"/>
              </w:rPr>
              <w:t>6 小时行间隔</w:t>
            </w:r>
          </w:p>
        </w:tc>
        <w:tc>
          <w:tcPr>
            <w:tcW w:type="dxa" w:w="4876"/>
          </w:tcPr>
          <w:p>
            <w:r/>
            <w:r>
              <w:rPr>
                <w:rFonts w:ascii="宋体" w:hAnsi="宋体" w:eastAsia="宋体"/>
                <w:sz w:val="19"/>
              </w:rPr>
              <w:t>按整小时抽样输出的间隔</w:t>
            </w:r>
          </w:p>
        </w:tc>
        <w:tc>
          <w:tcPr>
            <w:tcW w:type="dxa" w:w="1474"/>
          </w:tcPr>
          <w:p>
            <w:r/>
            <w:r>
              <w:rPr>
                <w:rFonts w:ascii="宋体" w:hAnsi="宋体" w:eastAsia="宋体"/>
                <w:sz w:val="19"/>
              </w:rPr>
              <w:t>21600 s</w:t>
            </w:r>
          </w:p>
        </w:tc>
      </w:tr>
      <w:tr>
        <w:trPr>
          <w:cantSplit/>
        </w:trPr>
        <w:tc>
          <w:tcPr>
            <w:tcW w:type="dxa" w:w="1928"/>
          </w:tcPr>
          <w:p>
            <w:r/>
            <w:r>
              <w:rPr>
                <w:rFonts w:ascii="宋体" w:hAnsi="宋体" w:eastAsia="宋体"/>
                <w:sz w:val="19"/>
              </w:rPr>
              <w:t>守恒追踪间隔</w:t>
            </w:r>
          </w:p>
        </w:tc>
        <w:tc>
          <w:tcPr>
            <w:tcW w:type="dxa" w:w="4876"/>
          </w:tcPr>
          <w:p>
            <w:r/>
            <w:r>
              <w:rPr>
                <w:rFonts w:ascii="宋体" w:hAnsi="宋体" w:eastAsia="宋体"/>
                <w:sz w:val="19"/>
              </w:rPr>
              <w:t>记录守恒残差的间隔</w:t>
            </w:r>
          </w:p>
        </w:tc>
        <w:tc>
          <w:tcPr>
            <w:tcW w:type="dxa" w:w="1474"/>
          </w:tcPr>
          <w:p>
            <w:r/>
            <w:r>
              <w:rPr>
                <w:rFonts w:ascii="宋体" w:hAnsi="宋体" w:eastAsia="宋体"/>
                <w:sz w:val="19"/>
              </w:rPr>
              <w:t>3600 s</w:t>
            </w:r>
          </w:p>
        </w:tc>
      </w:tr>
    </w:tbl>
    <w:p/>
    <w:p>
      <w:pPr>
        <w:pStyle w:val="Heading1"/>
      </w:pPr>
      <w:r>
        <w:t>八、常见问题</w:t>
      </w:r>
    </w:p>
    <w:p>
      <w:pPr>
        <w:spacing w:after="20"/>
      </w:pPr>
      <w:r>
        <w:rPr>
          <w:b/>
        </w:rPr>
        <w:t>问：点“运行”后提示找不到可执行文件</w:t>
      </w:r>
    </w:p>
    <w:p>
      <w:pPr>
        <w:spacing w:after="140"/>
        <w:ind w:firstLine="440"/>
      </w:pPr>
      <w:r>
        <w:t>答：求解器还没有编译。先点“构建 exe”，日志区出现“构建成功”后即可运行。</w:t>
      </w:r>
    </w:p>
    <w:p>
      <w:pPr>
        <w:spacing w:after="20"/>
      </w:pPr>
      <w:r>
        <w:rPr>
          <w:b/>
        </w:rPr>
        <w:t>问：提示缺少输入数据</w:t>
      </w:r>
    </w:p>
    <w:p>
      <w:pPr>
        <w:spacing w:after="140"/>
        <w:ind w:firstLine="440"/>
      </w:pPr>
      <w:r>
        <w:t>答：先点“准备数据表”。该步骤读取烘房工况曲线与收缩曲线，生成求解器需要的输入文件。</w:t>
      </w:r>
    </w:p>
    <w:p>
      <w:pPr>
        <w:spacing w:after="20"/>
      </w:pPr>
      <w:r>
        <w:rPr>
          <w:b/>
        </w:rPr>
        <w:t>问：计算时间比预期长</w:t>
      </w:r>
    </w:p>
    <w:p>
      <w:pPr>
        <w:spacing w:after="140"/>
        <w:ind w:firstLine="440"/>
      </w:pPr>
      <w:r>
        <w:t>答：全周期、时长预测与收缩工况三个模块的时间步数在二十万步以上，属于正常范围。若只需要看趋势，可以把网格数改小、主段步长改大。</w:t>
      </w:r>
    </w:p>
    <w:p>
      <w:pPr>
        <w:spacing w:after="20"/>
      </w:pPr>
      <w:r>
        <w:rPr>
          <w:b/>
        </w:rPr>
        <w:t>问：结果表格中有些单元格是空的</w:t>
      </w:r>
    </w:p>
    <w:p>
      <w:pPr>
        <w:spacing w:after="140"/>
        <w:ind w:firstLine="440"/>
      </w:pPr>
      <w:r>
        <w:t>答：这是收缩工况的正常现象。物料半径随烘干收缩，原本位于外侧的输出位置已经落到物料之外，因此没有数值。</w:t>
      </w:r>
    </w:p>
    <w:p>
      <w:pPr>
        <w:spacing w:after="20"/>
      </w:pPr>
      <w:r>
        <w:rPr>
          <w:b/>
        </w:rPr>
        <w:t>问：导出的 Excel 打不开或提示被占用</w:t>
      </w:r>
    </w:p>
    <w:p>
      <w:pPr>
        <w:spacing w:after="140"/>
        <w:ind w:firstLine="440"/>
      </w:pPr>
      <w:r>
        <w:t>答：文件正在被其他程序打开。关闭后重新运行即可，软件遇到占用时会自动改写为带 .new 后缀的副本，不会中断计算。</w:t>
      </w:r>
    </w:p>
    <w:p>
      <w:pPr>
        <w:spacing w:after="20"/>
      </w:pPr>
      <w:r>
        <w:rPr>
          <w:b/>
        </w:rPr>
        <w:t>问：想修改物料半径或初始含水率</w:t>
      </w:r>
    </w:p>
    <w:p>
      <w:pPr>
        <w:spacing w:after="140"/>
        <w:ind w:firstLine="440"/>
      </w:pPr>
      <w:r>
        <w:t>答：目前在参数区的“高级”文本框中修改。几何与初始条件由参数文件读入，改动后会立即生效。</w:t>
      </w:r>
    </w:p>
    <w:p>
      <w:pPr>
        <w:spacing w:after="20"/>
      </w:pPr>
      <w:r>
        <w:rPr>
          <w:b/>
        </w:rPr>
        <w:t>问：计算中途想停止</w:t>
      </w:r>
    </w:p>
    <w:p>
      <w:pPr>
        <w:spacing w:after="140"/>
        <w:ind w:firstLine="440"/>
      </w:pPr>
      <w:r>
        <w:t>答：点“取消”。程序会终止计算子进程，已经写入的结果文件保留在输出目录中。</w:t>
      </w:r>
    </w:p>
    <w:sectPr w:rsidR="00FC693F" w:rsidRPr="0006063C" w:rsidSect="00034616">
      <w:head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药材烘干过程数值模拟软件V1.0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6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黑体" w:hAnsi="黑体" w:eastAsia="黑体"/>
      <w:b/>
      <w:bCs/>
      <w:color w:val="1F3348"/>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黑体" w:hAnsi="黑体" w:eastAsia="黑体"/>
      <w:b/>
      <w:bCs/>
      <w:color w:val="1F334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黑体" w:hAnsi="黑体" w:eastAsia="黑体"/>
      <w:b/>
      <w:bCs/>
      <w:color w:val="1F33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