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sz w:val="48"/>
        </w:rPr>
        <w:t>MolecuLens 分子结构与轨迹显示引擎</w:t>
      </w:r>
    </w:p>
    <w:p>
      <w:pPr>
        <w:jc w:val="center"/>
      </w:pPr>
      <w:r>
        <w:rPr>
          <w:rFonts w:ascii="黑体" w:hAnsi="黑体" w:eastAsia="黑体"/>
          <w:sz w:val="30"/>
        </w:rPr>
        <w:t>（V1.0）</w:t>
      </w:r>
    </w:p>
    <w:p>
      <w:pPr>
        <w:jc w:val="center"/>
      </w:pPr>
    </w:p>
    <w:p>
      <w:pPr>
        <w:jc w:val="center"/>
      </w:pPr>
      <w:r>
        <w:rPr>
          <w:rFonts w:ascii="黑体" w:hAnsi="黑体" w:eastAsia="黑体"/>
          <w:sz w:val="40"/>
        </w:rPr>
        <w:t>用  户  手  册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5"/>
        </w:rPr>
        <w:t>著作权人：</w:t>
      </w:r>
    </w:p>
    <w:p>
      <w:pPr>
        <w:jc w:val="center"/>
      </w:pPr>
      <w:r>
        <w:rPr>
          <w:rFonts w:ascii="宋体" w:hAnsi="宋体" w:eastAsia="宋体"/>
          <w:sz w:val="25"/>
        </w:rPr>
        <w:t>编制日期：2026 年 9 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  <w:ind w:left="0"/>
      </w:pPr>
      <w:r>
        <w:rPr>
          <w:b/>
        </w:rPr>
        <w:t>一、软件概述</w:t>
      </w:r>
    </w:p>
    <w:p>
      <w:pPr>
        <w:spacing w:after="40"/>
        <w:ind w:left="120"/>
      </w:pPr>
      <w:r>
        <w:t xml:space="preserve">    1.1 名称与版本</w:t>
      </w:r>
    </w:p>
    <w:p>
      <w:pPr>
        <w:spacing w:after="40"/>
        <w:ind w:left="120"/>
      </w:pPr>
      <w:r>
        <w:t xml:space="preserve">    1.2 开发目的</w:t>
      </w:r>
    </w:p>
    <w:p>
      <w:pPr>
        <w:spacing w:after="40"/>
        <w:ind w:left="120"/>
      </w:pPr>
      <w:r>
        <w:t xml:space="preserve">    1.3 适用范围</w:t>
      </w:r>
    </w:p>
    <w:p>
      <w:pPr>
        <w:spacing w:after="40"/>
        <w:ind w:left="120"/>
      </w:pPr>
      <w:r>
        <w:t xml:space="preserve">    1.4 运行环境</w:t>
      </w:r>
    </w:p>
    <w:p>
      <w:pPr>
        <w:spacing w:after="40"/>
        <w:ind w:left="0"/>
      </w:pPr>
      <w:r>
        <w:rPr>
          <w:b/>
        </w:rPr>
        <w:t>二、软件结构</w:t>
      </w:r>
    </w:p>
    <w:p>
      <w:pPr>
        <w:spacing w:after="40"/>
        <w:ind w:left="120"/>
      </w:pPr>
      <w:r>
        <w:t xml:space="preserve">    2.1 体系结构</w:t>
      </w:r>
    </w:p>
    <w:p>
      <w:pPr>
        <w:spacing w:after="40"/>
        <w:ind w:left="120"/>
      </w:pPr>
      <w:r>
        <w:t xml:space="preserve">    2.2 渲染流程</w:t>
      </w:r>
    </w:p>
    <w:p>
      <w:pPr>
        <w:spacing w:after="40"/>
        <w:ind w:left="120"/>
      </w:pPr>
      <w:r>
        <w:t xml:space="preserve">    2.3 基本概念</w:t>
      </w:r>
    </w:p>
    <w:p>
      <w:pPr>
        <w:spacing w:after="40"/>
        <w:ind w:left="0"/>
      </w:pPr>
      <w:r>
        <w:rPr>
          <w:b/>
        </w:rPr>
        <w:t>三、功能模块</w:t>
      </w:r>
    </w:p>
    <w:p>
      <w:pPr>
        <w:spacing w:after="40"/>
        <w:ind w:left="120"/>
      </w:pPr>
      <w:r>
        <w:t xml:space="preserve">    3.1 结构文件载入</w:t>
      </w:r>
    </w:p>
    <w:p>
      <w:pPr>
        <w:spacing w:after="40"/>
        <w:ind w:left="120"/>
      </w:pPr>
      <w:r>
        <w:t xml:space="preserve">    3.2 表示方式</w:t>
      </w:r>
    </w:p>
    <w:p>
      <w:pPr>
        <w:spacing w:after="40"/>
        <w:ind w:left="120"/>
      </w:pPr>
      <w:r>
        <w:t xml:space="preserve">    3.3 配色方案</w:t>
      </w:r>
    </w:p>
    <w:p>
      <w:pPr>
        <w:spacing w:after="40"/>
        <w:ind w:left="120"/>
      </w:pPr>
      <w:r>
        <w:t xml:space="preserve">    3.4 体系管理</w:t>
      </w:r>
    </w:p>
    <w:p>
      <w:pPr>
        <w:spacing w:after="40"/>
        <w:ind w:left="120"/>
      </w:pPr>
      <w:r>
        <w:t xml:space="preserve">    3.5 视角操作</w:t>
      </w:r>
    </w:p>
    <w:p>
      <w:pPr>
        <w:spacing w:after="40"/>
        <w:ind w:left="120"/>
      </w:pPr>
      <w:r>
        <w:t xml:space="preserve">    3.6 视觉设置</w:t>
      </w:r>
    </w:p>
    <w:p>
      <w:pPr>
        <w:spacing w:after="40"/>
        <w:ind w:left="120"/>
      </w:pPr>
      <w:r>
        <w:t xml:space="preserve">    3.7 材质</w:t>
      </w:r>
    </w:p>
    <w:p>
      <w:pPr>
        <w:spacing w:after="40"/>
        <w:ind w:left="120"/>
      </w:pPr>
      <w:r>
        <w:t xml:space="preserve">    3.8 图像导出</w:t>
      </w:r>
    </w:p>
    <w:p>
      <w:pPr>
        <w:spacing w:after="40"/>
        <w:ind w:left="120"/>
      </w:pPr>
      <w:r>
        <w:t xml:space="preserve">    3.9 界面主题</w:t>
      </w:r>
    </w:p>
    <w:p>
      <w:pPr>
        <w:spacing w:after="40"/>
        <w:ind w:left="120"/>
      </w:pPr>
      <w:r>
        <w:t xml:space="preserve">    3.10 日志</w:t>
      </w:r>
    </w:p>
    <w:p>
      <w:pPr>
        <w:spacing w:after="40"/>
        <w:ind w:left="0"/>
      </w:pPr>
      <w:r>
        <w:rPr>
          <w:b/>
        </w:rPr>
        <w:t>四、界面说明</w:t>
      </w:r>
    </w:p>
    <w:p>
      <w:pPr>
        <w:spacing w:after="40"/>
        <w:ind w:left="120"/>
      </w:pPr>
      <w:r>
        <w:t xml:space="preserve">    4.1 主界面</w:t>
      </w:r>
    </w:p>
    <w:p>
      <w:pPr>
        <w:spacing w:after="40"/>
        <w:ind w:left="120"/>
      </w:pPr>
      <w:r>
        <w:t xml:space="preserve">    4.2 分子列表面板</w:t>
      </w:r>
    </w:p>
    <w:p>
      <w:pPr>
        <w:spacing w:after="40"/>
        <w:ind w:left="120"/>
      </w:pPr>
      <w:r>
        <w:t xml:space="preserve">    4.3 渲染设置面板</w:t>
      </w:r>
    </w:p>
    <w:p>
      <w:pPr>
        <w:spacing w:after="40"/>
        <w:ind w:left="120"/>
      </w:pPr>
      <w:r>
        <w:t xml:space="preserve">    4.4 材质选择面板</w:t>
      </w:r>
    </w:p>
    <w:p>
      <w:pPr>
        <w:spacing w:after="40"/>
        <w:ind w:left="120"/>
      </w:pPr>
      <w:r>
        <w:t xml:space="preserve">    4.5 图像导出面板</w:t>
      </w:r>
    </w:p>
    <w:p>
      <w:pPr>
        <w:spacing w:after="40"/>
        <w:ind w:left="120"/>
      </w:pPr>
      <w:r>
        <w:t xml:space="preserve">    4.6 主题设置面板</w:t>
      </w:r>
    </w:p>
    <w:p>
      <w:pPr>
        <w:spacing w:after="40"/>
        <w:ind w:left="120"/>
      </w:pPr>
      <w:r>
        <w:t xml:space="preserve">    4.7 日志面板</w:t>
      </w:r>
    </w:p>
    <w:p>
      <w:pPr>
        <w:spacing w:after="40"/>
        <w:ind w:left="120"/>
      </w:pPr>
      <w:r>
        <w:t xml:space="preserve">    4.8 时间轴与状态栏</w:t>
      </w:r>
    </w:p>
    <w:p>
      <w:pPr>
        <w:spacing w:after="40"/>
        <w:ind w:left="120"/>
      </w:pPr>
      <w:r>
        <w:t xml:space="preserve">    4.9 菜单栏</w:t>
      </w:r>
    </w:p>
    <w:p>
      <w:pPr>
        <w:spacing w:after="40"/>
        <w:ind w:left="0"/>
      </w:pPr>
      <w:r>
        <w:rPr>
          <w:b/>
        </w:rPr>
        <w:t>五、使用流程</w:t>
      </w:r>
    </w:p>
    <w:p>
      <w:pPr>
        <w:spacing w:after="40"/>
        <w:ind w:left="120"/>
      </w:pPr>
      <w:r>
        <w:t xml:space="preserve">    5.1 载入与观察</w:t>
      </w:r>
    </w:p>
    <w:p>
      <w:pPr>
        <w:spacing w:after="40"/>
        <w:ind w:left="120"/>
      </w:pPr>
      <w:r>
        <w:t xml:space="preserve">    5.2 调整表示与配色</w:t>
      </w:r>
    </w:p>
    <w:p>
      <w:pPr>
        <w:spacing w:after="40"/>
        <w:ind w:left="120"/>
      </w:pPr>
      <w:r>
        <w:t xml:space="preserve">    5.3 导出图像</w:t>
      </w:r>
    </w:p>
    <w:p>
      <w:pPr>
        <w:spacing w:after="40"/>
        <w:ind w:left="120"/>
      </w:pPr>
      <w:r>
        <w:t xml:space="preserve">    5.4 命令行方式</w:t>
      </w:r>
    </w:p>
    <w:p>
      <w:pPr>
        <w:spacing w:after="40"/>
        <w:ind w:left="0"/>
      </w:pPr>
      <w:r>
        <w:rPr>
          <w:b/>
        </w:rPr>
        <w:t>六、功能详解与效果示例</w:t>
      </w:r>
    </w:p>
    <w:p>
      <w:pPr>
        <w:spacing w:after="40"/>
        <w:ind w:left="120"/>
      </w:pPr>
      <w:r>
        <w:t xml:space="preserve">    6.1 表示方式对照</w:t>
      </w:r>
    </w:p>
    <w:p>
      <w:pPr>
        <w:spacing w:after="40"/>
        <w:ind w:left="120"/>
      </w:pPr>
      <w:r>
        <w:t xml:space="preserve">    6.2 配色方案对照</w:t>
      </w:r>
    </w:p>
    <w:p>
      <w:pPr>
        <w:spacing w:after="40"/>
        <w:ind w:left="120"/>
      </w:pPr>
      <w:r>
        <w:t xml:space="preserve">    6.3 光线追踪导出</w:t>
      </w:r>
    </w:p>
    <w:p>
      <w:pPr>
        <w:spacing w:after="40"/>
        <w:ind w:left="0"/>
      </w:pPr>
      <w:r>
        <w:rPr>
          <w:b/>
        </w:rPr>
        <w:t>七、参数说明</w:t>
      </w:r>
    </w:p>
    <w:p>
      <w:pPr>
        <w:spacing w:after="40"/>
        <w:ind w:left="0"/>
      </w:pPr>
      <w:r>
        <w:rPr>
          <w:b/>
        </w:rPr>
        <w:t>八、常见问题</w:t>
      </w:r>
    </w:p>
    <w:p>
      <w:r>
        <w:br w:type="page"/>
      </w:r>
    </w:p>
    <w:p>
      <w:pPr>
        <w:pStyle w:val="Heading1"/>
      </w:pPr>
      <w:r>
        <w:t>一、软件概述</w:t>
      </w:r>
    </w:p>
    <w:p>
      <w:pPr>
        <w:pStyle w:val="Heading2"/>
      </w:pPr>
      <w:r>
        <w:t>1.1 名称与版本</w:t>
      </w:r>
    </w:p>
    <w:p>
      <w:pPr>
        <w:ind w:firstLine="440"/>
      </w:pPr>
      <w:r>
        <w:t>本软件全称“MolecuLens 分子结构与轨迹显示引擎”，简称“MolecuLens”，版本号 V1.0。</w:t>
      </w:r>
    </w:p>
    <w:p>
      <w:pPr>
        <w:ind w:firstLine="440"/>
      </w:pPr>
      <w:r>
        <w:t>软件以单个桌面窗口交付，内部是一套完整的分子结构显示引擎：从结构文件的解析，到原子与键的几何生成，再到 GPU 绘制与界面呈现，全部由软件自身完成。引擎部分不含任何第三方渲染中间件，图形接口的使用、几何生成与光照计算均为自行实现。</w:t>
      </w:r>
    </w:p>
    <w:p>
      <w:pPr>
        <w:pStyle w:val="Heading2"/>
      </w:pPr>
      <w:r>
        <w:t>1.2 开发目的</w:t>
      </w:r>
    </w:p>
    <w:p>
      <w:pPr>
        <w:ind w:firstLine="440"/>
      </w:pPr>
      <w:r>
        <w:t>分子结构数据的原始形态是一批坐标数字。无论用于科研还是教学，第一步都是把它变成能看的图形：哪些原子连在一起、骨架走向如何、某个区域是不是口袋、配体落在什么位置。同一个结构，用不同的画法呈现，能看出来的信息并不相同——球棍适合看键连与立体构型，骨架适合看整体折叠，表面适合看外形轮廓与空腔。</w:t>
      </w:r>
    </w:p>
    <w:p>
      <w:pPr>
        <w:ind w:firstLine="440"/>
      </w:pPr>
      <w:r>
        <w:t>本软件要解决的问题是：把结构文件快速、准确地转成可交互的三维图形，并且让“换一种画法、换一套配色”成为一次点击的事情，而不是重新出图。为此软件把“表示方式”和“配色方案”做成两个彼此独立的维度，任意表示方式都可以搭配任意配色方案，组合后立即重绘。</w:t>
      </w:r>
    </w:p>
    <w:p>
      <w:pPr>
        <w:pStyle w:val="Heading2"/>
      </w:pPr>
      <w:r>
        <w:t>1.3 适用范围</w:t>
      </w:r>
    </w:p>
    <w:p>
      <w:pPr>
        <w:ind w:firstLine="440"/>
      </w:pPr>
      <w:r>
        <w:t>适用于需要观察分子三维结构的场合，包括但不限于：</w:t>
      </w:r>
    </w:p>
    <w:p>
      <w:pPr>
        <w:pStyle w:val="ListBullet"/>
      </w:pPr>
      <w:r>
        <w:t>科研：查看蛋白质、多肽、小分子配体的构象与堆积关系，比对不同结构的差异。</w:t>
      </w:r>
    </w:p>
    <w:p>
      <w:pPr>
        <w:pStyle w:val="ListBullet"/>
      </w:pPr>
      <w:r>
        <w:t>教学：课堂演示二级结构、空间填充、分子表面等概念，实时切换画法对照讲解。</w:t>
      </w:r>
    </w:p>
    <w:p>
      <w:pPr>
        <w:pStyle w:val="ListBullet"/>
      </w:pPr>
      <w:r>
        <w:t>制图：把当前画面按指定分辨率导出为图片，用于论文与讲义。</w:t>
      </w:r>
    </w:p>
    <w:p>
      <w:pPr>
        <w:ind w:firstLine="440"/>
      </w:pPr>
      <w:r>
        <w:t>软件支持 PDB、GRO、SDF（V2000）三种常用的结构文件格式。对于以轨迹形式给出的多帧结构，软件具备逐帧播放的完整能力；当前版本的载入环节读取结构文件中的全部帧，时间轴面板用于逐帧查看。</w:t>
      </w:r>
    </w:p>
    <w:p>
      <w:pPr>
        <w:pStyle w:val="Heading2"/>
      </w:pPr>
      <w:r>
        <w:t>1.4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Windows 10 / 11（64 位）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处理器与内存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双核以上；内存 4 GB 以上（十万原子级体系建议 8 GB）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图形设备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支持 Vulkan 1.1 及以上的显卡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磁盘空间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约 200 MB（含程序与依赖库）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运行依赖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随程序附带的 fmtd / glfw3 / spdlogd 动态库，无需单独安装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重新编译所需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CMake 3.21 及以上、C++17 编译器（MSVC 2022）、vcpkg、Vulkan SDK</w:t>
            </w:r>
          </w:p>
        </w:tc>
      </w:tr>
    </w:tbl>
    <w:p/>
    <w:p>
      <w:pPr>
        <w:pStyle w:val="Heading1"/>
      </w:pPr>
      <w:r>
        <w:t>二、软件结构</w:t>
      </w:r>
    </w:p>
    <w:p>
      <w:pPr>
        <w:pStyle w:val="Heading2"/>
      </w:pPr>
      <w:r>
        <w:t>2.1 体系结构</w:t>
      </w:r>
    </w:p>
    <w:p>
      <w:pPr>
        <w:ind w:firstLine="440"/>
      </w:pPr>
      <w:r>
        <w:t>软件自下而上分为四层，依赖方向单一，下层不感知上层。</w:t>
      </w:r>
    </w:p>
    <w:p>
      <w:pPr>
        <w:ind w:firstLine="440"/>
      </w:pPr>
      <w:r>
        <w:t>领域层存放与图形无关的数据：原子与元素表、键、残基与链、场景与体系、结构识别码、轨迹，以及结构文件的解析器。引擎层存放与图形有关的一切：表示方式的几何生成、命令流、相机与拾取、Vulkan 渲染后端、光线追踪、图像导出。应用层是控制器，把用户动作翻译成对引擎层的调用。表现层是界面本身。</w:t>
      </w:r>
    </w:p>
    <w:p>
      <w:pPr>
        <w:ind w:firstLine="440"/>
      </w:pPr>
      <w:r>
        <w:t>这样分层的好处是几何生成与界面彼此独立：换一种表示方式只影响引擎层的几何生成，界面上多一个面板也不必改动渲染逻辑。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690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9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2-1  软件体系结构</w:t>
      </w:r>
    </w:p>
    <w:p>
      <w:pPr>
        <w:pStyle w:val="Heading2"/>
      </w:pPr>
      <w:r>
        <w:t>2.2 渲染流程</w:t>
      </w:r>
    </w:p>
    <w:p>
      <w:pPr>
        <w:ind w:firstLine="440"/>
      </w:pPr>
      <w:r>
        <w:t>打开一个结构文件后，软件在后台线程完成解析，主线程把解析结果合并进场景，并建立一个体系、按包围球为相机取景。此后只要场景发生变更（切换表示方式、切换配色、移动分子等），就重建一次命令流。</w:t>
      </w:r>
    </w:p>
    <w:p>
      <w:pPr>
        <w:ind w:firstLine="440"/>
      </w:pPr>
      <w:r>
        <w:t>命令流是引擎内部的一套紧凑指令序列，描述“画什么、怎么画”：每条几何指令对应一个球、一段圆柱、一条线段或一片三角网格，并携带颜色、材质与渲染模式。GPU 按批次读取这些指令完成绘制。把几何生成与绘制分开，使表示方式的增删只影响生成侧，不必改动渲染侧。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3860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6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2-2  从打开文件到画面呈现的处理流程</w:t>
      </w:r>
    </w:p>
    <w:p>
      <w:pPr>
        <w:pStyle w:val="Heading2"/>
      </w:pPr>
      <w:r>
        <w:t>2.3 基本概念</w:t>
      </w:r>
    </w:p>
    <w:p>
      <w:pPr>
        <w:ind w:firstLine="440"/>
      </w:pPr>
      <w:r>
        <w:t>理解界面之前，先明确三个术语。</w:t>
      </w:r>
    </w:p>
    <w:p>
      <w:pPr>
        <w:pStyle w:val="ListBullet"/>
      </w:pPr>
      <w:r>
        <w:t>表示方式：用什么样的几何形状来画这些原子与键。例如球棍、空间填充、骨架。</w:t>
      </w:r>
    </w:p>
    <w:p>
      <w:pPr>
        <w:pStyle w:val="ListBullet"/>
      </w:pPr>
      <w:r>
        <w:t>配色方案：每个原子取什么颜色。例如按元素、按链、按残基。</w:t>
      </w:r>
    </w:p>
    <w:p>
      <w:pPr>
        <w:pStyle w:val="ListBullet"/>
      </w:pPr>
      <w:r>
        <w:t>体系：一次导入产生的一个管理单位，容纳本次导入的全部分子，可以整体显隐、整体平移、单独删除，也可以把成员分子移交给别的体系。</w:t>
      </w:r>
    </w:p>
    <w:p>
      <w:pPr>
        <w:ind w:firstLine="440"/>
      </w:pPr>
      <w:r>
        <w:t>表示方式与配色方案相互独立，可以任意组合；体系则决定“哪些分子算一组”，与画法无关。</w:t>
      </w:r>
    </w:p>
    <w:p>
      <w:pPr>
        <w:pStyle w:val="Heading1"/>
      </w:pPr>
      <w:r>
        <w:t>三、功能模块</w:t>
      </w:r>
    </w:p>
    <w:p>
      <w:pPr>
        <w:pStyle w:val="Heading2"/>
      </w:pPr>
      <w:r>
        <w:t>3.1 结构文件载入</w:t>
      </w:r>
    </w:p>
    <w:p>
      <w:pPr>
        <w:ind w:firstLine="440"/>
      </w:pPr>
      <w:r>
        <w:t>通过菜单“文件 → 打开”选择结构文件。软件按扩展名选择解析器，也支持在扩展名不认识时按文件内容特征判断。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格式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扩展名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可读出的信息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PDB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.pdb / .ent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原子与元素、残基与链、占有度、温度因子（B 因子）、CONECT 显式键、MODEL 多帧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GRO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.gro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原子与元素、残基、速度、盒子尺寸；按残基连续块拆分为分子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SDF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.sdf / .mol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V2000 格式的原子与显式键表；多记录一次导入</w:t>
            </w:r>
          </w:p>
        </w:tc>
      </w:tr>
    </w:tbl>
    <w:p/>
    <w:p>
      <w:pPr>
        <w:ind w:firstLine="440"/>
      </w:pPr>
      <w:r>
        <w:t>对于 PDB 文件中没有 CONECT 记录的结构，软件按原子间距离自动推断键连，并按元素半径判据排除过近或过远的假键。GRO 文件按残基名识别水与离子，标为溶剂分子。</w:t>
      </w:r>
    </w:p>
    <w:p>
      <w:pPr>
        <w:ind w:firstLine="440"/>
      </w:pPr>
      <w:r>
        <w:t>解析在后台线程进行，界面不会卡住。解析完成后主线程把结果合并进场景；一次导入对应一个体系，体系整体居中于坐标原点，体系之间初始重叠，可用移动功能分开。</w:t>
      </w:r>
    </w:p>
    <w:p>
      <w:pPr>
        <w:pStyle w:val="Heading2"/>
      </w:pPr>
      <w:r>
        <w:t>3.2 表示方式</w:t>
      </w:r>
    </w:p>
    <w:p>
      <w:pPr>
        <w:ind w:firstLine="440"/>
      </w:pPr>
      <w:r>
        <w:t>表示方式在“渲染设置”面板的样式下拉框中切换，选中后立即重绘。软件内部实现了十三种表示，界面提供其中十二种（标签为预留项，暂未开放）。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样式名称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几何形态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半径与尺寸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线状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每条键画一条线段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无粗细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棍状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每条键一段圆柱，两端加小圆球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圆柱半径 = 0.25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球棍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每个原子一个球，每条键一段圆柱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球半径按元素范德华半径折算并截断在 0.2～0.6 之间，再乘球体缩放；圆柱半径 = 0.15 × 球体缩放 × 键半径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CPK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每个原子一个球（空间填充）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元素范德华半径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VDW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每个原子一个球（全范德华半径）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元素范德华半径，不受球体缩放影响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甘草棍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每条键一段粗圆柱，无端帽球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圆柱半径 = 0.30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卡通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蛋白质骨架按二级结构挤出带状与管状截面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螺旋带宽 1.6，折叠带 1.2～2.4，无规管半径 0.35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新卡通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同上，骨架样条更密、截面半径随二级结构变化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螺旋 0.9 / 折叠 0.6 / 无规 0.3，均乘球体缩放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丝带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仅按相邻主链碳原子连线成细带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厚度 = 0.15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管状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仅按主链碳原子连线成圆管，节点处加球平滑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半径 = 0.4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表面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对全部原子的范德华球并集抽取等值面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球半径 = 范德华半径 × 球体缩放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QuickSurf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按高斯密度场抽取等值面（见下）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密度核宽度由球体缩放给定</w:t>
            </w:r>
          </w:p>
        </w:tc>
      </w:tr>
    </w:tbl>
    <w:p/>
    <w:p>
      <w:pPr>
        <w:ind w:firstLine="440"/>
      </w:pPr>
      <w:r>
        <w:t>四种骨架类表示（卡通、新卡通、丝带、管状）只对具有主链原子的结构有意义，对小分子会退化为点或空画面，属于预期行为。</w:t>
      </w:r>
    </w:p>
    <w:p>
      <w:pPr>
        <w:ind w:firstLine="440"/>
      </w:pPr>
      <w:r>
        <w:t>表面与 QuickSurf 两种表示在面板上会额外出现两个调节项：“等值面阈值”（0.05～2.0，默认 0.5）与“网格间距”（0.2～2.0，默认 0.5）。网格间距越小，抽取出的表面越精细，计算也越慢；等值面阈值控制表面贴合原子的紧密程度。两者都带右侧的 R 小按钮，点一下恢复默认值。</w:t>
      </w:r>
    </w:p>
    <w:p>
      <w:pPr>
        <w:ind w:firstLine="440"/>
      </w:pPr>
      <w:r>
        <w:t>当体系中含有大量溶剂分子时，逐个分子生成独立表面既慢又零碎。此时可勾选“整体系合并表面”，把整个体系的全部可见原子合并为一个连续表面。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64000" cy="431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nel_r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31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3-1  渲染设置面板</w:t>
      </w:r>
    </w:p>
    <w:p>
      <w:pPr>
        <w:pStyle w:val="Heading2"/>
      </w:pPr>
      <w:r>
        <w:t>3.3 配色方案</w:t>
      </w:r>
    </w:p>
    <w:p>
      <w:pPr>
        <w:ind w:firstLine="440"/>
      </w:pPr>
      <w:r>
        <w:t>配色方案在“渲染设置”面板的着色下拉框中切换，共五种，与表示方式相互独立。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着色名称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取色规则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典型用途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元素 CPK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按元素取标准 CPK 颜色：碳灰、氢白、氧红、氮蓝、硫黄等，内置 118 种元素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通用默认；辨认化学组成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按链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按链编号做哈希取色相，饱和度 0.65、亮度 0.55，同一条链颜色一致、相邻链颜色差异明显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多链蛋白；区分亚基与装配体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按残基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按残基编号做哈希取色相，饱和度 0.35、亮度 0.62，色调更柔和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沿序列观察走向；辨认片段边界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按 BFactor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把温度因子归一到 0～1 后做蓝—白—红三段插值：低值偏蓝、中间白、高值偏红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看柔性区域与刚性区域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统一色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全部原子取同一颜色，即表示自身的漫反射色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看整体轮廓；配合透明材质</w:t>
            </w:r>
          </w:p>
        </w:tc>
      </w:tr>
    </w:tbl>
    <w:p/>
    <w:p>
      <w:pPr>
        <w:ind w:firstLine="440"/>
      </w:pPr>
      <w:r>
        <w:t>前两种按编号哈希取色，好处是不需要预先知道一共有多少条链或多少个残基，新增结构时颜色自动分散，不会出现相邻两条链撞色。</w:t>
      </w:r>
    </w:p>
    <w:p>
      <w:pPr>
        <w:ind w:firstLine="440"/>
      </w:pPr>
      <w:r>
        <w:t>按 BFactor 着色依赖结构文件中的温度因子。软件在解析 PDB 时把该列乘以 100 存为定长整数，显示时再归一到 0～1 区间。若文件里该列全为 0（许多由建模工具导出的文件如此），整条链会呈现统一的低值色，这是数据本身如此，不是着色失效。</w:t>
      </w:r>
    </w:p>
    <w:p>
      <w:pPr>
        <w:pStyle w:val="Heading2"/>
      </w:pPr>
      <w:r>
        <w:t>3.4 体系管理</w:t>
      </w:r>
    </w:p>
    <w:p>
      <w:pPr>
        <w:ind w:firstLine="440"/>
      </w:pPr>
      <w:r>
        <w:t>“分子列表”面板以体系为单位组织场景。每次导入产生一个体系，体系下挂本次导入的分子；结构完全相同的分子会合并成一条并标注数量，例如溶剂化的水分子显示为“SOL #1 × 300”，避免列表被上千条重复项淹没。</w:t>
      </w:r>
    </w:p>
    <w:p>
      <w:pPr>
        <w:ind w:firstLine="440"/>
      </w:pPr>
      <w:r>
        <w:t>体系行左侧的勾选框控制整个体系的显示与隐藏，点击体系名可选中并展开成员列表。右键体系弹出菜单，包含以下操作：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菜单项</w:t>
            </w:r>
          </w:p>
        </w:tc>
        <w:tc>
          <w:tcPr>
            <w:tcW w:type="dxa" w:w="646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重命名</w:t>
            </w:r>
          </w:p>
        </w:tc>
        <w:tc>
          <w:tcPr>
            <w:tcW w:type="dxa" w:w="6463"/>
          </w:tcPr>
          <w:p>
            <w:r/>
            <w:r>
              <w:rPr>
                <w:rFonts w:ascii="宋体" w:hAnsi="宋体" w:eastAsia="宋体"/>
                <w:sz w:val="19"/>
              </w:rPr>
              <w:t>就地编辑体系名称，回车提交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体系定位到原点</w:t>
            </w:r>
          </w:p>
        </w:tc>
        <w:tc>
          <w:tcPr>
            <w:tcW w:type="dxa" w:w="6463"/>
          </w:tcPr>
          <w:p>
            <w:r/>
            <w:r>
              <w:rPr>
                <w:rFonts w:ascii="宋体" w:hAnsi="宋体" w:eastAsia="宋体"/>
                <w:sz w:val="19"/>
              </w:rPr>
              <w:t>把整个体系平移回坐标原点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渲染模式</w:t>
            </w:r>
          </w:p>
        </w:tc>
        <w:tc>
          <w:tcPr>
            <w:tcW w:type="dxa" w:w="6463"/>
          </w:tcPr>
          <w:p>
            <w:r/>
            <w:r>
              <w:rPr>
                <w:rFonts w:ascii="宋体" w:hAnsi="宋体" w:eastAsia="宋体"/>
                <w:sz w:val="19"/>
              </w:rPr>
              <w:t>为该体系单独指定实心、线框、透明、点四种绘制方式之一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删除体系</w:t>
            </w:r>
          </w:p>
        </w:tc>
        <w:tc>
          <w:tcPr>
            <w:tcW w:type="dxa" w:w="6463"/>
          </w:tcPr>
          <w:p>
            <w:r/>
            <w:r>
              <w:rPr>
                <w:rFonts w:ascii="宋体" w:hAnsi="宋体" w:eastAsia="宋体"/>
                <w:sz w:val="19"/>
              </w:rPr>
              <w:t>连同体系内的全部成员分子一起删除</w:t>
            </w:r>
          </w:p>
        </w:tc>
      </w:tr>
    </w:tbl>
    <w:p/>
    <w:p>
      <w:pPr>
        <w:ind w:firstLine="440"/>
      </w:pPr>
      <w:r>
        <w:t>右键成员分子可执行“定位到原点”“删除”（结构相同的多条显示为“删除全部”）与“移动到体系”，后者可把分子移交到另一个已有体系，或新建体系并移入。面板底部还有“体系位置”与“分子位置”两处平移输入，可直接键入坐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64000" cy="35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nel_mo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3-2  分子列表面板（体系树）</w:t>
      </w:r>
    </w:p>
    <w:p>
      <w:pPr>
        <w:pStyle w:val="Heading2"/>
      </w:pPr>
      <w:r>
        <w:t>3.5 视角操作</w:t>
      </w:r>
    </w:p>
    <w:p>
      <w:pPr>
        <w:ind w:firstLine="440"/>
      </w:pPr>
      <w:r>
        <w:t>在三维视口内按住鼠标即可转动视角。各按键的分工如下：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左键拖动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轨道旋转：左右拖动绕竖直轴转，上下拖动改变俯仰，视角跟随拖动方向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中键拖动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推拉镜头，改变观察距离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右键拖动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绕屏幕法线滚转，用于把画面转正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Shift + 右键拖动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画面平移，左右上下移动取景中心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滚轮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缩放，向前放大、向后缩小</w:t>
            </w:r>
          </w:p>
        </w:tc>
      </w:tr>
    </w:tbl>
    <w:p/>
    <w:p>
      <w:pPr>
        <w:ind w:firstLine="440"/>
      </w:pPr>
      <w:r>
        <w:t>打开新文件时相机会自动取景：按场景包围球计算观察距离，使整个结构恰好落在画面内。对单个原子或全部原子重叠的极端情形，包围球半径会退化为零，软件为此设了下限——取所有原子范德华半径的最大值，保证画面仍然可见。</w:t>
      </w:r>
    </w:p>
    <w:p>
      <w:pPr>
        <w:pStyle w:val="Heading2"/>
      </w:pPr>
      <w:r>
        <w:t>3.6 视觉设置</w:t>
      </w:r>
    </w:p>
    <w:p>
      <w:pPr>
        <w:ind w:firstLine="440"/>
      </w:pPr>
      <w:r>
        <w:t>同一面板下方还有若干影响观感的设置。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取值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背景色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颜色选择器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三维视口的底色，默认深蓝灰（26, 26, 38）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雾效模式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关 / 线性 / 指数 / 指数²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默认关闭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雾近 / 雾远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0～200 / 1～1000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线性雾的起止距离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雾密度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0.001～0.5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指数类雾的浓度，默认 0.05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天顶色 / 地面色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颜色选择器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半球环境光的上、下两个端点颜色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环境光色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颜色选择器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均匀补光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半球光强度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0～1.5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默认 0.45，越大天顶与地面的明暗差异越明显</w:t>
            </w:r>
          </w:p>
        </w:tc>
      </w:tr>
    </w:tbl>
    <w:p/>
    <w:p>
      <w:pPr>
        <w:ind w:firstLine="440"/>
      </w:pPr>
      <w:r>
        <w:t>软件采用全局光照方案，不设方向光与点光源：以“天顶亮、地面暗”的半球环境光为主体，再加一道均匀环境光补光。这样无论分子转到什么角度，都有一侧轮廓是亮的，不会出现整片死黑。</w:t>
      </w:r>
    </w:p>
    <w:p>
      <w:pPr>
        <w:ind w:firstLine="440"/>
      </w:pPr>
      <w:r>
        <w:t>视口右上还有“视口光线追踪预览”开关，开启后用软件自研的 CPU 光线追踪渲染当前画面，用于在导出前预览效果。预览为低分辨率，相机或场景变化时自动重绘，因此比常规显示慢，按需开启即可。</w:t>
      </w:r>
    </w:p>
    <w:p>
      <w:pPr>
        <w:pStyle w:val="Heading2"/>
      </w:pPr>
      <w:r>
        <w:t>3.7 材质</w:t>
      </w:r>
    </w:p>
    <w:p>
      <w:pPr>
        <w:ind w:firstLine="440"/>
      </w:pPr>
      <w:r>
        <w:t>“材质选择”面板控制分子的表面质感，提供九套预设，选中即应用。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预设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特征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默认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中等高光，通用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金属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高金属度、强高光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光泽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高光泽度，表面反光明显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哑光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高粗糙度，几乎无高光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半透明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不透明度 0.60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玻璃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低粗糙度、不透明度 0.25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粗糙金属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金属度拉满且粗糙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塑料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柔和高光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自定义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手动调整下面各项后自动切换到此项</w:t>
            </w:r>
          </w:p>
        </w:tc>
      </w:tr>
    </w:tbl>
    <w:p/>
    <w:p>
      <w:pPr>
        <w:ind w:firstLine="440"/>
      </w:pPr>
      <w:r>
        <w:t>预设之下可直接调整环境色、漫反射色、高光色、光泽度、金属度、粗糙度与不透明度。任何一项被手动改动，预设名自动变为“自定义”，便于看出当前是否仍是某个预设。</w:t>
      </w:r>
    </w:p>
    <w:p>
      <w:pPr>
        <w:pStyle w:val="Heading2"/>
      </w:pPr>
      <w:r>
        <w:t>3.8 图像导出</w:t>
      </w:r>
    </w:p>
    <w:p>
      <w:pPr>
        <w:ind w:firstLine="440"/>
      </w:pPr>
      <w:r>
        <w:t>“图像导出”面板把当前画面按指定规格写入 PNG 文件，支持光栅化与光线追踪两种渲染方式。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取值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渲染方式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光栅化 (Vulkan) / 光线追踪 (CPU)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默认光栅化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抗锯齿 (SSAA)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1～8，默认 2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光栅化路径：先按倍数渲染再降采样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RT 采样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1～8，默认 4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光线追踪路径：每像素采样数，越高越平滑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尺寸模式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视口倍数 / 绝对尺寸 / 预设分辨率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视口倍数默认 2.0 倍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预设分辨率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Full HD / WQHD / 4K UHD / 5K / 8K UHD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默认 4K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背景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当前背景 / 白色 / 透明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透明背景当前按白色输出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MSAA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0～8，默认 8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多重采样抗锯齿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相机适配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Contain / Stretch / Crop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画面与目标尺寸的适配方式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DPI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整数，默认 300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写入文件的像素密度标记</w:t>
            </w:r>
          </w:p>
        </w:tc>
      </w:tr>
    </w:tbl>
    <w:p/>
    <w:p>
      <w:pPr>
        <w:ind w:firstLine="440"/>
      </w:pPr>
      <w:r>
        <w:t>导出在后台线程进行，进度显示为“后台导出中…”，期间主视图仍可继续操作。渲染方式选光线追踪时，软件用自研的 CPU 光线追踪器逐像素求交，按行多线程并行，光照为半球环境光并带一次球面反射，边缘与反射效果比实时光栅化更柔和。</w:t>
      </w:r>
    </w:p>
    <w:p>
      <w:pPr>
        <w:pStyle w:val="Heading2"/>
      </w:pPr>
      <w:r>
        <w:t>3.9 界面主题</w:t>
      </w:r>
    </w:p>
    <w:p>
      <w:pPr>
        <w:ind w:firstLine="440"/>
      </w:pPr>
      <w:r>
        <w:t>“主题设置”面板提供五套配色方案，切换后整个界面立即换色，包括窗口背景、边框、文字、强调色与各类状态色。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风格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东京之夜 (Tokyo Night)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深蓝底、冷调强调色，默认主题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德古拉 (Dracula)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紫灰底、紫色强调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北欧风 (Nord)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低饱和蓝灰，对比柔和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暗黑一号 (One Dark)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中性深灰底，橙黄强调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9"/>
              </w:rPr>
              <w:t>日光暗色 (Solarized Dark)</w:t>
            </w:r>
          </w:p>
        </w:tc>
        <w:tc>
          <w:tcPr>
            <w:tcW w:type="dxa" w:w="5896"/>
          </w:tcPr>
          <w:p>
            <w:r/>
            <w:r>
              <w:rPr>
                <w:rFonts w:ascii="宋体" w:hAnsi="宋体" w:eastAsia="宋体"/>
                <w:sz w:val="19"/>
              </w:rPr>
              <w:t>青灰底，护眼配色</w:t>
            </w:r>
          </w:p>
        </w:tc>
      </w:tr>
    </w:tbl>
    <w:p/>
    <w:p>
      <w:pPr>
        <w:ind w:firstLine="440"/>
      </w:pPr>
      <w:r>
        <w:t>面板下半部提供色板与控件预览（主按钮、次按钮、徽章、加载条、帮助提示、普通与禁用文字），便于在选择前直接看到各元素的实际观感。</w:t>
      </w:r>
    </w:p>
    <w:p>
      <w:pPr>
        <w:pStyle w:val="Heading2"/>
      </w:pPr>
      <w:r>
        <w:t>3.10 日志</w:t>
      </w:r>
    </w:p>
    <w:p>
      <w:pPr>
        <w:ind w:firstLine="440"/>
      </w:pPr>
      <w:r>
        <w:t>“日志”面板通过菜单“视图 → 日志”打开，实时显示软件运行过程中的分级消息：时间、级别与正文。记录按级别着色，调试信息为灰、警告为黄、错误为红、严重错误为亮红，便于一眼扫到异常。</w:t>
      </w:r>
    </w:p>
    <w:p>
      <w:pPr>
        <w:ind w:firstLine="440"/>
      </w:pPr>
      <w:r>
        <w:t>面板顶部显示当前缓存的消息条数与上限，并提供“清空”按钮与“自动滚动”开关。默认自动滚动跟随最新一条；向上翻阅历史时自动滚动会自动停止，不会把用户正在看的内容顶走。</w:t>
      </w:r>
    </w:p>
    <w:p>
      <w:pPr>
        <w:ind w:firstLine="440"/>
      </w:pPr>
      <w:r>
        <w:t>日志同时写入程序目录下的 logs/moleculens.log，采用滚动方式保留最近的四份，每份上限 4 MB。程序异常退出时还会写出 logs/crash.log，记录异常代码与调用栈。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27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nel_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2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3-3  日志面板</w:t>
      </w:r>
    </w:p>
    <w:p>
      <w:pPr>
        <w:pStyle w:val="Heading1"/>
      </w:pPr>
      <w:r>
        <w:t>四、界面说明</w:t>
      </w:r>
    </w:p>
    <w:p>
      <w:pPr>
        <w:pStyle w:val="Heading2"/>
      </w:pPr>
      <w:r>
        <w:t>4.1 主界面</w:t>
      </w:r>
    </w:p>
    <w:p>
      <w:pPr>
        <w:ind w:firstLine="440"/>
      </w:pPr>
      <w:r>
        <w:t>主窗口为单窗口布局，从上到下依次是自绘标题栏、三维视口与各功能面板。窗口不使用系统边框，标题栏由软件自己绘制，左侧是菜单，中间是软件名，右侧是最小化、最大化/还原与关闭按钮。</w:t>
      </w:r>
    </w:p>
    <w:p>
      <w:pPr>
        <w:ind w:firstLine="440"/>
      </w:pPr>
      <w:r>
        <w:t>主区域采用可停靠布局：中央是三维视口，右侧栏自上而下是分子列表与一组选项卡面板（渲染设置、材质选择、图像导出、绘图工具、主题设置），底部是时间轴、状态栏与日志。各面板之间的分隔条可以拖动改变大小，面板也可以拖出停靠区成为独立窗口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4-1  主界面（载入血红蛋白结构，球棍表示 + 元素 CPK 配色）</w:t>
      </w:r>
    </w:p>
    <w:p>
      <w:pPr>
        <w:pStyle w:val="Heading2"/>
      </w:pPr>
      <w:r>
        <w:t>4.2 分子列表面板</w:t>
      </w:r>
    </w:p>
    <w:p>
      <w:pPr>
        <w:ind w:firstLine="440"/>
      </w:pPr>
      <w:r>
        <w:t>面板顶部是“+ 新建体系”按钮，其下是可滚动的体系树。体系行由显示勾选框、展开指示与体系名组成；展开后逐个列出成员分子，结构相同的分子合并为一条并标注数量。选中某个分子后，该行下方显示其“原子数 · 键数 · 帧数”。</w:t>
      </w:r>
    </w:p>
    <w:p>
      <w:pPr>
        <w:ind w:firstLine="440"/>
      </w:pPr>
      <w:r>
        <w:t>场景为空时面板提示“暂无体系（Ctrl+O 打开 PDB/GRO）”。</w:t>
      </w:r>
    </w:p>
    <w:p>
      <w:pPr>
        <w:pStyle w:val="Heading2"/>
      </w:pPr>
      <w:r>
        <w:t>4.3 渲染设置面板</w:t>
      </w:r>
    </w:p>
    <w:p>
      <w:pPr>
        <w:ind w:firstLine="440"/>
      </w:pPr>
      <w:r>
        <w:t>面板自上而下分为四组：</w:t>
      </w:r>
    </w:p>
    <w:p>
      <w:pPr>
        <w:pStyle w:val="ListBullet"/>
      </w:pPr>
      <w:r>
        <w:t>样式与着色：样式下拉框、着色下拉框，以及 QuickSurf 专用的等值面阈值与网格间距、表面类表示通用的整体系合并表面。</w:t>
      </w:r>
    </w:p>
    <w:p>
      <w:pPr>
        <w:pStyle w:val="ListBullet"/>
      </w:pPr>
      <w:r>
        <w:t>缩放：球体缩放（0.1～3.0）与键半径（0.2～3.0），各自带 R 复位按钮。球体缩放影响所有以半径为基准的表示，键半径只影响键圆柱的粗细。</w:t>
      </w:r>
    </w:p>
    <w:p>
      <w:pPr>
        <w:pStyle w:val="ListBullet"/>
      </w:pPr>
      <w:r>
        <w:t>背景与雾效：背景色、雾效模式、雾近、雾远、雾密度。</w:t>
      </w:r>
    </w:p>
    <w:p>
      <w:pPr>
        <w:pStyle w:val="ListBullet"/>
      </w:pPr>
      <w:r>
        <w:t>光照：天顶色、地面色、环境光色与半球光强度。</w:t>
      </w:r>
    </w:p>
    <w:p>
      <w:pPr>
        <w:ind w:firstLine="440"/>
      </w:pPr>
      <w:r>
        <w:t>每一项右侧的小问号是帮助提示，鼠标悬停即可看到该项的说明。</w:t>
      </w:r>
    </w:p>
    <w:p>
      <w:pPr>
        <w:pStyle w:val="Heading2"/>
      </w:pPr>
      <w:r>
        <w:t>4.4 材质选择面板</w:t>
      </w:r>
    </w:p>
    <w:p>
      <w:pPr>
        <w:ind w:firstLine="440"/>
      </w:pPr>
      <w:r>
        <w:t>顶部是材质预设下拉框，其下依次是环境色、漫反射色、高光色、光泽度，以及金属度、粗糙度、不透明度三个扩展参数。</w:t>
      </w:r>
    </w:p>
    <w:p>
      <w:pPr>
        <w:pStyle w:val="Heading2"/>
      </w:pPr>
      <w:r>
        <w:t>4.5 图像导出面板</w:t>
      </w:r>
    </w:p>
    <w:p>
      <w:pPr>
        <w:ind w:firstLine="440"/>
      </w:pPr>
      <w:r>
        <w:t>面板分为两个选项卡。“高 DPI 图像”页用于导出静态图片：先选渲染方式与抗锯齿，再定尺寸模式与分辨率，选择背景后点击“导出图像...”，软件弹出系统另存为对话框确定保存位置。</w:t>
      </w:r>
    </w:p>
    <w:p>
      <w:pPr>
        <w:ind w:firstLine="440"/>
      </w:pPr>
      <w:r>
        <w:t>“动画导出”页用于把轨迹播放或相机旋转记录为序列帧，可设起始帧、结束帧、帧率与循环，输出格式可选 PNG 序列、APNG、GIF、MP4 与 WebM。该页为后续版本的预留功能。</w:t>
      </w:r>
    </w:p>
    <w:p>
      <w:pPr>
        <w:pStyle w:val="Heading2"/>
      </w:pPr>
      <w:r>
        <w:t>4.6 主题设置面板</w:t>
      </w:r>
    </w:p>
    <w:p>
      <w:pPr>
        <w:ind w:firstLine="440"/>
      </w:pPr>
      <w:r>
        <w:t>顶部是主题下拉框，中部是十项色板预览（背景色、表面色、边框色、主题色、高亮色、成功色、警告色、危险色、文字色、次要文字），底部是控件预览。</w:t>
      </w:r>
    </w:p>
    <w:p>
      <w:pPr>
        <w:pStyle w:val="Heading2"/>
      </w:pPr>
      <w:r>
        <w:t>4.7 日志面板</w:t>
      </w:r>
    </w:p>
    <w:p>
      <w:pPr>
        <w:ind w:firstLine="440"/>
      </w:pPr>
      <w:r>
        <w:t>顶部工具行为“清空”按钮、“自动滚动”开关与缓存计数，其下是日志滚动区，每行依次为时间、级别与正文。</w:t>
      </w:r>
    </w:p>
    <w:p>
      <w:pPr>
        <w:pStyle w:val="Heading2"/>
      </w:pPr>
      <w:r>
        <w:t>4.8 时间轴与状态栏</w:t>
      </w:r>
    </w:p>
    <w:p>
      <w:pPr>
        <w:ind w:firstLine="440"/>
      </w:pPr>
      <w:r>
        <w:t>时间轴面板用于多帧结构的逐帧查看，从左到右是走带按钮（首帧、步退、播放/暂停、步进、末帧）、“循环”开关、速度倍率，以及帧滑块与帧信息。结构只有一帧时显示“单帧”。</w:t>
      </w:r>
    </w:p>
    <w:p>
      <w:pPr>
        <w:ind w:firstLine="440"/>
      </w:pPr>
      <w:r>
        <w:t>状态栏显示当前帧率、场景中的分子数与当前选中的分子名。</w:t>
      </w:r>
    </w:p>
    <w:p>
      <w:pPr>
        <w:pStyle w:val="Heading2"/>
      </w:pPr>
      <w:r>
        <w:t>4.9 菜单栏</w:t>
      </w:r>
    </w:p>
    <w:p>
      <w:pPr>
        <w:ind w:firstLine="440"/>
      </w:pPr>
      <w:r>
        <w:t>菜单栏共四项。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菜单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文件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打开 (Ctrl+O)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选择结构文件载入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导入轨迹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预留项，暂不可用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导出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预留项，暂不可用；导出请用“图像导出”面板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退出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关闭软件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编辑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撤销 / 重做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预留项，暂不可用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视图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重置视角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预留项，暂不可用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分子列表 / 渲染设置 / 材质选择 / 图像导出 / 绘图工具 / 时间轴 / 状态栏 / 日志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勾选控制对应面板的显示与隐藏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布局重置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恢复默认的面板停靠布局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帮助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关于 MolecuLens V1.0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sz w:val="19"/>
              </w:rPr>
              <w:t>显示版本信息</w:t>
            </w:r>
          </w:p>
        </w:tc>
      </w:tr>
    </w:tbl>
    <w:p/>
    <w:p>
      <w:pPr>
        <w:pStyle w:val="Heading1"/>
      </w:pPr>
      <w:r>
        <w:t>五、使用流程</w:t>
      </w:r>
    </w:p>
    <w:p>
      <w:pPr>
        <w:pStyle w:val="Heading2"/>
      </w:pPr>
      <w:r>
        <w:t>5.1 载入与观察</w:t>
      </w:r>
    </w:p>
    <w:p>
      <w:pPr>
        <w:ind w:firstLine="440"/>
      </w:pPr>
      <w:r>
        <w:t>启动软件后，场景为空，三维视口显示背景色，分子列表提示尚无体系。从菜单“文件 → 打开”选择结构文件，或按 Ctrl+O。解析期间界面显示加载遮罩，依次提示“读取文件”“分析键”“上传 GPU”等阶段；完成后相机会自动取景，分子出现在视口中央。</w:t>
      </w:r>
    </w:p>
    <w:p>
      <w:pPr>
        <w:ind w:firstLine="440"/>
      </w:pPr>
      <w:r>
        <w:t>按住左键拖动即可从各个角度观察。若画面方向不正，用右键拖动滚转校正；需要移动取景中心时按住 Shift 再拖右键；滚轮用于拉近拉远。</w:t>
      </w:r>
    </w:p>
    <w:p>
      <w:pPr>
        <w:pStyle w:val="Heading2"/>
      </w:pPr>
      <w:r>
        <w:t>5.2 调整表示与配色</w:t>
      </w:r>
    </w:p>
    <w:p>
      <w:pPr>
        <w:ind w:firstLine="440"/>
      </w:pPr>
      <w:r>
        <w:t>在“渲染设置”面板中先选样式，再选着色，两步相互独立。</w:t>
      </w:r>
    </w:p>
    <w:p>
      <w:pPr>
        <w:ind w:firstLine="440"/>
      </w:pPr>
      <w:r>
        <w:t>例如观察一个多链蛋白，可以按下面的顺序推进：</w:t>
      </w:r>
    </w:p>
    <w:p>
      <w:pPr>
        <w:pStyle w:val="ListBullet"/>
      </w:pPr>
      <w:r>
        <w:t>样式选“球棍”，着色选“元素 CPK”——看清化学组成与键连关系。</w:t>
      </w:r>
    </w:p>
    <w:p>
      <w:pPr>
        <w:pStyle w:val="ListBullet"/>
      </w:pPr>
      <w:r>
        <w:t>着色改选“按链”——各条链以明显不同的颜色区分，一眼分辨亚基边界。</w:t>
      </w:r>
    </w:p>
    <w:p>
      <w:pPr>
        <w:pStyle w:val="ListBullet"/>
      </w:pPr>
      <w:r>
        <w:t>着色改选“按 BFactor”——颜色由蓝到红反映温度因子高低，柔性区域与刚性核心形成对比。</w:t>
      </w:r>
    </w:p>
    <w:p>
      <w:pPr>
        <w:pStyle w:val="ListBullet"/>
      </w:pPr>
      <w:r>
        <w:t>样式改选“卡通”或“新卡通”——骨架按螺旋、折叠、无规三种二级结构呈现为带宽不同的带与管，整体折叠方式一目了然。</w:t>
      </w:r>
    </w:p>
    <w:p>
      <w:pPr>
        <w:pStyle w:val="ListBullet"/>
      </w:pPr>
      <w:r>
        <w:t>样式改选“表面”或“QuickSurf”——换成整体外形，观察轮廓与空腔。此时可勾选“整体系合并表面”把溶剂一并纳入。</w:t>
      </w:r>
    </w:p>
    <w:p>
      <w:pPr>
        <w:ind w:firstLine="440"/>
      </w:pPr>
      <w:r>
        <w:t>每一步都是即时生效的，不需要重新载入文件，也不需要重新出图。</w:t>
      </w:r>
    </w:p>
    <w:p>
      <w:pPr>
        <w:ind w:firstLine="440"/>
      </w:pPr>
      <w:r>
        <w:t>如果分子显示得过小或过大，用“球体缩放”统一调整；只想改键的粗细时用“键半径”。两个滑杆右侧的 R 按钮可一键复位。</w:t>
      </w:r>
    </w:p>
    <w:p>
      <w:pPr>
        <w:pStyle w:val="Heading2"/>
      </w:pPr>
      <w:r>
        <w:t>5.3 导出图像</w:t>
      </w:r>
    </w:p>
    <w:p>
      <w:pPr>
        <w:ind w:firstLine="440"/>
      </w:pPr>
      <w:r>
        <w:t>画面调整满意后，在“图像导出”面板导出：确定渲染方式、抗锯齿倍数、尺寸模式与分辨率、背景，然后点击“导出图像...”，在系统另存为对话框中指定文件名与位置。</w:t>
      </w:r>
    </w:p>
    <w:p>
      <w:pPr>
        <w:ind w:firstLine="440"/>
      </w:pPr>
      <w:r>
        <w:t>导出建议：用于论文插图时选“预设分辨率 → 4K UHD”，抗锯齿用 4，能得到边缘干净、放大后仍清晰的结果；追求更柔和的光影与反射效果时改选“光线追踪 (CPU)”，RT 采样设为 4～8。</w:t>
      </w:r>
    </w:p>
    <w:p>
      <w:pPr>
        <w:pStyle w:val="Heading2"/>
      </w:pPr>
      <w:r>
        <w:t>5.4 命令行方式</w:t>
      </w:r>
    </w:p>
    <w:p>
      <w:pPr>
        <w:ind w:firstLine="440"/>
      </w:pPr>
      <w:r>
        <w:t>软件另附一个命令行程序，用于在不打开界面的情况下查看结构文件的内容，适合批量核对文件是否可读、原子与键的数量是否符合预期：</w:t>
      </w:r>
    </w:p>
    <w:p>
      <w:pPr>
        <w:spacing w:after="20"/>
        <w:ind w:left="480"/>
      </w:pPr>
      <w:r>
        <w:rPr>
          <w:rFonts w:ascii="Consolas" w:hAnsi="Consolas" w:eastAsia="宋体"/>
          <w:sz w:val="19"/>
        </w:rPr>
        <w:t>moleculens-cli info  &lt;结构文件&gt;      查看实例数、原子数、键数、帧数</w:t>
      </w:r>
    </w:p>
    <w:p>
      <w:pPr>
        <w:spacing w:after="20"/>
        <w:ind w:left="480"/>
      </w:pPr>
      <w:r>
        <w:rPr>
          <w:rFonts w:ascii="Consolas" w:hAnsi="Consolas" w:eastAsia="宋体"/>
          <w:sz w:val="19"/>
        </w:rPr>
        <w:t>moleculens-cli --version             查看版本号</w:t>
      </w:r>
    </w:p>
    <w:p>
      <w:pPr>
        <w:spacing w:after="20"/>
        <w:ind w:left="480"/>
      </w:pPr>
      <w:r>
        <w:rPr>
          <w:rFonts w:ascii="Consolas" w:hAnsi="Consolas" w:eastAsia="宋体"/>
          <w:sz w:val="19"/>
        </w:rPr>
        <w:t>moleculens-cli --help                查看全部命令</w:t>
      </w:r>
    </w:p>
    <w:p>
      <w:pPr>
        <w:ind w:firstLine="440"/>
      </w:pPr>
      <w:r>
        <w:t>例如查看一个血红蛋白文件：</w:t>
      </w:r>
    </w:p>
    <w:p>
      <w:pPr>
        <w:ind w:left="480"/>
      </w:pPr>
      <w:r>
        <w:rPr>
          <w:rFonts w:ascii="Consolas" w:hAnsi="Consolas" w:eastAsia="宋体"/>
          <w:sz w:val="19"/>
        </w:rPr>
        <w:t>moleculens-cli info F:\MolecuLens\data\1HHO.pdb</w:t>
      </w:r>
    </w:p>
    <w:p>
      <w:pPr>
        <w:pStyle w:val="Heading1"/>
      </w:pPr>
      <w:r>
        <w:t>六、功能详解与效果示例</w:t>
      </w:r>
    </w:p>
    <w:p>
      <w:pPr>
        <w:ind w:firstLine="440"/>
      </w:pPr>
      <w:r>
        <w:t>本章以同一个结构为对象，对照展示不同表示方式与配色方案的实际效果。示例结构为血红蛋白（PDB 编号 1HHO），含两条肽链与血红素辅基，共 2396 个原子。</w:t>
      </w:r>
    </w:p>
    <w:p>
      <w:pPr>
        <w:pStyle w:val="Heading2"/>
      </w:pPr>
      <w:r>
        <w:t>6.1 表示方式对照</w:t>
      </w:r>
    </w:p>
    <w:p>
      <w:pPr>
        <w:ind w:firstLine="440"/>
      </w:pPr>
      <w:r>
        <w:t>表示方式决定“用什么形状画”，是影响画面信息量最直接的选项。</w:t>
      </w:r>
    </w:p>
    <w:p>
      <w:pPr>
        <w:ind w:firstLine="440"/>
      </w:pPr>
      <w:r>
        <w:t>球棍是最常用的默认表示：原子画成小球、键画成细圆柱，两者都按比例缩放。它的好处是既能看清每个原子的位置与元素，又能看清键的连接关系，适合观察小分子构型与活性位点的局部细节。</w:t>
      </w:r>
    </w:p>
    <w:p>
      <w:pPr>
        <w:ind w:firstLine="440"/>
      </w:pPr>
      <w:r>
        <w:t>空间填充（CPK）把每个原子按其范德华半径画成实心球，直观呈现分子在空间中的实际占位。它与球棍共用同一套半径缩放，因此把球体缩放调大即可平滑过渡到接近 VDW 的效果。VDW 与 CPK 的区别在于 VDW 忽略缩放，始终按元素的标准范德华半径绘制，用于需要严格按真实占位比较的场合。</w:t>
      </w:r>
    </w:p>
    <w:p>
      <w:pPr>
        <w:ind w:firstLine="440"/>
      </w:pPr>
      <w:r>
        <w:t>甘草棍是较粗的棍状表示，不画端帽球，键与键在原子处直接相接，在大体系下比球棍更清爽，适合观察骨架走向。</w:t>
      </w:r>
    </w:p>
    <w:p>
      <w:pPr>
        <w:ind w:firstLine="440"/>
      </w:pPr>
      <w:r>
        <w:t>卡通、新卡通、丝带与管状属于骨架类表示，只使用主链原子。卡通按二级结构把骨架挤出不同宽度的带（螺旋）与箭头（折叠），是展示蛋白质整体折叠的标准画法；新卡通的骨架样条更密、截面半径随二级结构连续变化，转折处更平滑；丝带最细，只勾勒走向；管状介于两者之间，呈均匀圆管。</w:t>
      </w:r>
    </w:p>
    <w:p>
      <w:pPr>
        <w:ind w:firstLine="440"/>
      </w:pPr>
      <w:r>
        <w:t>表面与 QuickSurf 都生成连续曲面，区别在生成方式：表面按原子范德华球的并集抽取等值面，贴合原子本体的外形；QuickSurf 按高斯密度场抽取，每个原子被处理成一团平滑的密度云，得到的外形更圆润连续，更适合表现大分子的整体轮廓与空腔。QuickSurf 的等值面阈值越高、表面越收紧，网格间距越小、表面越精细。</w:t>
      </w:r>
    </w:p>
    <w:p>
      <w:pPr>
        <w:pStyle w:val="Heading2"/>
      </w:pPr>
      <w:r>
        <w:t>6.2 配色方案对照</w:t>
      </w:r>
    </w:p>
    <w:p>
      <w:pPr>
        <w:ind w:firstLine="440"/>
      </w:pPr>
      <w:r>
        <w:t>配色方案决定“每个原子取什么颜色”，与表示方式完全独立。下面五张图使用同一种表示（球棍）与同一个结构，只改变着色方式。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el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6-1  元素 CPK 着色：按元素取标准颜色，碳灰、氧红、氮蓝，可直接读出化学组成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ch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6-2  按链着色：两条肽链分别取不同色相，亚基边界一目了然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resid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6-3  按残基着色：逐残基取柔和色相，沿序列呈现颜色渐变，便于跟踪链的走向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bfa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6-4  按 BFactor 着色：温度因子由低到高映射为蓝—白—红，柔性区域偏红、刚性核心偏蓝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uni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6-5  统一色着色：全部原子同色，只保留几何轮廓，适合与透明材质配合</w:t>
      </w:r>
    </w:p>
    <w:p>
      <w:pPr>
        <w:ind w:firstLine="440"/>
      </w:pPr>
      <w:r>
        <w:t>按链与按残基两种着色都采用“按编号哈希取色相”的办法，而不是预先分配一张固定色表。这样做的实际好处是：面对不同链数、不同残基数的结构，颜色都能自动分散开，不会出现两条相邻链被分到相近颜色的情况，也不需要为新结构调整配置。两者饱和度不同——按链用较高的饱和度，色块鲜明；按残基用较低的饱和度，颜色柔和，长时间观察不刺眼。</w:t>
      </w:r>
    </w:p>
    <w:p>
      <w:pPr>
        <w:pStyle w:val="Heading2"/>
      </w:pPr>
      <w:r>
        <w:t>6.3 小分子示例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mall_sti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sz w:val="18"/>
        </w:rPr>
        <w:t>图 6-6  小分子（表儿茶素，73 个原子）棍状表示 + 元素 CPK 着色</w:t>
      </w:r>
    </w:p>
    <w:p>
      <w:pPr>
        <w:ind w:firstLine="440"/>
      </w:pPr>
      <w:r>
        <w:t>小分子以棍状或球棍表示最为清晰：原子少、键连密集，按元素着色后可以迅速分辨羟基、苯环等官能团的位置。对本例这类含多个羟基的分子，红色球（氧）的分布直接反映了氢键可能形成的位点。</w:t>
      </w:r>
    </w:p>
    <w:p>
      <w:pPr>
        <w:pStyle w:val="Heading2"/>
      </w:pPr>
      <w:r>
        <w:t>6.4 光线追踪导出</w:t>
      </w:r>
    </w:p>
    <w:p>
      <w:pPr>
        <w:ind w:firstLine="440"/>
      </w:pPr>
      <w:r>
        <w:t>在“图像导出”面板把渲染方式改为“光线追踪 (CPU)”，即可用软体光线追踪生成最终图像。与实时光栅化相比，光追路径对每个像素独立求交，光照过渡更柔和，球面之间能看到一次反射，适合作为论文插图。RT 采样数决定每像素的采样次数，取值 4～8 可在质量与耗时之间取得平衡。</w:t>
      </w:r>
    </w:p>
    <w:p>
      <w:pPr>
        <w:pStyle w:val="Heading1"/>
      </w:pPr>
      <w:r>
        <w:t>七、参数说明</w:t>
      </w:r>
    </w:p>
    <w:p>
      <w:pPr>
        <w:ind w:firstLine="440"/>
      </w:pPr>
      <w:r>
        <w:t>下表汇总界面上可调的参数、取值范围与默认值。所有带 R 标记的参数都可用滑杆右侧的小按钮一键恢复默认值。</w:t>
      </w:r>
    </w:p>
    <w:p>
      <w:pPr>
        <w:pStyle w:val="Heading2"/>
      </w:pPr>
      <w:r>
        <w:t>7.1 渲染设置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参数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范围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默认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样式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十二种表示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球棍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几何形状的选择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着色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五种方案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元素 CPK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原子取色规则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球体缩放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0.1～3.0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所有以半径为准的表示的统一倍率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键半径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0.2～3.0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只影响键圆柱的粗细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等值面阈值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0.05～2.0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0.5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仅 QuickSurf；越大表面越收紧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网格间距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0.2～2.0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0.5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仅 QuickSurf；越小越精细也越慢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整体系合并表面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开 / 关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仅表面与 QuickSurf；按体系合并为一个面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背景色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(26,26,38)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三维视口底色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雾效模式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关 / 线性 / 指数 / 指数²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远端淡化效果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雾近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0～200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0.0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线性雾起点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雾远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1～1000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100.0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线性雾终点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雾密度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0.001～0.5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0.05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指数类雾的浓度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天顶色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(255,255,255)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半球光上方颜色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地面色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(0,0,0)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半球光下方颜色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环境光色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(255,255,255)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均匀补光颜色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半球光强度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0～1.5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0.45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天顶与地面的明暗差异程度</w:t>
            </w:r>
          </w:p>
        </w:tc>
      </w:tr>
    </w:tbl>
    <w:p/>
    <w:p>
      <w:pPr>
        <w:pStyle w:val="Heading2"/>
      </w:pPr>
      <w:r>
        <w:t>7.2 图像导出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范围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默认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渲染方式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光栅化 / 光线追踪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光栅化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导出所用的渲染路径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抗锯齿 SSAA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1～8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光栅化路径的超采样倍数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RT 采样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1～8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光线追踪路径的每像素采样数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尺寸模式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视口倍数 / 绝对尺寸 / 预设分辨率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视口倍数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输出尺寸的确定方式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倍数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1.0～8.0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2.0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视口倍数模式下的放大倍率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宽 / 高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整数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1920 × 1080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绝对尺寸模式下的像素数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预设分辨率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Full HD ～ 8K UHD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4K UHD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常用分辨率快捷选项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背景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当前 / 白色 / 透明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当前背景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导出图的背景处理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MSAA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0～8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多重采样抗锯齿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相机适配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Contain / Stretch / Crop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Contain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画面与目标尺寸的适配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DPI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整数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300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写入文件的像素密度标记</w:t>
            </w:r>
          </w:p>
        </w:tc>
      </w:tr>
    </w:tbl>
    <w:p/>
    <w:p>
      <w:pPr>
        <w:pStyle w:val="Heading2"/>
      </w:pPr>
      <w:r>
        <w:t>7.3 材质参数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参数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范围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默认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材质预设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八套 + 自定义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默认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一键套用成套材质参数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环境色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(153,153,153)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环境光反射分量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漫反射色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(230,230,230)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主体颜色，统一色着色即取此色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高光色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RGB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(77,77,77)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高光颜色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光泽度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1.0～256.0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32.0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高光集中程度，越大越锐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金属度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0.0～1.0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0.0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金属质感强度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粗糙度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0.0～1.0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0.40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表面粗糙程度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不透明度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0.05～1.0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越小越透明</w:t>
            </w:r>
          </w:p>
        </w:tc>
      </w:tr>
    </w:tbl>
    <w:p/>
    <w:p>
      <w:pPr>
        <w:pStyle w:val="Heading1"/>
      </w:pPr>
      <w:r>
        <w:t>八、常见问题</w:t>
      </w:r>
    </w:p>
    <w:p>
      <w:pPr>
        <w:spacing w:after="20"/>
      </w:pPr>
      <w:r>
        <w:rPr>
          <w:b/>
        </w:rPr>
        <w:t>问：打开文件后画面上什么都没有</w:t>
      </w:r>
    </w:p>
    <w:p>
      <w:pPr>
        <w:spacing w:after="140"/>
        <w:ind w:firstLine="440"/>
      </w:pPr>
      <w:r>
        <w:t>答：先看左下角状态栏的分子数是否为 0。若为 0，说明文件没被识别，确认扩展名是 .pdb、.gro、.sdf 或 .mol。若分子数不为 0 但画面是空的，多半是视角问题：用滚轮缩小，或右键拖动调整方向。</w:t>
      </w:r>
    </w:p>
    <w:p>
      <w:pPr>
        <w:spacing w:after="20"/>
      </w:pPr>
      <w:r>
        <w:rPr>
          <w:b/>
        </w:rPr>
        <w:t>问：换成卡通或丝带后画面变得很稀</w:t>
      </w:r>
    </w:p>
    <w:p>
      <w:pPr>
        <w:spacing w:after="140"/>
        <w:ind w:firstLine="440"/>
      </w:pPr>
      <w:r>
        <w:t>答：这几种表示只使用主链原子，小分子结构没有主链，因此会退化为很少的几何。换回球棍或 CPK 即可。</w:t>
      </w:r>
    </w:p>
    <w:p>
      <w:pPr>
        <w:spacing w:after="20"/>
      </w:pPr>
      <w:r>
        <w:rPr>
          <w:b/>
        </w:rPr>
        <w:t>问：按 BFactor 着色后颜色没有变化</w:t>
      </w:r>
    </w:p>
    <w:p>
      <w:pPr>
        <w:spacing w:after="140"/>
        <w:ind w:firstLine="440"/>
      </w:pPr>
      <w:r>
        <w:t>答：结构文件里的温度因子一列可能全是 0（建模工具导出的文件常见）。颜色映射本身是生效的，只是数据没有差异。</w:t>
      </w:r>
    </w:p>
    <w:p>
      <w:pPr>
        <w:spacing w:after="20"/>
      </w:pPr>
      <w:r>
        <w:rPr>
          <w:b/>
        </w:rPr>
        <w:t>问：表面或 QuickSurf 计算很慢</w:t>
      </w:r>
    </w:p>
    <w:p>
      <w:pPr>
        <w:spacing w:after="140"/>
        <w:ind w:firstLine="440"/>
      </w:pPr>
      <w:r>
        <w:t>答：这两种表示需要对整个体系做等值面抽取，原子越多越慢。可把网格间距调大以减少计算量；若体系含大量溶剂，可在分子列表里隐藏该体系的水分子，或勾选“整体系合并表面”避免逐分子生成零碎曲面。</w:t>
      </w:r>
    </w:p>
    <w:p>
      <w:pPr>
        <w:spacing w:after="20"/>
      </w:pPr>
      <w:r>
        <w:rPr>
          <w:b/>
        </w:rPr>
        <w:t>问：导出的图片边缘有锯齿</w:t>
      </w:r>
    </w:p>
    <w:p>
      <w:pPr>
        <w:spacing w:after="140"/>
        <w:ind w:firstLine="440"/>
      </w:pPr>
      <w:r>
        <w:t>答：把“抗锯齿 (SSAA)”调大，一般取 4 即可明显改善；或改用光线追踪路径并把 RT 采样调到 4～8。</w:t>
      </w:r>
    </w:p>
    <w:p>
      <w:pPr>
        <w:spacing w:after="20"/>
      </w:pPr>
      <w:r>
        <w:rPr>
          <w:b/>
        </w:rPr>
        <w:t>问：导出用时较长</w:t>
      </w:r>
    </w:p>
    <w:p>
      <w:pPr>
        <w:spacing w:after="140"/>
        <w:ind w:firstLine="440"/>
      </w:pPr>
      <w:r>
        <w:t>答：导出在后台进行，期间可以继续操作界面。提高分辨率、抗锯齿倍数或 RT 采样都会显著增加耗时，按需要取舍即可。</w:t>
      </w:r>
    </w:p>
    <w:p>
      <w:pPr>
        <w:spacing w:after="20"/>
      </w:pPr>
      <w:r>
        <w:rPr>
          <w:b/>
        </w:rPr>
        <w:t>问：面板被我拖乱了，想恢复原样</w:t>
      </w:r>
    </w:p>
    <w:p>
      <w:pPr>
        <w:spacing w:after="140"/>
        <w:ind w:firstLine="440"/>
      </w:pPr>
      <w:r>
        <w:t>答：菜单“视图 → 布局重置”可恢复默认停靠布局。</w:t>
      </w:r>
    </w:p>
    <w:p>
      <w:pPr>
        <w:spacing w:after="20"/>
      </w:pPr>
      <w:r>
        <w:rPr>
          <w:b/>
        </w:rPr>
        <w:t>问：日志面板是空的</w:t>
      </w:r>
    </w:p>
    <w:p>
      <w:pPr>
        <w:spacing w:after="140"/>
        <w:ind w:firstLine="440"/>
      </w:pPr>
      <w:r>
        <w:t>答：日志面板默认隐藏，需要从菜单“视图 → 日志”打开。打开后即可看到启动以来的分级消息；点“清空”可清掉历史记录。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MolecuLens 分子结构与轨迹显示引擎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6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3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3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3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