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B1679" w14:textId="77777777" w:rsidR="00A00241" w:rsidRDefault="00A00241"/>
    <w:p w14:paraId="7889D753" w14:textId="77777777" w:rsidR="00A00241" w:rsidRDefault="00000000">
      <w:pPr>
        <w:pStyle w:val="1"/>
      </w:pPr>
      <w:r>
        <w:t>2027赛季雷达兵种 研发项目规划</w:t>
      </w:r>
    </w:p>
    <w:p w14:paraId="6332D37E" w14:textId="77777777" w:rsidR="00CE1281" w:rsidRDefault="00000000" w:rsidP="00CE1281">
      <w:pPr>
        <w:pStyle w:val="2"/>
      </w:pPr>
      <w:r>
        <w:t>进度安排</w:t>
      </w:r>
      <w:r w:rsidR="00CE1281">
        <w:t>需求分析及设计思路</w:t>
      </w:r>
    </w:p>
    <w:p w14:paraId="2FE88767" w14:textId="77777777" w:rsidR="00CE1281" w:rsidRDefault="00CE1281" w:rsidP="00CE1281">
      <w:r>
        <w:rPr>
          <w:rFonts w:ascii="华文楷体" w:eastAsia="华文楷体" w:hAnsi="华文楷体" w:hint="eastAsia"/>
        </w:rP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 w14:paraId="069F5336" w14:textId="77777777" w:rsidR="00CE1281" w:rsidRDefault="00CE1281" w:rsidP="00CE1281">
      <w:r>
        <w:rPr>
          <w:rFonts w:ascii="华文楷体" w:eastAsia="华文楷体" w:hAnsi="华文楷体" w:hint="eastAsia"/>
        </w:rP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 w14:paraId="0FAEBAD6" w14:textId="2947FB76" w:rsidR="00A00241" w:rsidRDefault="00A00241">
      <w:pPr>
        <w:pStyle w:val="2"/>
      </w:pPr>
    </w:p>
    <w:p w14:paraId="3D424C5B" w14:textId="77777777" w:rsidR="00A00241" w:rsidRDefault="00000000">
      <w:r>
        <w:rPr>
          <w:rFonts w:ascii="华文楷体" w:eastAsia="华文楷体" w:hAnsi="华文楷体" w:hint="eastAsia"/>
        </w:rP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 w14:paraId="337803C5" w14:textId="77777777" w:rsidR="00A00241" w:rsidRDefault="00000000">
      <w:r>
        <w:rPr>
          <w:rFonts w:ascii="华文楷体" w:eastAsia="华文楷体" w:hAnsi="华文楷体" w:hint="eastAsia"/>
        </w:rPr>
        <w:t>SDR采购：先买2块三位数价位SDR（AD9363，约¥398/块）做接收与自测；官方解析波参数发布后再买四位数价位SDR（AD9361，约¥1,799）并标定参数。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49F7EE6A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E3565B3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018B424C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567B0EE9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A00241" w14:paraId="45D1492F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78241C8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月–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6B22775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适配2027新地图（地图、掩码、标定矩阵、盲区点位）；加固区面积A计算与加固指令联调；搭建自测发射源完成接收端自测</w:t>
            </w:r>
          </w:p>
        </w:tc>
        <w:tc>
          <w:tcPr>
            <w:tcW w:w="2766" w:type="dxa"/>
            <w:vMerge w:val="restart"/>
            <w:shd w:val="clear" w:color="auto" w:fill="EDEDED" w:themeFill="accent3" w:themeFillTint="33"/>
            <w:vAlign w:val="center"/>
          </w:tcPr>
          <w:p w14:paraId="2449FF3B" w14:textId="77777777" w:rsidR="00A00241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</w:tr>
      <w:tr w:rsidR="00A00241" w14:paraId="3FE5C33C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08F1663F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月–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2FEC2E05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梳理2027规则差异、解析装甲受击信息；SDR采购与接收链路搭建；干扰波三级难度接收与6位密钥解调验证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12AE32F6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00241" w14:paraId="266FDA51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6C7FB3A7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2027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7A1C0C38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装甲板模型评估与重训；全链路联调（识别＋加固＋解析波）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210DB89B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00241" w14:paraId="07EF29E7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2C171E42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官方参数发布后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DF092B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采购四位数</w:t>
            </w:r>
            <w:r>
              <w:rPr>
                <w:rFonts w:hint="eastAsia"/>
              </w:rPr>
              <w:t>SDR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AD9361</w:t>
            </w:r>
            <w:r>
              <w:rPr>
                <w:rFonts w:hint="eastAsia"/>
              </w:rPr>
              <w:t>）并标定参数</w:t>
            </w:r>
          </w:p>
        </w:tc>
        <w:tc>
          <w:tcPr>
            <w:tcW w:w="2766" w:type="dxa"/>
            <w:vMerge/>
            <w:shd w:val="clear" w:color="auto" w:fill="EDEDED" w:themeFill="accent3" w:themeFillTint="33"/>
          </w:tcPr>
          <w:p w14:paraId="6139F815" w14:textId="77777777" w:rsidR="00A00241" w:rsidRDefault="00A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EB1B48E" w14:textId="77777777" w:rsidR="00A00241" w:rsidRDefault="00000000">
      <w:pPr>
        <w:pStyle w:val="2"/>
      </w:pPr>
      <w:r>
        <w:t>人员安排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432B7C47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2687E9C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组别</w:t>
            </w:r>
          </w:p>
        </w:tc>
        <w:tc>
          <w:tcPr>
            <w:tcW w:w="2765" w:type="dxa"/>
          </w:tcPr>
          <w:p w14:paraId="4DCDE40A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6" w:type="dxa"/>
          </w:tcPr>
          <w:p w14:paraId="6EB22467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分工</w:t>
            </w:r>
          </w:p>
        </w:tc>
      </w:tr>
      <w:tr w:rsidR="00A00241" w14:paraId="1DE99A8D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764B892E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雷达兵种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4ADA9E4D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苏展鸣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3FF7BBBA" w14:textId="1F9EB8BC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视觉</w:t>
            </w:r>
          </w:p>
        </w:tc>
      </w:tr>
    </w:tbl>
    <w:p w14:paraId="25DACDBE" w14:textId="77777777" w:rsidR="00A00241" w:rsidRDefault="00000000">
      <w:pPr>
        <w:pStyle w:val="2"/>
      </w:pPr>
      <w:r>
        <w:t>技术难点</w:t>
      </w:r>
    </w:p>
    <w:p w14:paraId="5613C68B" w14:textId="77777777" w:rsidR="00A00241" w:rsidRDefault="00000000">
      <w:pPr>
        <w:pStyle w:val="3"/>
      </w:pPr>
      <w:r>
        <w:t>新技术研发</w:t>
      </w:r>
    </w:p>
    <w:p w14:paraId="4FB49823" w14:textId="77777777" w:rsidR="00A00241" w:rsidRDefault="00000000">
      <w:r>
        <w:rPr>
          <w:rFonts w:ascii="华文楷体" w:eastAsia="华文楷体" w:hAnsi="华文楷体" w:hint="eastAsia"/>
        </w:rPr>
        <w:t>视觉：1、加固区面积A的实时计算（统一装甲模块坐标系下的η、σ、ρ，A＝装甲板面积×ρ²/(2+ρ²)）</w:t>
      </w:r>
    </w:p>
    <w:p w14:paraId="5E3D6828" w14:textId="77777777" w:rsidR="00A00241" w:rsidRDefault="00000000">
      <w:r>
        <w:rPr>
          <w:rFonts w:ascii="华文楷体" w:eastAsia="华文楷体" w:hAnsi="华文楷体" w:hint="eastAsia"/>
        </w:rPr>
        <w:t>2、加固中心点选择策略与指令下发时机（累计命中≥10且持有加固机会时）</w:t>
      </w:r>
    </w:p>
    <w:p w14:paraId="74D1A084" w14:textId="77777777" w:rsidR="00A00241" w:rsidRDefault="00000000">
      <w:r>
        <w:rPr>
          <w:rFonts w:ascii="华文楷体" w:eastAsia="华文楷体" w:hAnsi="华文楷体" w:hint="eastAsia"/>
        </w:rPr>
        <w:t>3、解析波与视觉坐标融合，按干扰波难度差调整标记与双倍易伤策略</w:t>
      </w:r>
    </w:p>
    <w:p w14:paraId="2907EDED" w14:textId="77777777" w:rsidR="00A00241" w:rsidRDefault="00000000">
      <w:r>
        <w:rPr>
          <w:rFonts w:ascii="华文楷体" w:eastAsia="华文楷体" w:hAnsi="华文楷体" w:hint="eastAsia"/>
        </w:rPr>
        <w:t>硬件：1、三级难度干扰波解调与6位随机密钥实时解析</w:t>
      </w:r>
    </w:p>
    <w:p w14:paraId="303F6E3F" w14:textId="77777777" w:rsidR="00A00241" w:rsidRDefault="00000000">
      <w:r>
        <w:rPr>
          <w:rFonts w:ascii="华文楷体" w:eastAsia="华文楷体" w:hAnsi="华文楷体" w:hint="eastAsia"/>
        </w:rPr>
        <w:t>2、信息波解码（含装甲受击信息）</w:t>
      </w:r>
    </w:p>
    <w:p w14:paraId="07A02400" w14:textId="77777777" w:rsidR="00A00241" w:rsidRDefault="00000000">
      <w:pPr>
        <w:pStyle w:val="3"/>
      </w:pPr>
      <w:r>
        <w:t>已有技术改进</w:t>
      </w:r>
    </w:p>
    <w:p w14:paraId="1C3F000C" w14:textId="5C978728" w:rsidR="00A00241" w:rsidRDefault="00000000">
      <w:r>
        <w:rPr>
          <w:rFonts w:ascii="华文楷体" w:eastAsia="华文楷体" w:hAnsi="华文楷体" w:hint="eastAsia"/>
        </w:rPr>
        <w:t>视觉：</w:t>
      </w:r>
      <w:r w:rsidR="00C933EE">
        <w:rPr>
          <w:rFonts w:ascii="华文楷体" w:eastAsia="华文楷体" w:hAnsi="华文楷体" w:hint="eastAsia"/>
        </w:rPr>
        <w:t>1</w:t>
      </w:r>
      <w:r>
        <w:rPr>
          <w:rFonts w:ascii="华文楷体" w:eastAsia="华文楷体" w:hAnsi="华文楷体" w:hint="eastAsia"/>
        </w:rPr>
        <w:t>、装甲板模型按新装甲模块重新评估，变化大则重训</w:t>
      </w:r>
    </w:p>
    <w:p w14:paraId="37F193C4" w14:textId="77777777" w:rsidR="00A00241" w:rsidRDefault="00000000">
      <w:r>
        <w:rPr>
          <w:rFonts w:ascii="华文楷体" w:eastAsia="华文楷体" w:hAnsi="华文楷体" w:hint="eastAsia"/>
        </w:rPr>
        <w:t>硬件：1、将无线充电ASK解调技术改造为适配干扰波的FSK滤波解调电路</w:t>
      </w:r>
    </w:p>
    <w:p w14:paraId="49BEA403" w14:textId="77777777" w:rsidR="00A00241" w:rsidRDefault="00A00241"/>
    <w:p w14:paraId="31A6F0D1" w14:textId="77777777" w:rsidR="00A00241" w:rsidRDefault="00A00241"/>
    <w:sectPr w:rsidR="00A002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charset w:val="86"/>
    <w:family w:val="auto"/>
    <w:pitch w:val="default"/>
    <w:sig w:usb0="A00002BF" w:usb1="38CF7CFA" w:usb2="00082016" w:usb3="00000000" w:csb0="00040001" w:csb1="00000000"/>
    <w:embedRegular r:id="rId1" w:fontKey="{9D5EF82E-9F3D-4AD9-8203-80345D509356}"/>
    <w:embedBold r:id="rId2" w:fontKey="{53C6921C-87A0-455C-86F4-E435DC5DBB2C}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3" w:subsetted="1" w:fontKey="{F108BEE0-7097-44D2-8ACB-A55FEBF92B9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A1C02E"/>
    <w:multiLevelType w:val="singleLevel"/>
    <w:tmpl w:val="89A1C02E"/>
    <w:lvl w:ilvl="0">
      <w:start w:val="2"/>
      <w:numFmt w:val="decimal"/>
      <w:suff w:val="nothing"/>
      <w:lvlText w:val="%1、"/>
      <w:lvlJc w:val="left"/>
      <w:pPr>
        <w:ind w:left="630" w:firstLine="0"/>
      </w:pPr>
    </w:lvl>
  </w:abstractNum>
  <w:num w:numId="1" w16cid:durableId="206852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3343C"/>
    <w:rsid w:val="00372CAC"/>
    <w:rsid w:val="003C127F"/>
    <w:rsid w:val="00503E12"/>
    <w:rsid w:val="0053040C"/>
    <w:rsid w:val="00585AA3"/>
    <w:rsid w:val="005D302E"/>
    <w:rsid w:val="00641490"/>
    <w:rsid w:val="006559F9"/>
    <w:rsid w:val="006F4BDD"/>
    <w:rsid w:val="007E11F8"/>
    <w:rsid w:val="00823EE8"/>
    <w:rsid w:val="00831854"/>
    <w:rsid w:val="008D1D4E"/>
    <w:rsid w:val="00983DF3"/>
    <w:rsid w:val="00995D3E"/>
    <w:rsid w:val="009D0252"/>
    <w:rsid w:val="00A00241"/>
    <w:rsid w:val="00B04E19"/>
    <w:rsid w:val="00B86E75"/>
    <w:rsid w:val="00C933EE"/>
    <w:rsid w:val="00CC7D1F"/>
    <w:rsid w:val="00CE1281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D070"/>
  <w15:docId w15:val="{668C5DED-6981-4ED1-80B8-2EC1C734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