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</w:p>
    <w:p>
      <w:pPr>
        <w:pStyle w:val="2"/>
      </w:pPr>
      <w:r>
        <w:t>2027赛季雷达兵种 研发项目规划</w:t>
      </w:r>
    </w:p>
    <w:p>
      <w:pPr>
        <w:pStyle w:val="3"/>
      </w:pPr>
      <w:r>
        <w:t>需求分析及设计思路</w:t>
      </w:r>
    </w:p>
    <w:p>
      <w:pPr/>
      <w:r>
        <w:rPr>
          <w:rFonts w:hint="eastAsia" w:ascii="华文楷体" w:hAnsi="华文楷体" w:eastAsia="华文楷体"/>
        </w:rPr>
        <w:t>雷达兵种是团队的信息中枢与战术核心。2027赛季雷达系统的核心需求源于三大功能：识别（对双方地面机器人进行高精度探测并上报坐标，为“被标记进度P”与“易伤”效果提供基础；空中机器人已不再纳入标记体系）、加固（依据双方弹丸命中精度，通过裁判系统指令为己方所有装甲模块选择加固中心点，降低被命中区域的伤害）、以及解析（解析官方发射源的信息波与干扰波，直接获取对方位置、血量、剩余发弹量、经济与装甲受击等关键状态信息）。相较2026赛季，原“激光照射空中机器人”的雷达反制机制已取消，新增与雷达强绑定的自适应装甲加固机制，并重做了电磁波解析规则。</w:t>
      </w:r>
    </w:p>
    <w:p>
      <w:pPr/>
      <w:r>
        <w:rPr>
          <w:rFonts w:hint="eastAsia" w:ascii="华文楷体" w:hAnsi="华文楷体" w:eastAsia="华文楷体"/>
        </w:rPr>
        <w:t>基于此，设计思路需围绕“信息制胜”展开。硬件上，需在2026赛季无线充电ASK解调技术的基础上改造出FSK解调与滤波电路，以应对三个难度等级的干扰波及其6位随机密钥，并按“先搭建接收与自测链路、待官方参数发布后再完成参数标定”的节奏推进SDR选型；软件上，需在现有单目视觉识别链路上完成2027赛季新地图与装甲模块适配，新增装甲受击信息采集与可加固区域面积A的实时计算模块，并按“对方干扰波难度高于己方时，对方雷达对己方机器人即使准确标记，也不会产生易伤或积累双倍易伤进度”的反制条款，动态调整标记与双倍易伤策略。</w:t>
      </w:r>
    </w:p>
    <w:p>
      <w:pPr>
        <w:pStyle w:val="3"/>
      </w:pPr>
      <w:r>
        <w:t>进度安排</w:t>
      </w:r>
    </w:p>
    <w:p>
      <w:pPr/>
      <w:r>
        <w:rPr>
          <w:rFonts w:hint="eastAsia" w:ascii="华文楷体" w:hAnsi="华文楷体" w:eastAsia="华文楷体"/>
        </w:rPr>
        <w:t>RMUC 2027关键节点：10.20–10.27赛季报名；11.18–11.19赛季规划评审（提交规划文档＋进度安排Excel＋团队预算Excel）；12.16–12.17规则测评；1.6–1.7中期进度文档；3.1–3.4裁判系统考核；3.1–3.3完整形态考核（文档）；3.8–3.10完整形态考核（视频）。以下进度按上述节点倒排。</w:t>
      </w:r>
    </w:p>
    <w:p>
      <w:pPr/>
      <w:r>
        <w:rPr>
          <w:rFonts w:hint="eastAsia" w:ascii="华文楷体" w:hAnsi="华文楷体" w:eastAsia="华文楷体"/>
        </w:rPr>
        <w:t>SDR采购安排：先采购2块三位数价位SDR开发板（AD9363，约¥398/块，合计约¥796），用于搭建接收链路与自测发射源；待官方发布解析波（干扰波三级难度）参数后，再采购四位数价位SDR板卡（AD9361，约¥1,799），并按官方参数完成频点、带宽、功率标定。</w:t>
      </w:r>
    </w:p>
    <w:p>
      <w:pPr>
        <w:pStyle w:val="4"/>
      </w:pPr>
      <w:r>
        <w:t>视觉部分</w:t>
      </w:r>
    </w:p>
    <w:tbl>
      <w:tblPr>
        <w:tblStyle w:val="40"/>
        <w:tblW w:w="0" w:type="auto"/>
        <w:tblInd w:w="0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时间段</w:t>
            </w:r>
          </w:p>
        </w:tc>
        <w:tc>
          <w:tcPr>
            <w:tcW w:w="2765" w:type="dxa"/>
            <w:tcBorders>
              <w:top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进度要求</w:t>
            </w:r>
          </w:p>
        </w:tc>
        <w:tc>
          <w:tcPr>
            <w:tcW w:w="2766" w:type="dxa"/>
            <w:tcBorders>
              <w:top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负责人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 w:eastAsia="方正书宋_GBK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2026年11月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梳理2027规则差异（识别对象收敛为双方地面机器人、P值与双倍易伤逻辑、自适应装甲加固机制、干扰波难度反制）；解析装甲受击信息协议，完成命中坐标（x，y，区域类别）采集与落库</w:t>
            </w:r>
          </w:p>
        </w:tc>
        <w:tc>
          <w:tcPr>
            <w:tcW w:w="2766" w:type="dxa"/>
            <w:vMerge w:val="restart"/>
            <w:shd w:val="clear" w:color="auto" w:fill="ECECEC" w:themeFill="accent3" w:themeFillTint="33"/>
            <w:vAlign w:val="center"/>
          </w:tcPr>
          <w:p>
            <w:pPr>
              <w:jc w:val="center"/>
              <w:rPr>
                <w:rFonts w:hint="eastAsia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张晓慧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 w:eastAsia="方正书宋_GBK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2026年12月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完成2027赛季新地图适配：重制红/蓝方视角地图与落点判断掩码、重做仿射变换标定矩阵、重标盲区预测点位；规则测评前同步更新裁判系统上报协议</w:t>
            </w:r>
          </w:p>
        </w:tc>
        <w:tc>
          <w:tcPr>
            <w:tcW w:w="2766" w:type="dxa"/>
            <w:vMerge w:val="continue"/>
            <w:shd w:val="clear" w:color="auto" w:fill="ECECEC" w:themeFill="accent3" w:themeFillTint="33"/>
          </w:tcPr>
          <w:p/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2027年1月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实现可加固区域面积A计算模块（命中率η、散布圆半径σ、相对准确率ρ、面积A）与加固中心点选择策略，完成加固指令下发与裁判系统联调；提交中期进度文档</w:t>
            </w:r>
          </w:p>
        </w:tc>
        <w:tc>
          <w:tcPr>
            <w:tcW w:w="2766" w:type="dxa"/>
            <w:vMerge w:val="continue"/>
            <w:shd w:val="clear" w:color="auto" w:fill="ECECEC" w:themeFill="accent3" w:themeFillTint="33"/>
          </w:tcPr>
          <w:p/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2027年2月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新装甲板样本采集与模型评估：装甲模块外形/尺寸变化较大时重训armor模型，重新导出onnx与TensorRT engine并做回归验证</w:t>
            </w:r>
          </w:p>
        </w:tc>
        <w:tc>
          <w:tcPr>
            <w:tcW w:w="2766" w:type="dxa"/>
            <w:vMerge w:val="continue"/>
            <w:shd w:val="clear" w:color="auto" w:fill="ECECEC" w:themeFill="accent3" w:themeFillTint="33"/>
          </w:tcPr>
          <w:p/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2027年3月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完整形态考核前全链路联调（视觉识别＋加固指令＋解析波坐标融合），固化赛场参数与备份模型</w:t>
            </w:r>
          </w:p>
        </w:tc>
        <w:tc>
          <w:tcPr>
            <w:tcW w:w="2766" w:type="dxa"/>
            <w:vMerge w:val="continue"/>
            <w:shd w:val="clear" w:color="auto" w:fill="ECECEC" w:themeFill="accent3" w:themeFillTint="33"/>
          </w:tcPr>
          <w:p/>
        </w:tc>
      </w:tr>
    </w:tbl>
    <w:p>
      <w:pPr>
        <w:pStyle w:val="4"/>
      </w:pPr>
      <w:r>
        <w:t>硬件部分</w:t>
      </w:r>
    </w:p>
    <w:tbl>
      <w:tblPr>
        <w:tblStyle w:val="40"/>
        <w:tblW w:w="0" w:type="auto"/>
        <w:tblInd w:w="0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时间段</w:t>
            </w:r>
          </w:p>
        </w:tc>
        <w:tc>
          <w:tcPr>
            <w:tcW w:w="2765" w:type="dxa"/>
            <w:tcBorders>
              <w:top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进度要求</w:t>
            </w:r>
          </w:p>
        </w:tc>
        <w:tc>
          <w:tcPr>
            <w:tcW w:w="2766" w:type="dxa"/>
            <w:tcBorders>
              <w:top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负责人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 w:eastAsia="方正书宋_GBK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2026年11月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SDR接收链路选型与采购：采购2块三位数价位SDR开发板（AD9363，约¥398/块），完成接收链路搭建并与上位机联通</w:t>
            </w:r>
          </w:p>
        </w:tc>
        <w:tc>
          <w:tcPr>
            <w:tcW w:w="2766" w:type="dxa"/>
            <w:vMerge w:val="restart"/>
            <w:shd w:val="clear" w:color="auto" w:fill="ECECEC" w:themeFill="accent3" w:themeFillTint="33"/>
            <w:vAlign w:val="center"/>
          </w:tcPr>
          <w:p>
            <w:pPr>
              <w:jc w:val="center"/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顾晨苏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 w:eastAsia="方正书宋_GBK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2026年12月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梳理官方发射源干扰波的三级难度接收链路，验证6位随机密钥（数字字母组合）的重置与解调</w:t>
            </w:r>
          </w:p>
        </w:tc>
        <w:tc>
          <w:tcPr>
            <w:tcW w:w="2766" w:type="dxa"/>
            <w:vMerge w:val="continue"/>
            <w:shd w:val="clear" w:color="auto" w:fill="ECECEC" w:themeFill="accent3" w:themeFillTint="33"/>
          </w:tcPr>
          <w:p/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2027年1月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以两块AD9363板搭建自测发射源，完成信息波与干扰波的接收端自测；与雷达视觉完成解析波坐标联调</w:t>
            </w:r>
          </w:p>
        </w:tc>
        <w:tc>
          <w:tcPr>
            <w:tcW w:w="2766" w:type="dxa"/>
            <w:vMerge w:val="continue"/>
            <w:shd w:val="clear" w:color="auto" w:fill="ECECEC" w:themeFill="accent3" w:themeFillTint="33"/>
          </w:tcPr>
          <w:p/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2027年2月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完成信息波解码（含新增的装甲受击信息字段），并进行长时间稳定性测试</w:t>
            </w:r>
          </w:p>
        </w:tc>
        <w:tc>
          <w:tcPr>
            <w:tcW w:w="2766" w:type="dxa"/>
            <w:vMerge w:val="continue"/>
            <w:shd w:val="clear" w:color="auto" w:fill="ECECEC" w:themeFill="accent3" w:themeFillTint="33"/>
          </w:tcPr>
          <w:p/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2027年3月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完整形态考核前硬件链路稳定性验证，准备现场备用天线与解调方案</w:t>
            </w:r>
          </w:p>
        </w:tc>
        <w:tc>
          <w:tcPr>
            <w:tcW w:w="2766" w:type="dxa"/>
            <w:vMerge w:val="continue"/>
            <w:shd w:val="clear" w:color="auto" w:fill="ECECEC" w:themeFill="accent3" w:themeFillTint="33"/>
          </w:tcPr>
          <w:p/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官方参数发布后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采购四位数价位SDR板卡（AD9361），按官方发布的干扰波三级难度参数完成频点、带宽、功率标定</w:t>
            </w:r>
          </w:p>
        </w:tc>
        <w:tc>
          <w:tcPr>
            <w:tcW w:w="2766" w:type="dxa"/>
            <w:vMerge w:val="continue"/>
            <w:shd w:val="clear" w:color="auto" w:fill="ECECEC" w:themeFill="accent3" w:themeFillTint="33"/>
          </w:tcPr>
          <w:p/>
        </w:tc>
      </w:tr>
    </w:tbl>
    <w:p>
      <w:pPr>
        <w:pStyle w:val="3"/>
      </w:pPr>
      <w:r>
        <w:t>验收节点</w:t>
      </w:r>
    </w:p>
    <w:p>
      <w:pPr>
        <w:pStyle w:val="4"/>
      </w:pPr>
      <w:r>
        <w:t>视觉验收节点</w:t>
      </w:r>
    </w:p>
    <w:tbl>
      <w:tblPr>
        <w:tblStyle w:val="40"/>
        <w:tblW w:w="0" w:type="auto"/>
        <w:tblInd w:w="0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关键节点</w:t>
            </w:r>
          </w:p>
        </w:tc>
        <w:tc>
          <w:tcPr>
            <w:tcW w:w="2765" w:type="dxa"/>
            <w:tcBorders>
              <w:top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</w:t>
            </w:r>
          </w:p>
        </w:tc>
        <w:tc>
          <w:tcPr>
            <w:tcW w:w="2766" w:type="dxa"/>
            <w:tcBorders>
              <w:top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验收标准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 w:eastAsia="方正书宋_GBK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规则差异与装甲受击信息解析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26.11.30</w:t>
            </w:r>
          </w:p>
        </w:tc>
        <w:tc>
          <w:tcPr>
            <w:tcW w:w="2766" w:type="dxa"/>
            <w:shd w:val="clear" w:color="auto" w:fill="ECECEC" w:themeFill="accent3" w:themeFillTint="33"/>
            <w:vAlign w:val="center"/>
          </w:tcPr>
          <w:p>
            <w:pPr>
              <w:jc w:val="center"/>
              <w:rPr>
                <w:rFonts w:hint="eastAsia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完成2027规则差异梳理；可正确解析并落库每发弹丸的击中位置（x，y，命中区域类别）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 w:eastAsia="方正书宋_GBK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新赛季地图适配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26.12.31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r>
              <w:t>红/蓝方视角地图、落点判断掩码、仿射变换标定矩阵、盲区预测点位全部替换为2027场地，标定点在地图上的投影与实际场地一致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加固区面积A与加固指令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27.1.31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r>
              <w:t>在统一装甲模块坐标系下实时计算η、σ、ρ、A；当局累计命中弹丸数≥10且持有加固机会时，可成功向裁判系统下发加固中心点指令，对应区域显示为“已加固”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装甲板模型重训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27.2.28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r>
              <w:t>装甲模块外形/尺寸变化较大时完成armor模型重训并导出onnx/engine，新装甲板检出率不低于现役模型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全链路联调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27.3.8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r>
              <w:t>完整形态考核前，视觉识别＋加固指令＋解析波坐标融合连续运行稳定，P值与易伤上报正常</w:t>
            </w:r>
          </w:p>
        </w:tc>
      </w:tr>
    </w:tbl>
    <w:p>
      <w:pPr>
        <w:pStyle w:val="4"/>
      </w:pPr>
      <w:r>
        <w:t>硬件验收节点</w:t>
      </w:r>
    </w:p>
    <w:tbl>
      <w:tblPr>
        <w:tblStyle w:val="40"/>
        <w:tblW w:w="0" w:type="auto"/>
        <w:tblInd w:w="0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关键节点</w:t>
            </w:r>
          </w:p>
        </w:tc>
        <w:tc>
          <w:tcPr>
            <w:tcW w:w="2765" w:type="dxa"/>
            <w:tcBorders>
              <w:top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</w:t>
            </w:r>
          </w:p>
        </w:tc>
        <w:tc>
          <w:tcPr>
            <w:tcW w:w="2766" w:type="dxa"/>
            <w:tcBorders>
              <w:top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验收标准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 w:eastAsia="方正书宋_GBK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接收链路选型与采购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26.11.30</w:t>
            </w:r>
          </w:p>
        </w:tc>
        <w:tc>
          <w:tcPr>
            <w:tcW w:w="2766" w:type="dxa"/>
            <w:shd w:val="clear" w:color="auto" w:fill="ECECEC" w:themeFill="accent3" w:themeFillTint="33"/>
            <w:vAlign w:val="center"/>
          </w:tcPr>
          <w:p>
            <w:pPr>
              <w:jc w:val="center"/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采购2块三位数价位SDR开发板（AD9363，约¥398/块），完成接收链路搭建并与上位机联通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 w:eastAsia="方正书宋_GBK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信息波与干扰波接收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26.12.31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r>
              <w:t>可接收官方发射源波形，完成6位随机密钥（数字字母组合）重置机制的解调验证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自测发射源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27.1.31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r>
              <w:t>以两块AD9363板模拟官方发射源，完成信息波与干扰波的接收端自测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与视觉联调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27.3.8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r>
              <w:t>解析结果经无线链路回传视觉端，坐标与裁判系统上报一致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  <w:vAlign w:val="center"/>
          </w:tcPr>
          <w:p>
            <w:p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四位数板卡与参数标定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官方解析波参数发布后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r>
              <w:t>采购四位数价位SDR板卡（AD9361，约¥1,799），按官方发布的干扰波三级难度参数完成频点、带宽、功率标定</w:t>
            </w:r>
          </w:p>
        </w:tc>
      </w:tr>
    </w:tbl>
    <w:p>
      <w:pPr/>
      <w:r>
        <w:rPr>
          <w:rFonts w:hint="eastAsia" w:ascii="华文楷体" w:hAnsi="华文楷体" w:eastAsia="华文楷体"/>
        </w:rPr>
        <w:t>说明：2027赛季已取消激光照射空中机器人的反制机制，2026赛季的反制（激光跟踪瞄准）相关模型训练需求同步取消；解析波参数发布前，硬件先以两块AD9363板完成“接收—自测”闭环，参数发布后再完成四位数板卡与参数标定。</w:t>
      </w:r>
    </w:p>
    <w:p>
      <w:pPr>
        <w:pStyle w:val="3"/>
      </w:pPr>
      <w:r>
        <w:t>人员安排</w:t>
      </w:r>
    </w:p>
    <w:tbl>
      <w:tblPr>
        <w:tblStyle w:val="40"/>
        <w:tblW w:w="0" w:type="auto"/>
        <w:tblInd w:w="0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组别</w:t>
            </w:r>
          </w:p>
        </w:tc>
        <w:tc>
          <w:tcPr>
            <w:tcW w:w="2765" w:type="dxa"/>
            <w:tcBorders>
              <w:top w:val="single" w:color="A5A5A5" w:themeColor="accent3" w:sz="4" w:space="0"/>
              <w:bottom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姓名</w:t>
            </w:r>
          </w:p>
        </w:tc>
        <w:tc>
          <w:tcPr>
            <w:tcW w:w="2766" w:type="dxa"/>
            <w:tcBorders>
              <w:top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  <w:insideH w:val="single" w:sz="4" w:space="0"/>
            </w:tcBorders>
            <w:shd w:val="clear" w:color="auto" w:fill="A5A5A5" w:themeFill="accent3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分工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 w:eastAsia="方正书宋_GBK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雷达视觉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eastAsia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张晓慧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视觉部分测试开发</w:t>
            </w:r>
          </w:p>
        </w:tc>
      </w:tr>
      <w:tr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雷达硬件</w:t>
            </w:r>
          </w:p>
        </w:tc>
        <w:tc>
          <w:tcPr>
            <w:tcW w:w="2765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顾晨苏</w:t>
            </w:r>
          </w:p>
        </w:tc>
        <w:tc>
          <w:tcPr>
            <w:tcW w:w="2766" w:type="dxa"/>
            <w:shd w:val="clear" w:color="auto" w:fill="ECECEC" w:themeFill="accent3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硬件部分测试开发</w:t>
            </w:r>
          </w:p>
        </w:tc>
      </w:tr>
    </w:tbl>
    <w:p>
      <w:pPr>
        <w:pStyle w:val="3"/>
      </w:pPr>
      <w:r>
        <w:t>技术难点</w:t>
      </w:r>
    </w:p>
    <w:p>
      <w:pPr>
        <w:pStyle w:val="4"/>
      </w:pPr>
      <w:r>
        <w:t>新技术研发</w:t>
      </w:r>
    </w:p>
    <w:p>
      <w:pPr/>
      <w:r>
        <w:rPr>
          <w:rFonts w:hint="eastAsia" w:ascii="华文楷体" w:hAnsi="华文楷体" w:eastAsia="华文楷体"/>
        </w:rPr>
        <w:t>视觉：1、可加固区域面积A的实时计算：需在统一装甲模块坐标系（以装甲模块检测面左下角为原点）下累计双方命中弹丸坐标，求横纵坐标中位数点与散布圆半径σ，并按A＝装甲板面积×ρ²/(2+ρ²)换算可加固面积</w:t>
      </w:r>
    </w:p>
    <w:p>
      <w:pPr/>
      <w:r>
        <w:rPr>
          <w:rFonts w:hint="eastAsia" w:ascii="华文楷体" w:hAnsi="华文楷体" w:eastAsia="华文楷体"/>
        </w:rPr>
        <w:t>2、加固中心点选择策略与指令下发时机：当局累计命中弹丸数≥10且持有加固机会时，选择使对方命中率最低的中心点，并避免与“双倍易伤”指令争抢裁判系统通信资源</w:t>
      </w:r>
    </w:p>
    <w:p>
      <w:pPr/>
      <w:r>
        <w:rPr>
          <w:rFonts w:hint="eastAsia" w:ascii="华文楷体" w:hAnsi="华文楷体" w:eastAsia="华文楷体"/>
        </w:rPr>
        <w:t>3、解析波与视觉坐标的融合：在对方干扰波难度高于己方时不产生易伤的前提下，按双方干扰波难度差动态调整标记策略与双倍易伤触发时机</w:t>
      </w:r>
    </w:p>
    <w:p>
      <w:pPr/>
      <w:r>
        <w:rPr>
          <w:rFonts w:hint="eastAsia" w:ascii="华文楷体" w:hAnsi="华文楷体" w:eastAsia="华文楷体"/>
        </w:rPr>
        <w:t>硬件：1、官方发射源三个难度等级干扰波的解调，以及6位随机密钥（开局与难度变化时重置）的实时解析</w:t>
      </w:r>
    </w:p>
    <w:p>
      <w:pPr/>
      <w:r>
        <w:rPr>
          <w:rFonts w:hint="eastAsia" w:ascii="华文楷体" w:hAnsi="华文楷体" w:eastAsia="华文楷体"/>
        </w:rPr>
        <w:t>2、信息波解码，含2027赛季新增的装甲受击信息字段</w:t>
      </w:r>
    </w:p>
    <w:p>
      <w:pPr/>
      <w:r>
        <w:rPr>
          <w:rFonts w:hint="eastAsia" w:ascii="华文楷体" w:hAnsi="华文楷体" w:eastAsia="华文楷体"/>
        </w:rPr>
        <w:t>3、SDR接收链路与自测发射源搭建：单块AD9363仅一条发射链，自测需两块板并行驱动，需解决多板时钟同步与驱动适配问题</w:t>
      </w:r>
    </w:p>
    <w:p>
      <w:pPr>
        <w:pStyle w:val="4"/>
      </w:pPr>
      <w:r>
        <w:t>已有技术改进</w:t>
      </w:r>
    </w:p>
    <w:p>
      <w:pPr/>
      <w:r>
        <w:rPr>
          <w:rFonts w:hint="eastAsia" w:ascii="华文楷体" w:hAnsi="华文楷体" w:eastAsia="华文楷体"/>
        </w:rPr>
        <w:t>视觉：1、识别对象由“双方地面机器人＋空中机器人”收敛为“仅双方地面机器人”，删除空中机器人标记链路，同步调整地图显示与裁判系统上报内容</w:t>
      </w:r>
    </w:p>
    <w:p>
      <w:pPr/>
      <w:r>
        <w:rPr>
          <w:rFonts w:hint="eastAsia" w:ascii="华文楷体" w:hAnsi="华文楷体" w:eastAsia="华文楷体"/>
        </w:rPr>
        <w:t>2、适配2027赛季新地图：地图图像、落点判断掩码、仿射变换标定矩阵、盲区预测点位全部重新标定</w:t>
      </w:r>
    </w:p>
    <w:p>
      <w:pPr/>
      <w:r>
        <w:rPr>
          <w:rFonts w:hint="eastAsia" w:ascii="华文楷体" w:hAnsi="华文楷体" w:eastAsia="华文楷体"/>
        </w:rPr>
        <w:t>3、装甲板模型按2027赛季装甲模块外形/尺寸重新评估，变化较大时重训并重新导出onnx/engine</w:t>
      </w:r>
    </w:p>
    <w:p>
      <w:pPr/>
      <w:r>
        <w:rPr>
          <w:rFonts w:hint="eastAsia" w:ascii="华文楷体" w:hAnsi="华文楷体" w:eastAsia="华文楷体"/>
        </w:rPr>
        <w:t>硬件：1、将无线充电的ASK解调技术加以改造，设计适配干扰波的FSK滤波与解调电路</w:t>
      </w:r>
    </w:p>
    <w:p>
      <w:pPr/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FDCC2A7-AA7D-481F-9D45-20379BDCF88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AC88D63-4BB3-4A29-B8AE-A339CC4B517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6C3CDEF9-3D47-447A-953C-5A5696415C7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8B42A5D5-D52A-4C92-B10D-1D1AA5866FE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E6FE245-028A-47CD-BD91-CCF6C2E7C41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6" w:fontKey="{C289D7D1-FF76-48E2-8ADA-C34C56A3A2EF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7" w:fontKey="{DEE16A1D-3B36-4D90-9762-71EA67E3E0B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8" w:fontKey="{5B9BAF08-F5BF-4F73-A281-A69311A8A4D2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黑体">
    <w:altName w:val="黑体"/>
    <w:panose1 w:val="02010600040101010101"/>
    <w:charset w:val="86"/>
    <w:family w:val="auto"/>
    <w:pitch w:val="default"/>
    <w:sig w:usb0="00000000" w:usb1="00000000" w:usb2="00020017" w:usb3="00000000" w:csb0="0016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1C02E"/>
    <w:multiLevelType w:val="singleLevel"/>
    <w:tmpl w:val="89A1C02E"/>
    <w:lvl w:ilvl="0" w:tentative="0">
      <w:start w:val="2"/>
      <w:numFmt w:val="decimal"/>
      <w:suff w:val="nothing"/>
      <w:lvlText w:val="%1、"/>
      <w:lvlJc w:val="left"/>
      <w:pPr>
        <w:ind w:left="63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VkMDZlY2MwMDI4M2RjMmU4N2U5ZmI5YzNkYjM4MzkifQ=="/>
  </w:docVars>
  <w:rsids>
    <w:rsidRoot w:val="009D0252"/>
    <w:rsid w:val="00102B96"/>
    <w:rsid w:val="001C2309"/>
    <w:rsid w:val="00216D83"/>
    <w:rsid w:val="00372CAC"/>
    <w:rsid w:val="003C127F"/>
    <w:rsid w:val="00503E12"/>
    <w:rsid w:val="0053040C"/>
    <w:rsid w:val="00585AA3"/>
    <w:rsid w:val="005D302E"/>
    <w:rsid w:val="00641490"/>
    <w:rsid w:val="006F4BDD"/>
    <w:rsid w:val="007E11F8"/>
    <w:rsid w:val="00823EE8"/>
    <w:rsid w:val="00831854"/>
    <w:rsid w:val="008D1D4E"/>
    <w:rsid w:val="00983DF3"/>
    <w:rsid w:val="00995D3E"/>
    <w:rsid w:val="009D0252"/>
    <w:rsid w:val="00B04E19"/>
    <w:rsid w:val="00B86E75"/>
    <w:rsid w:val="00CC7D1F"/>
    <w:rsid w:val="00E5665E"/>
    <w:rsid w:val="00FB65BD"/>
    <w:rsid w:val="17252504"/>
    <w:rsid w:val="1A365CE8"/>
    <w:rsid w:val="45E3056E"/>
    <w:rsid w:val="49A23897"/>
    <w:rsid w:val="50E362CD"/>
    <w:rsid w:val="6168419B"/>
    <w:rsid w:val="6C743119"/>
    <w:rsid w:val="7DDE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方正书宋_GBK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spacing w:before="480" w:after="80"/>
      <w:outlineLvl w:val="0"/>
    </w:pPr>
    <w:rPr>
      <w:rFonts w:ascii="华文楷体" w:eastAsia="华文楷体" w:hAnsiTheme="majorHAnsi" w:cstheme="majorBidi"/>
      <w:sz w:val="32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spacing w:before="160" w:after="80"/>
      <w:outlineLvl w:val="1"/>
    </w:pPr>
    <w:rPr>
      <w:rFonts w:eastAsia="华文楷体" w:asciiTheme="majorHAnsi" w:hAnsiTheme="majorHAnsi" w:cstheme="majorBidi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1"/>
    <w:unhideWhenUsed/>
    <w:qFormat/>
    <w:uiPriority w:val="9"/>
    <w:pPr>
      <w:spacing w:before="160" w:after="80"/>
      <w:outlineLvl w:val="2"/>
    </w:pPr>
    <w:rPr>
      <w:rFonts w:eastAsia="华文黑体" w:asciiTheme="majorHAnsi" w:hAnsiTheme="majorHAnsi" w:cstheme="majorBidi"/>
      <w:color w:val="2E75B6" w:themeColor="accent1" w:themeShade="BF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E75B6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75B6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75B6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1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7"/>
    <w:link w:val="2"/>
    <w:qFormat/>
    <w:uiPriority w:val="9"/>
    <w:rPr>
      <w:rFonts w:ascii="华文楷体" w:eastAsia="华文楷体" w:hAnsiTheme="majorHAnsi" w:cstheme="majorBidi"/>
      <w:sz w:val="32"/>
      <w:szCs w:val="48"/>
    </w:rPr>
  </w:style>
  <w:style w:type="character" w:customStyle="1" w:styleId="20">
    <w:name w:val="标题 2 字符"/>
    <w:basedOn w:val="17"/>
    <w:link w:val="3"/>
    <w:qFormat/>
    <w:uiPriority w:val="9"/>
    <w:rPr>
      <w:rFonts w:eastAsia="华文楷体" w:asciiTheme="majorHAnsi" w:hAnsiTheme="majorHAnsi" w:cstheme="majorBidi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1">
    <w:name w:val="标题 3 字符"/>
    <w:basedOn w:val="17"/>
    <w:link w:val="4"/>
    <w:qFormat/>
    <w:uiPriority w:val="9"/>
    <w:rPr>
      <w:rFonts w:eastAsia="华文黑体" w:asciiTheme="majorHAnsi" w:hAnsiTheme="majorHAnsi" w:cstheme="majorBidi"/>
      <w:color w:val="2E75B6" w:themeColor="accent1" w:themeShade="BF"/>
      <w:szCs w:val="32"/>
    </w:rPr>
  </w:style>
  <w:style w:type="character" w:customStyle="1" w:styleId="22">
    <w:name w:val="标题 4 字符"/>
    <w:basedOn w:val="17"/>
    <w:link w:val="5"/>
    <w:qFormat/>
    <w:uiPriority w:val="9"/>
    <w:rPr>
      <w:rFonts w:ascii="Times New Roman" w:hAnsi="Times New Roman" w:eastAsia="方正书宋_GBK" w:cstheme="majorBidi"/>
      <w:color w:val="2E75B6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ascii="Times New Roman" w:hAnsi="Times New Roman" w:eastAsia="方正书宋_GBK" w:cstheme="majorBidi"/>
      <w:color w:val="2E75B6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ascii="Times New Roman" w:hAnsi="Times New Roman" w:eastAsia="方正书宋_GBK" w:cstheme="majorBidi"/>
      <w:b/>
      <w:bCs/>
      <w:color w:val="2E75B6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ascii="Times New Roman" w:hAnsi="Times New Roman" w:eastAsia="方正书宋_GBK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ascii="Times New Roman" w:hAnsi="Times New Roman" w:eastAsia="方正书宋_GBK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ascii="Times New Roman" w:hAnsi="Times New Roman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Reference"/>
    <w:basedOn w:val="17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1">
    <w:name w:val="Intense Emphasis"/>
    <w:basedOn w:val="17"/>
    <w:qFormat/>
    <w:uiPriority w:val="21"/>
    <w:rPr>
      <w:i/>
      <w:iCs/>
      <w:color w:val="2E75B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3">
    <w:name w:val="明显引用 字符"/>
    <w:basedOn w:val="17"/>
    <w:link w:val="32"/>
    <w:qFormat/>
    <w:uiPriority w:val="30"/>
    <w:rPr>
      <w:rFonts w:ascii="Times New Roman" w:hAnsi="Times New Roman" w:eastAsia="方正书宋_GBK"/>
      <w:i/>
      <w:iCs/>
      <w:color w:val="2E75B6" w:themeColor="accent1" w:themeShade="BF"/>
    </w:rPr>
  </w:style>
  <w:style w:type="character" w:customStyle="1" w:styleId="34">
    <w:name w:val="页脚 字符"/>
    <w:basedOn w:val="17"/>
    <w:link w:val="11"/>
    <w:qFormat/>
    <w:uiPriority w:val="99"/>
    <w:rPr>
      <w:rFonts w:ascii="Times New Roman" w:hAnsi="Times New Roman" w:eastAsia="方正书宋_GBK"/>
      <w:sz w:val="18"/>
      <w:szCs w:val="18"/>
    </w:rPr>
  </w:style>
  <w:style w:type="character" w:customStyle="1" w:styleId="35">
    <w:name w:val="页眉 字符"/>
    <w:basedOn w:val="17"/>
    <w:link w:val="12"/>
    <w:qFormat/>
    <w:uiPriority w:val="99"/>
    <w:rPr>
      <w:rFonts w:ascii="Times New Roman" w:hAnsi="Times New Roman" w:eastAsia="方正书宋_GBK"/>
      <w:sz w:val="18"/>
      <w:szCs w:val="1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7"/>
    <w:link w:val="36"/>
    <w:qFormat/>
    <w:uiPriority w:val="29"/>
    <w:rPr>
      <w:rFonts w:ascii="Times New Roman" w:hAnsi="Times New Roman" w:eastAsia="方正书宋_GBK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customStyle="1" w:styleId="38">
    <w:name w:val="List Table 2"/>
    <w:basedOn w:val="15"/>
    <w:qFormat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9">
    <w:name w:val="List Table 1 Light"/>
    <w:basedOn w:val="15"/>
    <w:qFormat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0">
    <w:name w:val="List Table 4 Accent 3"/>
    <w:basedOn w:val="15"/>
    <w:qFormat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C8C8C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669</Words>
  <Characters>718</Characters>
  <Lines>2</Lines>
  <Paragraphs>1</Paragraphs>
  <TotalTime>1</TotalTime>
  <ScaleCrop>false</ScaleCrop>
  <LinksUpToDate>false</LinksUpToDate>
  <CharactersWithSpaces>728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2025-10-13T16:08:00Z</dcterms:created>
  <dc:creator>庆杨 张</dc:creator>
  <cp:lastModifiedBy>菓</cp:lastModifiedBy>
  <dcterms:modified xsi:type="dcterms:W3CDTF">2025-10-29T12:16:46Z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74437A90F0CD4276BEAC66E8BFEBA2C1_13</vt:lpwstr>
  </property>
</Properties>
</file>