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5.png" ContentType="image/png"/>
  <Override PartName="/word/media/rId30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Execução Financeira do MEC</w:t>
      </w:r>
    </w:p>
    <w:p>
      <w:pPr>
        <w:pStyle w:val="Subtitle"/>
      </w:pPr>
      <w:r>
        <w:t xml:space="preserve">Análise da dotação e execução financeira no Ministério da Educação e Cultura</w:t>
      </w:r>
    </w:p>
    <w:p>
      <w:pPr>
        <w:pStyle w:val="Author"/>
      </w:pPr>
      <w:r>
        <w:t xml:space="preserve">MEC-DAF</w:t>
      </w:r>
    </w:p>
    <w:p>
      <w:pPr>
        <w:pStyle w:val="Date"/>
      </w:pPr>
      <w:r>
        <w:t xml:space="preserve">2026-04-17</w:t>
      </w:r>
    </w:p>
    <w:p>
      <w:r>
        <w:pict>
          <v:rect style="width:0;height:1.5pt" o:hralign="center" o:hrstd="t" o:hr="t"/>
        </w:pict>
      </w:r>
    </w:p>
    <w:bookmarkStart w:id="26" w:name="sec-summary"/>
    <w:p>
      <w:pPr>
        <w:pStyle w:val="Heading2"/>
      </w:pPr>
      <w:r>
        <w:t xml:space="preserve">1 Resumo Executivo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Execução Global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Dotação Actualizada (DA)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MZN 94,773.3M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Despesa Paga (AFDP)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MZN 85,180.2M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Taxa de Execução Global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89.9%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Dotação e Despesa por Tipo de Reporte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Tipo de Reporte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Dotação Actualizada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Despesa Paga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Funcionamento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76,677,247,086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79,308,161,129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Investimento Externo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16,683,706,679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5,408,185,024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Investimento Interno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1,412,350,022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463,868,593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94,773,303,787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85,180,214,747</w:t>
            </w:r>
          </w:p>
        </w:tc>
      </w:tr>
    </w:tbl>
    <w:p>
      <w:pPr>
        <w:pStyle w:val="FirstParagraph"/>
      </w:pPr>
      <w:r>
        <w:drawing>
          <wp:inline>
            <wp:extent cx="3200400" cy="192024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est_report_files/figure-docx/plot-pie-tipo-report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Dotação Actualizada por Instituição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Dotação Actualizada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SDEJT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78,874,587,792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12,018,843,334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DPE - OGDP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2,996,046,152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Outras Instituições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848,263,825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35,562,684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Grand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94,773,303,787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Dotação Actualizada por Tipo de Reporte e Instituição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Funcionamento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Investimento Interno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Investimento Externo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DPE - OGDP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SPAS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Peso 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DPE - OGDP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SPAS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Peso 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DPE - OGDP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SPAS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Peso 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DPE - OGDP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SPAS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Grand 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Peso 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Delgado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104,112,919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104,112,919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93,426,608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93,426,608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101,303,058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101,303,058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298,842,585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298,842,585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60,954,566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60,954,566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6,745,045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6,745,045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67,604,169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67,604,169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135,303,780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135,303,780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Inhambane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55,366,037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55,366,037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14,337,484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14,337,484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56,583,835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56,583,835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126,287,356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126,287,356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84,218,625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84,218,625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95,751,985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95,751,985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86,047,082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86,047,082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266,017,692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266,017,692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Maputo Cidade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Maputo Província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67,239,248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67,239,248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32,000,394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32,000,394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59,765,945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59,765,945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159,005,587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159,005,587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Nampula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122,047,009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122,047,009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30,654,843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30,654,843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238,167,561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238,167,561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390,869,414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390,869,414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Niassa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81,446,418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81,446,418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48,087,161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48,087,161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113,867,600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113,867,600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243,401,178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243,401,178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Sofala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67,050,736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67,050,736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41,853,643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41,853,643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144,609,230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144,609,230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253,513,609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253,513,609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82,790,079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82,790,079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311,356,187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311,356,187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115,808,954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115,808,954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509,955,220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509,955,220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Zambézia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121,294,495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121,294,495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80,524,591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80,524,591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411,030,645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411,030,645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612,849,731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612,849,731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Grand 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846,520,132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846,520,132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754,737,942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754,737,942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1,394,788,079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1,394,788,079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2,996,046,152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2,996,046,152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</w:tr>
    </w:tbl>
    <w:p>
      <w:pPr>
        <w:pStyle w:val="BodyText"/>
      </w:pPr>
      <w:r>
        <w:drawing>
          <wp:inline>
            <wp:extent cx="3200400" cy="192024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est_report_files/figure-docx/plot-pie-tipo-instituicao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Start w:id="28" w:name="sec-funcao"/>
    <w:p>
      <w:pPr>
        <w:pStyle w:val="Heading2"/>
      </w:pPr>
      <w:r>
        <w:t xml:space="preserve">2 Execução por Função</w:t>
      </w:r>
    </w:p>
    <w:p>
      <w:pPr>
        <w:pStyle w:val="FirstParagraph"/>
      </w:pPr>
      <w:r>
        <w:t xml:space="preserve">Esta secção replica a tabela dinâmica Excel, mostrando dotação, despesa e taxa de execução</w:t>
      </w:r>
      <w:r>
        <w:t xml:space="preserve"> </w:t>
      </w:r>
      <w:r>
        <w:t xml:space="preserve">por classificação funcional (</w:t>
      </w:r>
      <w:r>
        <w:rPr>
          <w:rStyle w:val="VerbatimChar"/>
        </w:rPr>
        <w:t xml:space="preserve">funcao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reporte_tipo</w:t>
      </w:r>
      <w:r>
        <w:t xml:space="preserve"> </w:t>
      </w:r>
      <w:r>
        <w:t xml:space="preserve">como coluna.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funca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Execução orçamental por função e tipo de reporte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Execução por Função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Função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Dotação Actualizada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Despesa Paga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Taxa de Execução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PRIMARIO COMPLETO (EPC)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19.3B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18.0B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BA258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93.3%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PRIMARIO DO 1 GRAU (EP1)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18.4B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16.4B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60A95C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89.0%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SECUNDARIO GERAL DO 1 CICLO (ESG1)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7.6B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D9D37F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59.6%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AUXILIARES DE EDUCACAO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12.1B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11.4B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6A156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PUBLICOS GERAIS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6.6B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6.5B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29951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SECUNDARIO GERAL DO 2 CICLO (ESG2)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6.5B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119.2%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ADMINISTRACAO FINANCEIRA E FISCAL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3.7B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3.6B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49D53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97.0%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3.6B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2.5B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B5C67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68.6%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PRE-PRIMARIO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2.9B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D9F55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95.6%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ORGAOS EXECUTIVOS E LEGISLATIVOS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2.7B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102.2%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TECNICO MEDIO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1.1B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1.3B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117.2%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PRIMARIO DO 2 GRAU (EP2)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1.0B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1.0B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29951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SECUNDARIO GERAL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885.5M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37.1M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DC452E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4.2%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PUBLICOS GERAIS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604.0M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610.6M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101.1%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EDUCACAO NAO DEFINIVEL POR NIVEL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572.0M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628.8M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109.9%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TECNICO PROFISSIONALIZANTE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499.3M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295.6M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DAD3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59.2%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DE SAUDE PUBLICA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261.7M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245.9M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7A157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ALFABETIZACAO DE ADULTOS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209.7M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115.3M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EBD985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55.0%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SEGURANCA E ACCAO SOCIAL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170.9M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728.0M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425.9%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TECNICO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123.6M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112.3M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57A65A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90.9%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PRIMARIO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112.5M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69.2M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D1D07D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61.6%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82.6M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BA258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93.2%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SEGURANCA E ORDEM PUBLICA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78.8M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82.1M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104.2%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OUTROS SERVICOS GERAIS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73.5M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E4633C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11.8%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CULTURAIS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56.4M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172.3M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305.8%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HOSPITALARES ESPECIALIZADOS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55.2M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55.1M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C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SAUDE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43.4M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43.4M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C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TURISMO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12.5M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F6AD69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33.9%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EDUCACAO DE ADULTOS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17.8M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C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TRIBUNAIS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16.5M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49951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99.1%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TECNICO BASICO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10.6M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5A156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ASSUNTOS ECONOMICOS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54A55A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91.5%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GRADUACAO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279.1%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AJUDA ECONOMICA AOS PAISES EM DESENV. E PAISES EM TRANSICAO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PRISOES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A9A52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98.4%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AGRICULTURA, SILVICULTURA, PESCA E CACA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940.3K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FCCB7D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43.4%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PESQUISA E DESEN. AGRICULTURA, SIVIC, PECUARIA, PESCA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ASSUNTOS ECONOMICOS E COMERCIAIS GERAIS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1.9M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PROTECCAO AMBIENTAL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1.4M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1.4M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49A51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HABITACAO E SERVICOS COLECTIVOS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719.1K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B5C67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68.6%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FUNCIONAMENTO DO SISTEMA DE TRANSPORTE POR AGUA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302.0K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102.0K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F6AD68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33.8%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DESENVOLVIMENTO DA HABITACAO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250.0K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180.8K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A7C17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72.3%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EXCLUSAO SOCIAL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202.5K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201.7K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E99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99.6%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SERVICOS HOSPITALARES GERAIS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186.8K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77.1K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FBC478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41.3%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ASSUNTOS LABORAIS GERAIS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166.1K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16.2M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9,726.4%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PESCA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158.7K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155.6K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2D9B52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98.0%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DEFESA MILITAR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141.1K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141.1K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PRE-PRIMARIO E PRIMARIO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66.5K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62.7K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5A156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RADIODIFUSAO E SERVICOS EDITORIAIS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PLANEAMENTO GLOBAL E ESTATISTICA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16.7K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16.7K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ASSUNTOS ECONOMICOS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13.3K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13.3K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COMUNICACOES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8.0K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1A985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100.0%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ENSINO SUPERIOR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PESQUISA BASICA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49.0M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PESQUISA E DESENVOLVIMENTO EM EDUCACAO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1.3M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RECREACAO E SERVICOS DESPORTIVOS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17.8M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RECREACAO, CULTURA E RELIGIAO N.E.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15.7M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50" w:type="dxa"/>
                  </w:tcMar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50" w:type="dxa"/>
                  </w:tcMar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50" w:type="dxa"/>
                  </w:tcMar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94.8B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50" w:type="dxa"/>
                  </w:tcMar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85.2B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50" w:type="dxa"/>
                  </w:tcMar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89.9%</w:t>
                  </w:r>
                </w:p>
              </w:tc>
            </w:tr>
          </w:tbl>
          <w:bookmarkEnd w:id="27"/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sec-provincia"/>
    <w:p>
      <w:pPr>
        <w:pStyle w:val="Heading2"/>
      </w:pPr>
      <w:r>
        <w:t xml:space="preserve">3 Execução por Província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rovinci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Execução orçamental por província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Execução por Província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Ordenado por taxa de execução (descendente)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color w:val="005B96"/>
                    </w:rPr>
                    <w:t xml:space="default">Província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5B96"/>
                    </w:rPr>
                    <w:t xml:space="default">Dotação Actualizada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5B96"/>
                    </w:rPr>
                    <w:t xml:space="default">Despesa Paga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5B96"/>
                    </w:rPr>
                    <w:t xml:space="default">Nº UGBs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5B96"/>
                    </w:rPr>
                    <w:t xml:space="default">Taxa de Execução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Maputo Cidade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08080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29,385.8%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Zambézia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15.1B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09C53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97.6%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Tete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6.9B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19C53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97.5%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Gaza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5.5B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89D5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96.5%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Manica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99E5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96.3%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Inhambane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6.4B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B9E5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96.0%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Maputo Província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6.5B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B9E54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96.0%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Nampula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12.9B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3C9E55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95.8%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Cabo Delgado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5.4B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2A056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94.9%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Sofala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6.8B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42A056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FFFFFF"/>
                    </w:rPr>
                    <w:t xml:space="default">94.8%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Niassa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5.3B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8CB868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79.0%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-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&lt;?xml version='1.0' encoding='UTF-8' ?&gt;&lt;svg xmlns='http://www.w3.org/2000/svg' xmlns:xlink='http://www.w3.org/1999/xlink' width='113.39pt' height='14.17pt' viewBox='0 0 113.39 14.17'&gt;&lt;g class='svglite'&gt;&lt;defs&gt; &lt;style type='text/css'&gt;&lt;![CDATA[ .svglite line, .svglite polyline, .svglite polygon, .svglite path, .svglite rect, .svglite circle { fill: none; stroke: #000000; stroke-linecap: round; stroke-linejoin: round; stroke-miterlimit: 10.00; } .svglite text { white-space: pre; } .svglite g.glyphgroup path { fill: inherit; stroke: none; } ]]&gt;&lt;/style&gt;&lt;/defs&gt;&lt;rect width='100%' height='100%' style='stroke: none; fill: none;'/&gt;&lt;defs&gt; &lt;clipPath id='cpMC4wMHwxMTMuMzl8MC4wMHwxNC4xNw=='&gt; &lt;rect x='0.00' y='0.00' width='113.39' height='14.17' /&gt; &lt;/clipPath&gt;&lt;/defs&gt;&lt;g clip-path='url(#cpMC4wMHwxMTMuMzl8MC4wMHwxNC4xNw==)'&gt;&lt;rect x='0.00' y='0.0000000000000018' width='113.39' height='14.17' style='stroke-width: 0.00; stroke: none;' /&gt;&lt;line x1='5.02' y1='14.17' x2='5.02' y2='0.0000000000000018' style='stroke-width: 1.07; stroke-linecap: butt;' /&gt;&lt;/g&gt;&lt;/g&gt;&lt;/svg&gt;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3.7B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  <w:shd w:val="clear" w:color="auto" w:fill="F39B5D"/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color w:val="000000"/>
                    </w:rPr>
                    <w:t xml:space="default">28.4%</w:t>
                  </w:r>
                </w:p>
              </w:tc>
            </w:tr>
          </w:tbl>
          <w:bookmarkEnd w:id="2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rovincia-bar"/>
          <w:p>
            <w:pPr>
              <w:pStyle w:val="Compact"/>
              <w:jc w:val="center"/>
            </w:pPr>
            <w:r>
              <w:drawing>
                <wp:inline>
                  <wp:extent cx="4620126" cy="462012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test_report_files/figure-docx/fig-provincia-bar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Taxa de execução por província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sec-heatmap"/>
    <w:p>
      <w:pPr>
        <w:pStyle w:val="Heading2"/>
      </w:pPr>
      <w:r>
        <w:t xml:space="preserve">4 Mapa de Calor: Província × Função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heatmap"/>
          <w:p>
            <w:pPr>
              <w:pStyle w:val="Compact"/>
              <w:jc w:val="center"/>
            </w:pPr>
            <w:r>
              <w:drawing>
                <wp:inline>
                  <wp:extent cx="4620126" cy="739220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test_report_files/figure-docx/fig-heatmap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7392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Taxa de execução por província e função (apenas funções com dotação &gt; 0)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sec-distrito"/>
    <w:p>
      <w:pPr>
        <w:pStyle w:val="Heading2"/>
      </w:pPr>
      <w:r>
        <w:t xml:space="preserve">5 Execução por Distrito (Top/Bottom)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distrito"/>
          <w:p>
            <w:pPr>
              <w:pStyle w:val="Compact"/>
              <w:jc w:val="center"/>
            </w:pPr>
            <w:r>
              <w:drawing>
                <wp:inline>
                  <wp:extent cx="4620126" cy="646817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test_report_files/figure-docx/fig-distrito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646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Top 10 e Bottom 10 distritos por taxa de execução (mínimo MZN 1M de dotação)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c-notas"/>
    <w:p>
      <w:pPr>
        <w:pStyle w:val="Heading2"/>
      </w:pPr>
      <w:r>
        <w:t xml:space="preserve">6 Notas Metodológicas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e-SISTAFE, exportado via relatório consolidado por UGB/Funcional/Programa/FR/CED.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Filtro aplicado:</w:t>
      </w:r>
      <w:r>
        <w:t xml:space="preserve"> </w:t>
      </w:r>
      <w:r>
        <w:rPr>
          <w:rStyle w:val="VerbatimChar"/>
        </w:rPr>
        <w:t xml:space="preserve">data_tipo == "Valor"</w:t>
      </w:r>
      <w:r>
        <w:t xml:space="preserve"> </w:t>
      </w:r>
      <w:r>
        <w:t xml:space="preserve">(exclui percentagens já calculadas no sistema).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Taxa de Execução:</w:t>
      </w:r>
      <w:r>
        <w:t xml:space="preserve"> </w:t>
      </w:r>
      <w:r>
        <w:t xml:space="preserve">calculada como</w:t>
      </w:r>
      <w:r>
        <w:t xml:space="preserve"> </w:t>
      </w:r>
      <w:r>
        <w:rPr>
          <w:rStyle w:val="VerbatimChar"/>
        </w:rPr>
        <w:t xml:space="preserve">ad_fundos_desp_paga_vd_afdp / dotacao_actualizada_da</w:t>
      </w:r>
      <w:r>
        <w:t xml:space="preserve">. UGBs com dotação zero são excluídas do cálculo.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Notas sobre taxas &gt; 100%:</w:t>
      </w:r>
      <w:r>
        <w:t xml:space="preserve"> </w:t>
      </w:r>
      <w:r>
        <w:t xml:space="preserve">Podem reflectir suplementos orçamentais aprovados após a dotação inicial, ou reclassificações de despesa.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Período:</w:t>
      </w:r>
      <w:r>
        <w:t xml:space="preserve"> </w:t>
      </w:r>
      <w:r>
        <w:t xml:space="preserve">31/12/2025 – 31/12/2025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Relatório gerado automaticamente em R/Quarto · GIZ Moçambique — MEKM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Execução Financeira do MEC</dc:title>
  <dc:creator>MEC-DAF</dc:creator>
  <cp:keywords/>
  <dcterms:created xsi:type="dcterms:W3CDTF">2026-04-17T16:19:28Z</dcterms:created>
  <dcterms:modified xsi:type="dcterms:W3CDTF">2026-04-17T16:19:28Z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2026-04-17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subtitle">
    <vt:lpwstr>Análise da dotação e execução financeira no Ministério da Educação e Cultura</vt:lpwstr>
  </property>
  <property fmtid="{D5CDD505-2E9C-101B-9397-08002B2CF9AE}" pid="13" name="toc-title">
    <vt:lpwstr>Índice</vt:lpwstr>
  </property>
</Properties>
</file>