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9689" w14:textId="77777777" w:rsidR="00A13591" w:rsidRPr="00A13591" w:rsidRDefault="00A13591" w:rsidP="00A13591">
      <w:r w:rsidRPr="00A13591">
        <w:t xml:space="preserve">Here's a clean line diagram of the multi-agent system flow, from client brief through to the Revit </w:t>
      </w:r>
      <w:proofErr w:type="spellStart"/>
      <w:proofErr w:type="gramStart"/>
      <w:r w:rsidRPr="00A13591">
        <w:t>model:This</w:t>
      </w:r>
      <w:proofErr w:type="spellEnd"/>
      <w:proofErr w:type="gramEnd"/>
      <w:r w:rsidRPr="00A13591">
        <w:t xml:space="preserve"> traces the same architecture from the plan document as a single top-down line diagram: brief → Supervisor → the six discipline agents (grouped in their own tier) → Reviewer/QA → the human approval gate → Execution agent → Revit model, with the revision loop noted at the bottom rather than drawn as a crossing arrow.</w:t>
      </w:r>
    </w:p>
    <w:p w14:paraId="5590EBD2" w14:textId="77777777" w:rsidR="00A13591" w:rsidRPr="00A13591" w:rsidRDefault="00A13591" w:rsidP="00A13591">
      <w:r w:rsidRPr="00A13591">
        <w:t>If you'd like, I can do a second one just for the org chart (people/roles) in this same clean style, or a more detailed version showing the Handoff/Concurrent routing between specific worker agents.</w:t>
      </w:r>
    </w:p>
    <w:p w14:paraId="7B1213C3" w14:textId="77777777" w:rsidR="00F75540" w:rsidRDefault="00F75540"/>
    <w:p w14:paraId="7E98DF98" w14:textId="3D47804E" w:rsidR="00A13591" w:rsidRDefault="00A13591">
      <w:r w:rsidRPr="00A13591">
        <w:lastRenderedPageBreak/>
        <w:drawing>
          <wp:inline distT="0" distB="0" distL="0" distR="0" wp14:anchorId="244B4141" wp14:editId="76131714">
            <wp:extent cx="5425910" cy="6919560"/>
            <wp:effectExtent l="0" t="0" r="3810" b="0"/>
            <wp:docPr id="20598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12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748A" w14:textId="77777777" w:rsidR="00F75540" w:rsidRPr="00F75540" w:rsidRDefault="00F75540" w:rsidP="00F75540">
      <w:r w:rsidRPr="00F75540">
        <w:t>Two things drove the redesign, and both are reflected throughout the document:</w:t>
      </w:r>
    </w:p>
    <w:p w14:paraId="2B87944C" w14:textId="77777777" w:rsidR="00F75540" w:rsidRPr="00F75540" w:rsidRDefault="00F75540" w:rsidP="00F75540">
      <w:r w:rsidRPr="00F75540">
        <w:rPr>
          <w:b/>
          <w:bCs/>
        </w:rPr>
        <w:t>1. Saudi regulatory reality</w:t>
      </w:r>
      <w:r w:rsidRPr="00F75540">
        <w:t xml:space="preserve"> — the licensing path is now concrete: MISA investment license → MOCI Commercial Registration → </w:t>
      </w:r>
      <w:r w:rsidRPr="00F75540">
        <w:rPr>
          <w:b/>
          <w:bCs/>
        </w:rPr>
        <w:t>SCE accreditation</w:t>
      </w:r>
      <w:r w:rsidRPr="00F75540">
        <w:t xml:space="preserve"> (both the firm and every practicing engineer) → MOMRAH/Balady engineering office license → ZATCA/GOSI/</w:t>
      </w:r>
      <w:proofErr w:type="spellStart"/>
      <w:r w:rsidRPr="00F75540">
        <w:t>Qiwa</w:t>
      </w:r>
      <w:proofErr w:type="spellEnd"/>
      <w:r w:rsidRPr="00F75540">
        <w:t xml:space="preserve"> → SDAIA controller registration (PDPL). Worth flagging clearly: the foreign-ownership rules for engineering consultancies have shifted meaningfully in recent years (moving toward 100% foreign ownership for most activities), so that specific point needs a final </w:t>
      </w:r>
      <w:r w:rsidRPr="00F75540">
        <w:lastRenderedPageBreak/>
        <w:t>check with local counsel before you file anything — it's the fastest-moving part of what I found.</w:t>
      </w:r>
    </w:p>
    <w:p w14:paraId="0B50EA00" w14:textId="77777777" w:rsidR="00F75540" w:rsidRPr="00F75540" w:rsidRDefault="00F75540" w:rsidP="00F75540">
      <w:r w:rsidRPr="00F75540">
        <w:rPr>
          <w:b/>
          <w:bCs/>
        </w:rPr>
        <w:t>2. Revit is local, not cloud</w:t>
      </w:r>
      <w:r w:rsidRPr="00F75540">
        <w:t xml:space="preserve"> — this </w:t>
      </w:r>
      <w:proofErr w:type="gramStart"/>
      <w:r w:rsidRPr="00F75540">
        <w:t>actually simplifies</w:t>
      </w:r>
      <w:proofErr w:type="gramEnd"/>
      <w:r w:rsidRPr="00F75540">
        <w:t xml:space="preserve"> your execution layer. Instead of the Autodesk cloud Automation API from the original design, the Execution agent now talks to a </w:t>
      </w:r>
      <w:r w:rsidRPr="00F75540">
        <w:rPr>
          <w:b/>
          <w:bCs/>
        </w:rPr>
        <w:t>Revit add-in exposing a local MCP server over localhost/LAN</w:t>
      </w:r>
      <w:r w:rsidRPr="00F75540">
        <w:t>. The building model itself never has to leave the machine — only instructions and results cross into the orchestration layer, which is a genuine advantage for PDPL compliance, not just a technical workaround.</w:t>
      </w:r>
    </w:p>
    <w:p w14:paraId="3A2DC9EF" w14:textId="77777777" w:rsidR="00F75540" w:rsidRPr="00F75540" w:rsidRDefault="00F75540" w:rsidP="00F75540">
      <w:r w:rsidRPr="00F75540">
        <w:t xml:space="preserve">One more thing worth knowing: Microsoft's </w:t>
      </w:r>
      <w:r w:rsidRPr="00F75540">
        <w:rPr>
          <w:b/>
          <w:bCs/>
        </w:rPr>
        <w:t>Saudi Arabia East Azure region</w:t>
      </w:r>
      <w:r w:rsidRPr="00F75540">
        <w:t xml:space="preserve"> </w:t>
      </w:r>
      <w:proofErr w:type="gramStart"/>
      <w:r w:rsidRPr="00F75540">
        <w:t>goes</w:t>
      </w:r>
      <w:proofErr w:type="gramEnd"/>
      <w:r w:rsidRPr="00F75540">
        <w:t xml:space="preserve"> GA in November 2026 — that's essentially your natural migration point for in-Kingdom AI model hosting once it's live, so the plan treats "on-prem now" as a deliberate bridge, not a permanent state.</w:t>
      </w:r>
    </w:p>
    <w:p w14:paraId="09A897B1" w14:textId="77777777" w:rsidR="00F75540" w:rsidRPr="00F75540" w:rsidRDefault="00F75540" w:rsidP="00F75540">
      <w:r w:rsidRPr="00F75540">
        <w:t>Want the matching line diagram next — showing the local-network boundary around Revit and the compliance zone the way I did for the previous architecture?</w:t>
      </w:r>
    </w:p>
    <w:p w14:paraId="6449B55C" w14:textId="3F2B74A8" w:rsidR="00F75540" w:rsidRDefault="00F75540"/>
    <w:sectPr w:rsidR="00F7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91"/>
    <w:rsid w:val="00072D1E"/>
    <w:rsid w:val="00280380"/>
    <w:rsid w:val="00A13591"/>
    <w:rsid w:val="00F7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ED46"/>
  <w15:chartTrackingRefBased/>
  <w15:docId w15:val="{F5C2FC08-2543-41BA-859D-175D9064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Mozahid Sufiyan</dc:creator>
  <cp:keywords/>
  <dc:description/>
  <cp:lastModifiedBy>Mozahid Sufiyan</cp:lastModifiedBy>
  <cp:revision>2</cp:revision>
  <dcterms:created xsi:type="dcterms:W3CDTF">2026-09-12T07:03:00Z</dcterms:created>
  <dcterms:modified xsi:type="dcterms:W3CDTF">2026-09-12T07:10:00Z</dcterms:modified>
</cp:coreProperties>
</file>