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 Business Model Canvas (BMC)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Project: Smart Glasses (Cerebro)  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Date: 2026-04-24  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Currency: EGP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| Block                  | BMC Content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| ---------------------- |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| Key Partnerships       | New Mansoura University (supervisors, labs, pilot validation), component suppliers (ESP32, camera, microphones, batteries), AI/open-source ecosystem (YOLO, Whisper, Gemma, OpenCV), cloud and payment providers, pilot institutions (universities, hospitals, enterprises), community contributors. 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| Key Activities         | Hardware prototyping and assembly, firmware and backend development, multimodal AI integration (speech, vision, LLM), indoor mapping and routing, accessibility testing, deployment and support, documentation and community operations.                                                             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| Key Resources          | 10-person technical team, hardware modules and prototypes, AI models and software stack, indoor map and training data assets, cloud infrastructure, institutional network, project brand and research credibility.                                                                                   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| Value Propositions     | Eyes-free and hands-free context-aware assistant, real-time multilingual speech support, object and scene understanding, indoor navigation aid, accessibility-focused interaction for users with disabilities, smart-home and device-control integration.                                            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| Customer Relationships | Self-serve onboarding for individuals, managed onboarding/training for institutions, ongoing support contracts, community-led support for open users, continuous user feedback loops for accessibility and reliability improvements.                                                                 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| Channels               | University demos and exhibitions, social media and video showcases, GitHub/open-source presence, direct device sales, institutional outreach, partner-driven pilots and referrals.                                                                                                                   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| Customer Segments      | Students and educators, people with visual/hearing accessibility needs, field engineers and technicians, travelers and multilingual users, smart-home users, institutions (universities, hospitals, enterprises, campuses).                                                                          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| Cost Structure         | Variable cost: hardware COGS at 3,000 EGP per unit. Fixed cost baseline from finance plan: Plan A at 292,000 EGP/month and Plan B at 189,000 EGP/month, including labor, hosting, R&amp;D, facilities, and operating reserve.                                                                            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| Revenue Streams        | Hardware unit sales, software subscriptions, managed support contracts, sponsor contributions, donations/crowdfunding, grants and innovation awards, optional premium cloud services.                                                                                                                |</w:t>
      </w:r>
    </w:p>
    <w:p>
      <w:pPr>
        <w:pStyle w:val="Normal"/>
        <w:bidi w:val="0"/>
        <w:spacing w:lineRule="atLeast" w:line="285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A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AE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2</Pages>
  <Words>299</Words>
  <Characters>2356</Characters>
  <CharactersWithSpaces>3625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2026-04-24T12:22:56Z</dcterms:created>
  <dc:creator/>
  <dc:description/>
  <dc:language>en-AE</dc:language>
  <cp:lastModifiedBy/>
  <dcterms:modified xsi:type="dcterms:W3CDTF">2026-04-24T12:23:24Z</dcterms:modified>
  <cp:revision>1</cp:revision>
  <dc:subject/>
  <dc:title/>
</cp:coreProperties>
</file>