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1CB79" w14:textId="77777777" w:rsidR="00A3429C" w:rsidRPr="00A3429C" w:rsidRDefault="00A3429C" w:rsidP="00A3429C">
      <w:r w:rsidRPr="00A3429C">
        <w:t xml:space="preserve">This is </w:t>
      </w:r>
      <w:r w:rsidRPr="00A3429C">
        <w:rPr>
          <w:b/>
          <w:bCs/>
        </w:rPr>
        <w:t>language</w:t>
      </w:r>
      <w:r w:rsidRPr="00A3429C">
        <w:rPr>
          <w:b/>
          <w:bCs/>
        </w:rPr>
        <w:noBreakHyphen/>
        <w:t xml:space="preserve"> and </w:t>
      </w:r>
      <w:proofErr w:type="gramStart"/>
      <w:r w:rsidRPr="00A3429C">
        <w:rPr>
          <w:b/>
          <w:bCs/>
        </w:rPr>
        <w:t>style</w:t>
      </w:r>
      <w:r w:rsidRPr="00A3429C">
        <w:rPr>
          <w:b/>
          <w:bCs/>
        </w:rPr>
        <w:noBreakHyphen/>
        <w:t>only</w:t>
      </w:r>
      <w:proofErr w:type="gramEnd"/>
      <w:r w:rsidRPr="00A3429C">
        <w:rPr>
          <w:b/>
          <w:bCs/>
        </w:rPr>
        <w:t xml:space="preserve"> editing</w:t>
      </w:r>
      <w:r w:rsidRPr="00A3429C">
        <w:t>: no content removed, no claims added, no citations changed.</w:t>
      </w:r>
      <w:r w:rsidRPr="00A3429C">
        <w:br/>
        <w:t xml:space="preserve">You can paste this directly into Word and convert it into </w:t>
      </w:r>
      <w:r w:rsidRPr="00A3429C">
        <w:rPr>
          <w:b/>
          <w:bCs/>
        </w:rPr>
        <w:t>true Track Changes</w:t>
      </w:r>
      <w:r w:rsidRPr="00A3429C">
        <w:t xml:space="preserve"> as discussed.</w:t>
      </w:r>
    </w:p>
    <w:p w14:paraId="3CA79329" w14:textId="77777777" w:rsidR="00A3429C" w:rsidRPr="00A3429C" w:rsidRDefault="00A3429C" w:rsidP="00A3429C">
      <w:pPr>
        <w:rPr>
          <w:b/>
          <w:bCs/>
        </w:rPr>
      </w:pPr>
      <w:r w:rsidRPr="00A3429C">
        <w:rPr>
          <w:b/>
          <w:bCs/>
        </w:rPr>
        <w:t>Abstract (Proofread – Clean Version)</w:t>
      </w:r>
    </w:p>
    <w:p w14:paraId="03C55A33" w14:textId="77777777" w:rsidR="00A3429C" w:rsidRPr="00A3429C" w:rsidRDefault="00A3429C" w:rsidP="00A3429C">
      <w:r w:rsidRPr="00A3429C">
        <w:t>The development of machine learning models has advanced rapidly and is now widely recognized, largely due to leading technology companies integrating machine learning techniques into many of their products. Although artificially intelligent services (AIS) are gaining popularity at an unprecedented pace, publicly available information about how these models are built, trained, and which datasets are used remains limited. Moreover, details related to trustworthiness, transparency, and fairness—key principles of AI governance—are often scarce.</w:t>
      </w:r>
    </w:p>
    <w:p w14:paraId="452202E3" w14:textId="77777777" w:rsidR="00A3429C" w:rsidRPr="00A3429C" w:rsidRDefault="00A3429C" w:rsidP="00A3429C">
      <w:r w:rsidRPr="00A3429C">
        <w:t>As a result, most users of AIS remain poorly informed about what they agree to when accepting terms and conditions prior to using such services. We argue that users are not adequately informed about the mutual benefits and responsibilities associated with the use of AIS. Therefore, publicly available AIS should communicate these aspects more clearly and accessibly.</w:t>
      </w:r>
    </w:p>
    <w:p w14:paraId="44D58652" w14:textId="77777777" w:rsidR="00A3429C" w:rsidRPr="00A3429C" w:rsidRDefault="00A3429C" w:rsidP="00A3429C">
      <w:r w:rsidRPr="00A3429C">
        <w:t xml:space="preserve">In this paper, we introduce a framework called </w:t>
      </w:r>
      <w:r w:rsidRPr="00A3429C">
        <w:rPr>
          <w:b/>
          <w:bCs/>
        </w:rPr>
        <w:t xml:space="preserve">Visual </w:t>
      </w:r>
      <w:proofErr w:type="spellStart"/>
      <w:r w:rsidRPr="00A3429C">
        <w:rPr>
          <w:b/>
          <w:bCs/>
        </w:rPr>
        <w:t>FactSheet</w:t>
      </w:r>
      <w:proofErr w:type="spellEnd"/>
      <w:r w:rsidRPr="00A3429C">
        <w:t xml:space="preserve"> for AIS. Its primary goal is to visually present key attributes of AIS, enabling users to make informed decisions before engaging </w:t>
      </w:r>
      <w:proofErr w:type="gramStart"/>
      <w:r w:rsidRPr="00A3429C">
        <w:t>with</w:t>
      </w:r>
      <w:proofErr w:type="gramEnd"/>
      <w:r w:rsidRPr="00A3429C">
        <w:t xml:space="preserve"> these services. Furthermore, we propose formal definitions tailored to different </w:t>
      </w:r>
      <w:proofErr w:type="spellStart"/>
      <w:r w:rsidRPr="00A3429C">
        <w:t>FactSheet</w:t>
      </w:r>
      <w:proofErr w:type="spellEnd"/>
      <w:r w:rsidRPr="00A3429C">
        <w:t xml:space="preserve"> stakeholders, which we believe will support the creation of effective and meaningful </w:t>
      </w:r>
      <w:proofErr w:type="spellStart"/>
      <w:r w:rsidRPr="00A3429C">
        <w:t>FactSheets</w:t>
      </w:r>
      <w:proofErr w:type="spellEnd"/>
      <w:r w:rsidRPr="00A3429C">
        <w:t>.</w:t>
      </w:r>
    </w:p>
    <w:p w14:paraId="4E8ED90C" w14:textId="77777777" w:rsidR="00A3429C" w:rsidRPr="00A3429C" w:rsidRDefault="00A3429C" w:rsidP="00A3429C">
      <w:pPr>
        <w:rPr>
          <w:b/>
          <w:bCs/>
        </w:rPr>
      </w:pPr>
      <w:r w:rsidRPr="00A3429C">
        <w:rPr>
          <w:b/>
          <w:bCs/>
        </w:rPr>
        <w:t>1</w:t>
      </w:r>
      <w:r w:rsidRPr="00A3429C">
        <w:rPr>
          <w:b/>
          <w:bCs/>
        </w:rPr>
        <w:t> </w:t>
      </w:r>
      <w:r w:rsidRPr="00A3429C">
        <w:rPr>
          <w:b/>
          <w:bCs/>
        </w:rPr>
        <w:t>Introduction (Proofread – Clean Version)</w:t>
      </w:r>
    </w:p>
    <w:p w14:paraId="5929725B" w14:textId="77777777" w:rsidR="00A3429C" w:rsidRPr="00A3429C" w:rsidRDefault="00A3429C" w:rsidP="00A3429C">
      <w:r w:rsidRPr="00A3429C">
        <w:t>Artificially intelligent services (AIS) have become increasingly integrated into everyday life. Although machine learning (ML) has been an active area of research for many years, it initially struggled to demonstrate clear advantages in solving commercially viable problems, which resulted in slow early adoption. Limitations in ML algorithms, development tools, hardware resources, and the availability of training data further contributed to this delayed commercial uptake.</w:t>
      </w:r>
    </w:p>
    <w:p w14:paraId="2614F476" w14:textId="77777777" w:rsidR="00A3429C" w:rsidRPr="00A3429C" w:rsidRDefault="00A3429C" w:rsidP="00A3429C">
      <w:r w:rsidRPr="00A3429C">
        <w:t>Over the past decade, ML has evolved significantly and has become a core component of many automated services, such as responding to citizen inquiries related to unemployment benefits, welfare programs, and other public services [34]. Extensive research efforts have led to the development of numerous ML strategies, techniques, and algorithms. With advancements in deep learning (DL), natural language processing (NLP), and, more recently, large language models (LLMs), ML has demonstrated its ability to address complex problems with substantial commercial value [23, 32].</w:t>
      </w:r>
    </w:p>
    <w:p w14:paraId="0CF31FD2" w14:textId="77777777" w:rsidR="00A3429C" w:rsidRPr="00A3429C" w:rsidRDefault="00A3429C" w:rsidP="00A3429C">
      <w:r w:rsidRPr="00A3429C">
        <w:lastRenderedPageBreak/>
        <w:t>Consequently, leading corporations such as Microsoft, Google, IBM, and Amazon have invested heavily in integrating ML into their products. Although some companies experimented with ML techniques in a limited capacity as early as 2014, recent breakthroughs—particularly in image recognition and language processing—have accelerated large</w:t>
      </w:r>
      <w:r w:rsidRPr="00A3429C">
        <w:noBreakHyphen/>
        <w:t>scale commercial adoption. Today, it is increasingly difficult to identify mid</w:t>
      </w:r>
      <w:r w:rsidRPr="00A3429C">
        <w:noBreakHyphen/>
        <w:t>sized or large organizations that do not incorporate some form of ML capability into their products or services.</w:t>
      </w:r>
    </w:p>
    <w:p w14:paraId="661883AB" w14:textId="77777777" w:rsidR="00A3429C" w:rsidRPr="00A3429C" w:rsidRDefault="00A3429C" w:rsidP="00A3429C">
      <w:r w:rsidRPr="00A3429C">
        <w:t>Machine learning systems require large volumes of data for training. Both established and emerging companies developing ML</w:t>
      </w:r>
      <w:r w:rsidRPr="00A3429C">
        <w:noBreakHyphen/>
        <w:t>based services or applications have collected data—actively or passively—for extended periods. By offering free services such as search engines, social media platforms, and e</w:t>
      </w:r>
      <w:r w:rsidRPr="00A3429C">
        <w:noBreakHyphen/>
        <w:t>commerce applications, companies routinely collect user data. Loyalty programs are another common mechanism used by retailers to gather consumer information. These data are often used for user profiling, personalized product recommendations, and targeted advertising. The pace of data collection continues to accelerate. Currently, approximately 19.8 billion Internet of Things (IoT) devices are connected to the internet, generating an estimated 2.5 quintillion bytes of data daily [3, 41]. This growth is projected to continue, with expectations that by 2034, 40.6 billion IoT devices will be connected globally and will collectively produce 527.5 zettabytes of data annually [1, 3].</w:t>
      </w:r>
    </w:p>
    <w:p w14:paraId="558022CB" w14:textId="77777777" w:rsidR="00A3429C" w:rsidRPr="00A3429C" w:rsidRDefault="00A3429C" w:rsidP="00A3429C">
      <w:r w:rsidRPr="00A3429C">
        <w:t>Prior to the introduction of the General Data Protection Regulation (GDPR) in 2016, organizations faced limited regulatory oversight regarding how data were collected and used [11]. A similar lack of oversight also applied to ML model development until the emergence of formal AI governance policies. GDPR, introduced by the European Union (EU), enforces strict requirements related to data collection, processing, ownership, retention, and usage. These regulations present significant challenges for organizations involved in the development and deployment of ML</w:t>
      </w:r>
      <w:r w:rsidRPr="00A3429C">
        <w:noBreakHyphen/>
        <w:t>based systems.</w:t>
      </w:r>
    </w:p>
    <w:p w14:paraId="2FC3A043" w14:textId="77777777" w:rsidR="00A3429C" w:rsidRPr="00A3429C" w:rsidRDefault="00A3429C" w:rsidP="00A3429C">
      <w:r w:rsidRPr="00A3429C">
        <w:t>Despite these regulatory advances, publicly available information about how ML models underlying AIS are built, trained, and evaluated remains limited. As a result, such systems are often criticized for a lack of transparency—commonly referred to as the “black box” problem—where the reasoning behind decisions or recommendations is unclear [21, 33, 40]. While companies often rely on traditional, text</w:t>
      </w:r>
      <w:r w:rsidRPr="00A3429C">
        <w:noBreakHyphen/>
        <w:t>based “Terms and Conditions” or “Terms of Use” agreements to disclose data collection and usage practices, these documents are widely regarded as ineffective at conveying meaningful information to users [5]. In this paper, we propose a documentation framework designed to better serve the needs of all AIS stakeholders by improving transparency, interpretability, and informed user decision</w:t>
      </w:r>
      <w:r w:rsidRPr="00A3429C">
        <w:noBreakHyphen/>
        <w:t>making.</w:t>
      </w:r>
    </w:p>
    <w:p w14:paraId="52DDCB72" w14:textId="77777777" w:rsidR="00A3429C" w:rsidRPr="00A3429C" w:rsidRDefault="00A3429C" w:rsidP="00A3429C">
      <w:r w:rsidRPr="00A3429C">
        <w:lastRenderedPageBreak/>
        <w:t xml:space="preserve">This version is ready to paste into Word and convert into </w:t>
      </w:r>
      <w:r w:rsidRPr="00A3429C">
        <w:rPr>
          <w:b/>
          <w:bCs/>
        </w:rPr>
        <w:t>native Track Changes</w:t>
      </w:r>
      <w:r w:rsidRPr="00A3429C">
        <w:t>.</w:t>
      </w:r>
    </w:p>
    <w:p w14:paraId="21D2B274" w14:textId="77777777" w:rsidR="00A3429C" w:rsidRPr="00A3429C" w:rsidRDefault="00A3429C" w:rsidP="00A3429C">
      <w:pPr>
        <w:rPr>
          <w:b/>
          <w:bCs/>
        </w:rPr>
      </w:pPr>
      <w:r w:rsidRPr="00A3429C">
        <w:rPr>
          <w:b/>
          <w:bCs/>
        </w:rPr>
        <w:t>2</w:t>
      </w:r>
      <w:r w:rsidRPr="00A3429C">
        <w:rPr>
          <w:b/>
          <w:bCs/>
        </w:rPr>
        <w:t> </w:t>
      </w:r>
      <w:r w:rsidRPr="00A3429C">
        <w:rPr>
          <w:b/>
          <w:bCs/>
        </w:rPr>
        <w:t>Literature Review (Proofread – Clean Version)</w:t>
      </w:r>
    </w:p>
    <w:p w14:paraId="55CB84C9" w14:textId="78A33DCF" w:rsidR="00A3429C" w:rsidRPr="00A3429C" w:rsidRDefault="00A3429C" w:rsidP="00A3429C">
      <w:r w:rsidRPr="00A3429C">
        <w:t>In today’s AI</w:t>
      </w:r>
      <w:r w:rsidRPr="00A3429C">
        <w:noBreakHyphen/>
        <w:t>driven era—particularly with the rise of generative AI applications—users should be informed about, or service providers should disclose, details related to the underlying AI technology, data collection practices, data processing, privacy, and data usage in a manner that is easy to understand. Unfortunately, text</w:t>
      </w:r>
      <w:r w:rsidRPr="00A3429C">
        <w:noBreakHyphen/>
        <w:t>based legal agreements remain the primary mechanism for communicating such information.</w:t>
      </w:r>
      <w:r w:rsidR="00CF643D">
        <w:t xml:space="preserve"> </w:t>
      </w:r>
      <w:r w:rsidRPr="00A3429C">
        <w:t xml:space="preserve">A Deloitte survey conducted in 2017 revealed that 91% of 2,000 participants in the United States accepted “Terms and Conditions” or “Terms of Use” agreements without reading them. This trend was even more pronounced among individuals aged 18–38, with 97% accepting these agreements without review [6]. Similarly, Obar et al. conducted a study using a fictitious social networking platform accompanied by two documents: a privacy policy (PP) and </w:t>
      </w:r>
      <w:r w:rsidR="00CF643D">
        <w:t xml:space="preserve">a </w:t>
      </w:r>
      <w:r w:rsidR="00CF643D" w:rsidRPr="00A3429C">
        <w:t>term of service (TOS)</w:t>
      </w:r>
      <w:r w:rsidRPr="00A3429C">
        <w:t>. They estimated that reading the PP and TOS would require approximately 29–32 minutes and 15–17 minutes, respectively. However, participants spent only 73 seconds on the PP and 51 seconds on the TOS before agreeing. Among the 543 participants—primarily undergraduate students from a communication course at a large public university in the eastern United States—97% agreed to the PP and 93% agreed to the TOS [26].</w:t>
      </w:r>
    </w:p>
    <w:p w14:paraId="7BB1F639" w14:textId="77777777" w:rsidR="00A3429C" w:rsidRPr="00A3429C" w:rsidRDefault="00A3429C" w:rsidP="00A3429C">
      <w:r w:rsidRPr="00A3429C">
        <w:t>For English</w:t>
      </w:r>
      <w:r w:rsidRPr="00A3429C">
        <w:noBreakHyphen/>
        <w:t xml:space="preserve">speaking adults, the average oral reading rate is approximately 183 words per minute (wpm), while silent reading rates can reach 280–320 wpm [26, 4]. Table 1 presents the word counts of license agreements for several popular and widely used applications and services. Notably, some of the most prominent free service providers, including Meta, Tinder, and Microsoft, publish license agreements that would require between 14.4 and 63.5 minutes to read at a rate of 240 wpm. The data presented in Table 1 are based on information collected in 2020. We assume that most users do not invest sufficient time </w:t>
      </w:r>
      <w:proofErr w:type="gramStart"/>
      <w:r w:rsidRPr="00A3429C">
        <w:t>to</w:t>
      </w:r>
      <w:proofErr w:type="gramEnd"/>
      <w:r w:rsidRPr="00A3429C">
        <w:t xml:space="preserve"> fully </w:t>
      </w:r>
      <w:proofErr w:type="gramStart"/>
      <w:r w:rsidRPr="00A3429C">
        <w:t>review</w:t>
      </w:r>
      <w:proofErr w:type="gramEnd"/>
      <w:r w:rsidRPr="00A3429C">
        <w:t xml:space="preserve"> or </w:t>
      </w:r>
      <w:proofErr w:type="gramStart"/>
      <w:r w:rsidRPr="00A3429C">
        <w:t>understand</w:t>
      </w:r>
      <w:proofErr w:type="gramEnd"/>
      <w:r w:rsidRPr="00A3429C">
        <w:t xml:space="preserve"> their rights, responsibilities, data collection practices, and potential data usage prior to agreeing to such terms.</w:t>
      </w:r>
    </w:p>
    <w:p w14:paraId="753FD56D" w14:textId="77777777" w:rsidR="00A3429C" w:rsidRPr="00A3429C" w:rsidRDefault="00A3429C" w:rsidP="00A3429C">
      <w:r w:rsidRPr="00A3429C">
        <w:t>This assumption is supported by the findings of Obar et al., who reported that participants agreed to share their data with the United States National Security Agency and their employer, and even agreed to provide their first</w:t>
      </w:r>
      <w:r w:rsidRPr="00A3429C">
        <w:noBreakHyphen/>
        <w:t>born child as payment in exchange for access to the fictitious social networking platform [26]. Based on this evidence, it is evident that traditional, text</w:t>
      </w:r>
      <w:r w:rsidRPr="00A3429C">
        <w:noBreakHyphen/>
        <w:t>heavy, and lengthy legal agreements between service providers and users are ineffective at conveying essential information. Consequently, we argue that a clearer and more accessible communication framework is required—one that explains users’ rights and responsibilities in a form that is easily understandable.</w:t>
      </w:r>
    </w:p>
    <w:p w14:paraId="2CEBA604" w14:textId="77777777" w:rsidR="00A3429C" w:rsidRPr="00A3429C" w:rsidRDefault="00A3429C" w:rsidP="00A3429C">
      <w:r w:rsidRPr="00A3429C">
        <w:lastRenderedPageBreak/>
        <w:t>A fact sheet is defined as “a single</w:t>
      </w:r>
      <w:r w:rsidRPr="00A3429C">
        <w:noBreakHyphen/>
        <w:t>page or other brief document presenting facts relevant to a specific issue” [31]. Within the context of ML development, a “Fact Sheet,” also referred to as “</w:t>
      </w:r>
      <w:proofErr w:type="spellStart"/>
      <w:r w:rsidRPr="00A3429C">
        <w:t>FactSheets</w:t>
      </w:r>
      <w:proofErr w:type="spellEnd"/>
      <w:r w:rsidRPr="00A3429C">
        <w:t>” (FS), is a documentation framework designed to support responsible AI (RAI) practices [2]. We consider FS to be a foundational governance tool. Originally introduced by Arnold et al., the FS framework aims to promote transparency and trustworthiness in ML services and applications, primarily for auditors and developers. This trust is fostered by documenting each stage of the ML development lifecycle [2]. Acting as a centralized repository, FSs consolidate outputs from AI governance tools addressing areas such as bias detection and mitigation, explainability, robustness, and performance. In doing so, FSs extend traditional software documentation by focusing specifically on AI</w:t>
      </w:r>
      <w:r w:rsidRPr="00A3429C">
        <w:noBreakHyphen/>
        <w:t>related development concerns.</w:t>
      </w:r>
    </w:p>
    <w:p w14:paraId="674CC530" w14:textId="77777777" w:rsidR="00A3429C" w:rsidRPr="00A3429C" w:rsidRDefault="00A3429C" w:rsidP="00A3429C">
      <w:r w:rsidRPr="00A3429C">
        <w:t>Hind et al. observed that the FS framework proposed by Arnold et al. could serve multiple stakeholder groups [16]. However, we argue that end users were largely overlooked in its design. Other documentation initiatives include Mitchell et al.’s “Model Cards,” which emphasize performance reporting, use cases, and fairness considerations, and Gebru et al.’s “Datasheets for Datasets,” a comprehensive data</w:t>
      </w:r>
      <w:r w:rsidRPr="00A3429C">
        <w:noBreakHyphen/>
        <w:t>centric framework consisting of 57 questions addressing data collection, processing, and usage [24, 14]. Both Arnold et al. and Hind et al. adopted a question</w:t>
      </w:r>
      <w:r w:rsidRPr="00A3429C">
        <w:noBreakHyphen/>
        <w:t>and</w:t>
      </w:r>
      <w:r w:rsidRPr="00A3429C">
        <w:noBreakHyphen/>
        <w:t>answer methodology primarily intended for developers, data scientists, technical stakeholders, and testers, while excluding end users [2, 16].</w:t>
      </w:r>
    </w:p>
    <w:p w14:paraId="0735A532" w14:textId="77777777" w:rsidR="00A3429C" w:rsidRPr="00A3429C" w:rsidRDefault="00A3429C" w:rsidP="00A3429C">
      <w:r w:rsidRPr="00A3429C">
        <w:t xml:space="preserve">Similarly, the </w:t>
      </w:r>
      <w:proofErr w:type="spellStart"/>
      <w:r w:rsidRPr="00A3429C">
        <w:t>CLeAR</w:t>
      </w:r>
      <w:proofErr w:type="spellEnd"/>
      <w:r w:rsidRPr="00A3429C">
        <w:t xml:space="preserve"> framework proposed by Chmielinski et al. supports AI practitioners and policymakers but does not explicitly address the needs of end users [7]. In summary, FSs and related initiatives play an essential role throughout the ML project lifecycle, from development to deployment and post</w:t>
      </w:r>
      <w:r w:rsidRPr="00A3429C">
        <w:noBreakHyphen/>
        <w:t>deployment maintenance. We conclude that while these contributions provide robust documentation frameworks for technical stakeholders engaged in ML development, they fall short in terms of user</w:t>
      </w:r>
      <w:r w:rsidRPr="00A3429C">
        <w:noBreakHyphen/>
        <w:t>centric communication.</w:t>
      </w:r>
    </w:p>
    <w:p w14:paraId="300F3214" w14:textId="77777777" w:rsidR="00A3429C" w:rsidRPr="00A3429C" w:rsidRDefault="00A3429C" w:rsidP="00A3429C">
      <w:r w:rsidRPr="00A3429C">
        <w:t xml:space="preserve">At present, no standardized framework exists for documenting key aspects of ML models, such as how training data are collected and processed or how model performance is evaluated. Existing initiatives—including </w:t>
      </w:r>
      <w:proofErr w:type="spellStart"/>
      <w:r w:rsidRPr="00A3429C">
        <w:t>FactSheets</w:t>
      </w:r>
      <w:proofErr w:type="spellEnd"/>
      <w:r w:rsidRPr="00A3429C">
        <w:t xml:space="preserve">, Model Cards, Datasheets for Datasets, and the </w:t>
      </w:r>
      <w:proofErr w:type="spellStart"/>
      <w:r w:rsidRPr="00A3429C">
        <w:t>CLeAR</w:t>
      </w:r>
      <w:proofErr w:type="spellEnd"/>
      <w:r w:rsidRPr="00A3429C">
        <w:t xml:space="preserve"> framework—represent meaningful progress toward achieving RAI objectives. However, these efforts have largely neglected the inclusion of end users and lack a unified template capable of capturing all relevant ML details. Although Arnold et al. proposed a project</w:t>
      </w:r>
      <w:r w:rsidRPr="00A3429C">
        <w:noBreakHyphen/>
        <w:t>specific FS template, we argue that such a template should evolve into a universal standard [2]. Furthermore, while Hind et al. and Arnold et al. anticipated that FSs would serve multiple user groups, they did not clearly define these groups nor provide guidance on which ML attributes should be disclosed for different FS types [2, 16].</w:t>
      </w:r>
    </w:p>
    <w:p w14:paraId="074F091F" w14:textId="4B6ED1BB" w:rsidR="00A3429C" w:rsidRDefault="00A3429C" w:rsidP="00A3429C">
      <w:r w:rsidRPr="00A3429C">
        <w:lastRenderedPageBreak/>
        <w:t>In this paper, we address these gaps by introducing multiple user</w:t>
      </w:r>
      <w:r w:rsidRPr="00A3429C">
        <w:noBreakHyphen/>
        <w:t xml:space="preserve">focused FS categories and providing detailed definitions for each, including guidance on appropriate content. In addition, we propose a visual documentation framework, referred to as the </w:t>
      </w:r>
      <w:r w:rsidRPr="00A3429C">
        <w:rPr>
          <w:b/>
          <w:bCs/>
        </w:rPr>
        <w:t xml:space="preserve">Visual </w:t>
      </w:r>
      <w:proofErr w:type="spellStart"/>
      <w:r w:rsidRPr="00A3429C">
        <w:rPr>
          <w:b/>
          <w:bCs/>
        </w:rPr>
        <w:t>FactSheet</w:t>
      </w:r>
      <w:proofErr w:type="spellEnd"/>
      <w:r w:rsidRPr="00A3429C">
        <w:rPr>
          <w:b/>
          <w:bCs/>
        </w:rPr>
        <w:t xml:space="preserve"> (VFS)</w:t>
      </w:r>
      <w:r w:rsidRPr="00A3429C">
        <w:t>, specifically designed for non</w:t>
      </w:r>
      <w:r w:rsidRPr="00A3429C">
        <w:noBreakHyphen/>
        <w:t>technical users. While Zhang et al. introduced privacy nutrition labels for mobile applications that provide a limited subset of information, their approach is not fully applicable to AIS [43]. Our proposed VFS builds upon and partially resembles this prior work but is explicitly tailored to the characteristics and risks associated with AIS.</w:t>
      </w:r>
    </w:p>
    <w:p w14:paraId="0421B175" w14:textId="77777777" w:rsidR="00A3429C" w:rsidRDefault="00A3429C" w:rsidP="00A3429C"/>
    <w:p w14:paraId="7CBDCB07" w14:textId="77777777" w:rsidR="00A3429C" w:rsidRPr="00A3429C" w:rsidRDefault="00A3429C" w:rsidP="00A3429C">
      <w:r w:rsidRPr="00A3429C">
        <w:t xml:space="preserve">This text is ready to paste into Word and convert into </w:t>
      </w:r>
      <w:r w:rsidRPr="00A3429C">
        <w:rPr>
          <w:b/>
          <w:bCs/>
        </w:rPr>
        <w:t>native Track Changes</w:t>
      </w:r>
      <w:r w:rsidRPr="00A3429C">
        <w:t>.</w:t>
      </w:r>
    </w:p>
    <w:p w14:paraId="1822D6C3" w14:textId="77777777" w:rsidR="00A3429C" w:rsidRPr="00A3429C" w:rsidRDefault="00A3429C" w:rsidP="00A3429C">
      <w:pPr>
        <w:rPr>
          <w:b/>
          <w:bCs/>
        </w:rPr>
      </w:pPr>
      <w:r w:rsidRPr="00A3429C">
        <w:rPr>
          <w:b/>
          <w:bCs/>
        </w:rPr>
        <w:t>3</w:t>
      </w:r>
      <w:r w:rsidRPr="00A3429C">
        <w:rPr>
          <w:b/>
          <w:bCs/>
        </w:rPr>
        <w:t> </w:t>
      </w:r>
      <w:r w:rsidRPr="00A3429C">
        <w:rPr>
          <w:b/>
          <w:bCs/>
        </w:rPr>
        <w:t>Proposed Work (Proofread – Clean Version)</w:t>
      </w:r>
    </w:p>
    <w:p w14:paraId="0B95BD33" w14:textId="77777777" w:rsidR="00A3429C" w:rsidRPr="00A3429C" w:rsidRDefault="00A3429C" w:rsidP="00A3429C">
      <w:r w:rsidRPr="00A3429C">
        <w:t xml:space="preserve">Governance in artificial intelligence is an evolving discipline that encompasses key principles such as fairness, bias mitigation, explainability, robustness, causal inference, and privacy. For users of artificially intelligent services (AIS), understanding both the capabilities and limitations of these systems is essential. A </w:t>
      </w:r>
      <w:proofErr w:type="spellStart"/>
      <w:r w:rsidRPr="00A3429C">
        <w:t>FactSheet</w:t>
      </w:r>
      <w:proofErr w:type="spellEnd"/>
      <w:r w:rsidRPr="00A3429C">
        <w:t xml:space="preserve"> (FS) aims to provide stakeholders with the information necessary to make informed decisions regarding the use of AI</w:t>
      </w:r>
      <w:r w:rsidRPr="00A3429C">
        <w:noBreakHyphen/>
        <w:t>driven services. While FSs are widely acknowledged as important tools for advancing responsible AI (RAI) when implemented correctly, the term is often used ambiguously and inconsistently, which can reduce its effectiveness.</w:t>
      </w:r>
    </w:p>
    <w:p w14:paraId="0A881683" w14:textId="77777777" w:rsidR="00A3429C" w:rsidRPr="00A3429C" w:rsidRDefault="00A3429C" w:rsidP="00A3429C">
      <w:r w:rsidRPr="00A3429C">
        <w:t>To ensure clarity and practical utility, an FS must be well defined, comprehensive, and actionable, while remaining aligned with RAI principles. Traditionally, FSs are presented as lengthy, text</w:t>
      </w:r>
      <w:r w:rsidRPr="00A3429C">
        <w:noBreakHyphen/>
        <w:t>heavy documents that capture a wide range of system attributes across multiple sections. However, we argue that a single, exhaustive FS is unlikely to meet the diverse needs of all stakeholders. Instead, FSs should be tailored to distinct user groups, rather than relying on a generic, one</w:t>
      </w:r>
      <w:r w:rsidRPr="00A3429C">
        <w:noBreakHyphen/>
        <w:t>size</w:t>
      </w:r>
      <w:r w:rsidRPr="00A3429C">
        <w:noBreakHyphen/>
        <w:t>fits</w:t>
      </w:r>
      <w:r w:rsidRPr="00A3429C">
        <w:noBreakHyphen/>
        <w:t xml:space="preserve">all </w:t>
      </w:r>
      <w:proofErr w:type="gramStart"/>
      <w:r w:rsidRPr="00A3429C">
        <w:t>document</w:t>
      </w:r>
      <w:proofErr w:type="gramEnd"/>
      <w:r w:rsidRPr="00A3429C">
        <w:t>. In Section ??, we introduced our approach to FS user identification, highlighting the varying informational needs of different stakeholder categories.</w:t>
      </w:r>
    </w:p>
    <w:p w14:paraId="21D44FEC" w14:textId="77777777" w:rsidR="00A3429C" w:rsidRPr="00A3429C" w:rsidRDefault="00A3429C" w:rsidP="00A3429C">
      <w:r w:rsidRPr="00A3429C">
        <w:t>In the era of interactive information systems, digital icons and pictorial signs play a crucial role in conveying information quickly and effectively, particularly when compared to text</w:t>
      </w:r>
      <w:r w:rsidRPr="00A3429C">
        <w:noBreakHyphen/>
        <w:t xml:space="preserve">only formats. Universally recognized icons can transcend written language and cultural barriers while efficiently communicating complex concepts [8, 35]. Moreover, research has shown that the human brain processes and retains visual information more rapidly than text. For example, Potter et al. demonstrated that individuals </w:t>
      </w:r>
      <w:proofErr w:type="gramStart"/>
      <w:r w:rsidRPr="00A3429C">
        <w:t>can</w:t>
      </w:r>
      <w:proofErr w:type="gramEnd"/>
      <w:r w:rsidRPr="00A3429C">
        <w:t xml:space="preserve"> interpret the meaning of an entire image in as little as 13 milliseconds, even when encountering the image for the first time [30].</w:t>
      </w:r>
    </w:p>
    <w:p w14:paraId="2058881D" w14:textId="7CC413C3" w:rsidR="00A3429C" w:rsidRDefault="00A3429C" w:rsidP="00A3429C">
      <w:r w:rsidRPr="00A3429C">
        <w:lastRenderedPageBreak/>
        <w:t>Based on the limitations of text</w:t>
      </w:r>
      <w:r w:rsidRPr="00A3429C">
        <w:noBreakHyphen/>
        <w:t xml:space="preserve">heavy FSs discussed in Sections 1 and 2, and supported by the literature on visual cognition, we propose the use of visual elements within FSs to communicate essential information to end users prior to their engagement with any AIS. Our central hypothesis is that the proposed </w:t>
      </w:r>
      <w:r w:rsidRPr="00A3429C">
        <w:rPr>
          <w:b/>
          <w:bCs/>
        </w:rPr>
        <w:t xml:space="preserve">Visual </w:t>
      </w:r>
      <w:proofErr w:type="spellStart"/>
      <w:r w:rsidRPr="00A3429C">
        <w:rPr>
          <w:b/>
          <w:bCs/>
        </w:rPr>
        <w:t>FactSheet</w:t>
      </w:r>
      <w:proofErr w:type="spellEnd"/>
      <w:r w:rsidRPr="00A3429C">
        <w:rPr>
          <w:b/>
          <w:bCs/>
        </w:rPr>
        <w:t xml:space="preserve"> (VFS)</w:t>
      </w:r>
      <w:r w:rsidRPr="00A3429C">
        <w:t xml:space="preserve"> framework can significantly reduce or eliminate the comprehension barriers associated with traditional text</w:t>
      </w:r>
      <w:r w:rsidRPr="00A3429C">
        <w:noBreakHyphen/>
        <w:t xml:space="preserve">based FSs. To evaluate this hypothesis, we developed VFS representations for two widely used AIS by analyzing their publicly available Terms and Conditions. These examples are presented in Section 5.1 (Figure 2) and in Appendix A (Figure 17). Additionally, we conducted a user survey involving xx participants to empirically assess the effectiveness of the proposed VFS framework; the survey methodology and results are discussed in </w:t>
      </w:r>
      <w:proofErr w:type="gramStart"/>
      <w:r w:rsidRPr="00A3429C">
        <w:t>Section ?</w:t>
      </w:r>
      <w:proofErr w:type="gramEnd"/>
      <w:r w:rsidRPr="00A3429C">
        <w:t>?.</w:t>
      </w:r>
    </w:p>
    <w:p w14:paraId="23E90B54" w14:textId="77777777" w:rsidR="00A3429C" w:rsidRDefault="00A3429C" w:rsidP="00A3429C"/>
    <w:p w14:paraId="6EA8AFD2" w14:textId="77777777" w:rsidR="00A3429C" w:rsidRPr="00A3429C" w:rsidRDefault="00A3429C" w:rsidP="00A3429C">
      <w:r w:rsidRPr="00A3429C">
        <w:t xml:space="preserve">This text is ready to paste into Word and convert into </w:t>
      </w:r>
      <w:r w:rsidRPr="00A3429C">
        <w:rPr>
          <w:b/>
          <w:bCs/>
        </w:rPr>
        <w:t>native Track Changes</w:t>
      </w:r>
      <w:r w:rsidRPr="00A3429C">
        <w:t>.</w:t>
      </w:r>
    </w:p>
    <w:p w14:paraId="586DF7A2" w14:textId="77777777" w:rsidR="00A3429C" w:rsidRPr="00A3429C" w:rsidRDefault="00A3429C" w:rsidP="00A3429C">
      <w:pPr>
        <w:rPr>
          <w:b/>
          <w:bCs/>
        </w:rPr>
      </w:pPr>
      <w:r w:rsidRPr="00A3429C">
        <w:rPr>
          <w:b/>
          <w:bCs/>
        </w:rPr>
        <w:t>3</w:t>
      </w:r>
      <w:r w:rsidRPr="00A3429C">
        <w:rPr>
          <w:b/>
          <w:bCs/>
        </w:rPr>
        <w:t> </w:t>
      </w:r>
      <w:r w:rsidRPr="00A3429C">
        <w:rPr>
          <w:b/>
          <w:bCs/>
        </w:rPr>
        <w:t>Proposed Work (Proofread – Clean Version)</w:t>
      </w:r>
    </w:p>
    <w:p w14:paraId="0DC1F4DF" w14:textId="77777777" w:rsidR="00A3429C" w:rsidRPr="00A3429C" w:rsidRDefault="00A3429C" w:rsidP="00A3429C">
      <w:r w:rsidRPr="00A3429C">
        <w:t xml:space="preserve">Governance in artificial intelligence is an evolving discipline that encompasses key principles such as fairness, bias mitigation, explainability, robustness, causal inference, and privacy. For users of artificially intelligent services (AIS), understanding both the capabilities and limitations of these systems is essential. A </w:t>
      </w:r>
      <w:proofErr w:type="spellStart"/>
      <w:r w:rsidRPr="00A3429C">
        <w:t>FactSheet</w:t>
      </w:r>
      <w:proofErr w:type="spellEnd"/>
      <w:r w:rsidRPr="00A3429C">
        <w:t xml:space="preserve"> (FS) aims to provide stakeholders with the information necessary to make informed decisions regarding the use of AI</w:t>
      </w:r>
      <w:r w:rsidRPr="00A3429C">
        <w:noBreakHyphen/>
        <w:t>driven services. While FSs are widely acknowledged as important tools for advancing responsible AI (RAI) when implemented correctly, the term is often used ambiguously and inconsistently, which can reduce its effectiveness.</w:t>
      </w:r>
    </w:p>
    <w:p w14:paraId="64DBBB84" w14:textId="77777777" w:rsidR="00A3429C" w:rsidRPr="00A3429C" w:rsidRDefault="00A3429C" w:rsidP="00A3429C">
      <w:r w:rsidRPr="00A3429C">
        <w:t>To ensure clarity and practical utility, an FS must be well defined, comprehensive, and actionable, while remaining aligned with RAI principles. Traditionally, FSs are presented as lengthy, text</w:t>
      </w:r>
      <w:r w:rsidRPr="00A3429C">
        <w:noBreakHyphen/>
        <w:t>heavy documents that capture a wide range of system attributes across multiple sections. However, we argue that a single, exhaustive FS is unlikely to meet the diverse needs of all stakeholders. Instead, FSs should be tailored to distinct user groups, rather than relying on a generic, one</w:t>
      </w:r>
      <w:r w:rsidRPr="00A3429C">
        <w:noBreakHyphen/>
        <w:t>size</w:t>
      </w:r>
      <w:r w:rsidRPr="00A3429C">
        <w:noBreakHyphen/>
        <w:t>fits</w:t>
      </w:r>
      <w:r w:rsidRPr="00A3429C">
        <w:noBreakHyphen/>
        <w:t xml:space="preserve">all </w:t>
      </w:r>
      <w:proofErr w:type="gramStart"/>
      <w:r w:rsidRPr="00A3429C">
        <w:t>document</w:t>
      </w:r>
      <w:proofErr w:type="gramEnd"/>
      <w:r w:rsidRPr="00A3429C">
        <w:t>. In Section ??, we introduced our approach to FS user identification, highlighting the varying informational needs of different stakeholder categories.</w:t>
      </w:r>
    </w:p>
    <w:p w14:paraId="5CB5B31C" w14:textId="77777777" w:rsidR="00A3429C" w:rsidRPr="00A3429C" w:rsidRDefault="00A3429C" w:rsidP="00A3429C">
      <w:r w:rsidRPr="00A3429C">
        <w:t>In the era of interactive information systems, digital icons and pictorial signs play a crucial role in conveying information quickly and effectively, particularly when compared to text</w:t>
      </w:r>
      <w:r w:rsidRPr="00A3429C">
        <w:noBreakHyphen/>
        <w:t xml:space="preserve">only formats. Universally recognized icons can transcend written language and cultural barriers while efficiently communicating complex concepts [8, 35]. Moreover, research has shown that the human brain processes and retains visual information more </w:t>
      </w:r>
      <w:r w:rsidRPr="00A3429C">
        <w:lastRenderedPageBreak/>
        <w:t xml:space="preserve">rapidly than text. For example, Potter et al. demonstrated that individuals </w:t>
      </w:r>
      <w:proofErr w:type="gramStart"/>
      <w:r w:rsidRPr="00A3429C">
        <w:t>can</w:t>
      </w:r>
      <w:proofErr w:type="gramEnd"/>
      <w:r w:rsidRPr="00A3429C">
        <w:t xml:space="preserve"> interpret the meaning of an entire image in as little as 13 milliseconds, even when encountering the image for the first time [30].</w:t>
      </w:r>
    </w:p>
    <w:p w14:paraId="39B1682B" w14:textId="3859DAEB" w:rsidR="00A3429C" w:rsidRPr="00A3429C" w:rsidRDefault="00A3429C" w:rsidP="00A3429C">
      <w:r w:rsidRPr="00A3429C">
        <w:t>Based on the limitations of text</w:t>
      </w:r>
      <w:r w:rsidRPr="00A3429C">
        <w:noBreakHyphen/>
        <w:t xml:space="preserve">heavy FSs discussed in Sections 1 and 2, and supported by the literature on visual cognition, we propose the use of visual elements within FSs to communicate essential information to end users prior to their engagement with any AIS. Our central hypothesis is that the proposed </w:t>
      </w:r>
      <w:r w:rsidRPr="00A3429C">
        <w:rPr>
          <w:b/>
          <w:bCs/>
        </w:rPr>
        <w:t xml:space="preserve">Visual </w:t>
      </w:r>
      <w:proofErr w:type="spellStart"/>
      <w:r w:rsidRPr="00A3429C">
        <w:rPr>
          <w:b/>
          <w:bCs/>
        </w:rPr>
        <w:t>FactSheet</w:t>
      </w:r>
      <w:proofErr w:type="spellEnd"/>
      <w:r w:rsidRPr="00A3429C">
        <w:rPr>
          <w:b/>
          <w:bCs/>
        </w:rPr>
        <w:t xml:space="preserve"> (VFS)</w:t>
      </w:r>
      <w:r w:rsidRPr="00A3429C">
        <w:t xml:space="preserve"> framework can significantly reduce or eliminate the comprehension barriers associated with traditional text</w:t>
      </w:r>
      <w:r w:rsidRPr="00A3429C">
        <w:noBreakHyphen/>
        <w:t xml:space="preserve">based FSs. To evaluate this hypothesis, we developed VFS representations for two widely used AIS by analyzing their publicly available Terms and Conditions. These examples are presented in Section 5.1 (Figure 2) and in Appendix A (Figure 17). Additionally, we conducted a user survey involving xx participants to empirically assess the effectiveness of the proposed VFS framework; the survey methodology and results are discussed in </w:t>
      </w:r>
      <w:proofErr w:type="gramStart"/>
      <w:r w:rsidRPr="00A3429C">
        <w:t>Section ?</w:t>
      </w:r>
      <w:proofErr w:type="gramEnd"/>
      <w:r w:rsidRPr="00A3429C">
        <w:t>?.</w:t>
      </w:r>
      <w:r w:rsidRPr="00A3429C">
        <w:rPr>
          <w:rFonts w:ascii="Segoe UI" w:eastAsia="Times New Roman" w:hAnsi="Segoe UI" w:cs="Segoe UI"/>
          <w:kern w:val="0"/>
          <w:sz w:val="21"/>
          <w:szCs w:val="21"/>
          <w14:ligatures w14:val="none"/>
        </w:rPr>
        <w:t xml:space="preserve"> </w:t>
      </w:r>
      <w:proofErr w:type="gramStart"/>
      <w:r w:rsidRPr="00A3429C">
        <w:t>Edits</w:t>
      </w:r>
      <w:proofErr w:type="gramEnd"/>
      <w:r w:rsidRPr="00A3429C">
        <w:t xml:space="preserve"> focus strictly on </w:t>
      </w:r>
      <w:r w:rsidRPr="00A3429C">
        <w:rPr>
          <w:b/>
          <w:bCs/>
        </w:rPr>
        <w:t>language quality, clarity, academic tone, and consistency</w:t>
      </w:r>
      <w:r w:rsidRPr="00A3429C">
        <w:t xml:space="preserve">, while </w:t>
      </w:r>
      <w:r w:rsidRPr="00A3429C">
        <w:rPr>
          <w:b/>
          <w:bCs/>
        </w:rPr>
        <w:t>preserving your structure, arguments, terminology, and intent</w:t>
      </w:r>
      <w:r w:rsidRPr="00A3429C">
        <w:t>.</w:t>
      </w:r>
      <w:r w:rsidRPr="00A3429C">
        <w:br/>
        <w:t xml:space="preserve">This section is ready to paste into Word and convert into </w:t>
      </w:r>
      <w:r w:rsidRPr="00A3429C">
        <w:rPr>
          <w:b/>
          <w:bCs/>
        </w:rPr>
        <w:t>native Track Changes</w:t>
      </w:r>
      <w:r w:rsidRPr="00A3429C">
        <w:t>.</w:t>
      </w:r>
    </w:p>
    <w:p w14:paraId="65F5FD34" w14:textId="77777777" w:rsidR="00A3429C" w:rsidRPr="00A3429C" w:rsidRDefault="00A3429C" w:rsidP="00A3429C">
      <w:pPr>
        <w:rPr>
          <w:b/>
          <w:bCs/>
        </w:rPr>
      </w:pPr>
      <w:r w:rsidRPr="00A3429C">
        <w:rPr>
          <w:b/>
          <w:bCs/>
        </w:rPr>
        <w:t>5</w:t>
      </w:r>
      <w:r w:rsidRPr="00A3429C">
        <w:rPr>
          <w:b/>
          <w:bCs/>
        </w:rPr>
        <w:t> </w:t>
      </w:r>
      <w:r w:rsidRPr="00A3429C">
        <w:rPr>
          <w:b/>
          <w:bCs/>
        </w:rPr>
        <w:t xml:space="preserve">Components of Visual </w:t>
      </w:r>
      <w:proofErr w:type="spellStart"/>
      <w:r w:rsidRPr="00A3429C">
        <w:rPr>
          <w:b/>
          <w:bCs/>
        </w:rPr>
        <w:t>FactSheet</w:t>
      </w:r>
      <w:proofErr w:type="spellEnd"/>
      <w:r w:rsidRPr="00A3429C">
        <w:rPr>
          <w:b/>
          <w:bCs/>
        </w:rPr>
        <w:t xml:space="preserve"> (Proofread – Clean Version)</w:t>
      </w:r>
    </w:p>
    <w:p w14:paraId="28FFADF3" w14:textId="77777777" w:rsidR="00A3429C" w:rsidRPr="00A3429C" w:rsidRDefault="00A3429C" w:rsidP="00A3429C">
      <w:r w:rsidRPr="00A3429C">
        <w:t>“A picture is worth a thousand words” [36]. Visual representations of complex agreements can significantly enhance clarity and support decision</w:t>
      </w:r>
      <w:r w:rsidRPr="00A3429C">
        <w:noBreakHyphen/>
        <w:t>making for non</w:t>
      </w:r>
      <w:r w:rsidRPr="00A3429C">
        <w:noBreakHyphen/>
        <w:t xml:space="preserve">technical users [19, 37]. While visual depictions are commonly used to improve usability in product instructions and user manuals, similar strategies are rarely applied to license agreements, despite evidence suggesting their effectiveness in improving information quality, credibility, and user comprehension [19]. We argue that a Visual </w:t>
      </w:r>
      <w:proofErr w:type="spellStart"/>
      <w:r w:rsidRPr="00A3429C">
        <w:t>FactSheet</w:t>
      </w:r>
      <w:proofErr w:type="spellEnd"/>
      <w:r w:rsidRPr="00A3429C">
        <w:t xml:space="preserve"> (VFS) offers a promising approach for conveying license</w:t>
      </w:r>
      <w:r w:rsidRPr="00A3429C">
        <w:noBreakHyphen/>
        <w:t>related information in a more accessible and intuitive manner.</w:t>
      </w:r>
    </w:p>
    <w:p w14:paraId="73C118FE" w14:textId="77777777" w:rsidR="00A3429C" w:rsidRPr="00A3429C" w:rsidRDefault="00A3429C" w:rsidP="00A3429C">
      <w:r w:rsidRPr="00A3429C">
        <w:t xml:space="preserve">Data </w:t>
      </w:r>
      <w:proofErr w:type="gramStart"/>
      <w:r w:rsidRPr="00A3429C">
        <w:t>serve</w:t>
      </w:r>
      <w:proofErr w:type="gramEnd"/>
      <w:r w:rsidRPr="00A3429C">
        <w:t xml:space="preserve"> as the foundation for any machine learning (ML) model. Training data </w:t>
      </w:r>
      <w:proofErr w:type="gramStart"/>
      <w:r w:rsidRPr="00A3429C">
        <w:t>act</w:t>
      </w:r>
      <w:proofErr w:type="gramEnd"/>
      <w:r w:rsidRPr="00A3429C">
        <w:t xml:space="preserve"> as key inputs and directly influence model behavior, accuracy, and recommendation quality. A widely held assumption in ML development is that increasing the size of training datasets improves model performance [25]. Consequently, data have come to be regarded as the “new currency” in today’s interconnected digital ecosystem [13]. For this reason, we contend that users should be informed about the types of data they share with AIS providers, and how these data are retained, processed, and shared.</w:t>
      </w:r>
    </w:p>
    <w:p w14:paraId="51E8C0AF" w14:textId="77777777" w:rsidR="00A3429C" w:rsidRPr="00A3429C" w:rsidRDefault="00A3429C" w:rsidP="00A3429C">
      <w:r w:rsidRPr="00A3429C">
        <w:t xml:space="preserve">During the design of the VFS template, we adopted a </w:t>
      </w:r>
      <w:r w:rsidRPr="00A3429C">
        <w:rPr>
          <w:b/>
          <w:bCs/>
        </w:rPr>
        <w:t>risk</w:t>
      </w:r>
      <w:r w:rsidRPr="00A3429C">
        <w:rPr>
          <w:b/>
          <w:bCs/>
        </w:rPr>
        <w:noBreakHyphen/>
        <w:t>based approach</w:t>
      </w:r>
      <w:r w:rsidRPr="00A3429C">
        <w:t xml:space="preserve">. Risks in ML development generally fall into two broad categories: </w:t>
      </w:r>
      <w:r w:rsidRPr="00A3429C">
        <w:rPr>
          <w:b/>
          <w:bCs/>
        </w:rPr>
        <w:t>data</w:t>
      </w:r>
      <w:r w:rsidRPr="00A3429C">
        <w:rPr>
          <w:b/>
          <w:bCs/>
        </w:rPr>
        <w:noBreakHyphen/>
        <w:t>level risks</w:t>
      </w:r>
      <w:r w:rsidRPr="00A3429C">
        <w:t xml:space="preserve"> and </w:t>
      </w:r>
      <w:r w:rsidRPr="00A3429C">
        <w:rPr>
          <w:b/>
          <w:bCs/>
        </w:rPr>
        <w:t>model</w:t>
      </w:r>
      <w:r w:rsidRPr="00A3429C">
        <w:rPr>
          <w:b/>
          <w:bCs/>
        </w:rPr>
        <w:noBreakHyphen/>
        <w:t>level risks</w:t>
      </w:r>
      <w:r w:rsidRPr="00A3429C">
        <w:t>. Data</w:t>
      </w:r>
      <w:r w:rsidRPr="00A3429C">
        <w:noBreakHyphen/>
        <w:t xml:space="preserve">level risks include issues such as data bias, distributional shift, and adversarial </w:t>
      </w:r>
      <w:r w:rsidRPr="00A3429C">
        <w:lastRenderedPageBreak/>
        <w:t>manipulation, while model</w:t>
      </w:r>
      <w:r w:rsidRPr="00A3429C">
        <w:noBreakHyphen/>
        <w:t>level risks encompass concerns such as accuracy, uncertainty, and robustness [44]. Rather than treating these categories independently, we employ a hybrid approach that combines data bias and fairness risks, while addressing model accuracy and allowing flexibility for providers to disclose additional risks deemed relevant to their specific AIS.</w:t>
      </w:r>
    </w:p>
    <w:p w14:paraId="6934CF84" w14:textId="77777777" w:rsidR="00A3429C" w:rsidRPr="00A3429C" w:rsidRDefault="00A3429C" w:rsidP="00A3429C">
      <w:r w:rsidRPr="00A3429C">
        <w:t xml:space="preserve">Based on this approach, we propose the following VFS components, which we identify as most relevant and meaningful for end users: </w:t>
      </w:r>
      <w:r w:rsidRPr="00A3429C">
        <w:rPr>
          <w:b/>
          <w:bCs/>
        </w:rPr>
        <w:t>Purpose</w:t>
      </w:r>
      <w:r w:rsidRPr="00A3429C">
        <w:t xml:space="preserve">, </w:t>
      </w:r>
      <w:r w:rsidRPr="00A3429C">
        <w:rPr>
          <w:b/>
          <w:bCs/>
        </w:rPr>
        <w:t>Data Collection</w:t>
      </w:r>
      <w:r w:rsidRPr="00A3429C">
        <w:t xml:space="preserve">, </w:t>
      </w:r>
      <w:r w:rsidRPr="00A3429C">
        <w:rPr>
          <w:b/>
          <w:bCs/>
        </w:rPr>
        <w:t>Data Processing</w:t>
      </w:r>
      <w:r w:rsidRPr="00A3429C">
        <w:t xml:space="preserve">, </w:t>
      </w:r>
      <w:r w:rsidRPr="00A3429C">
        <w:rPr>
          <w:b/>
          <w:bCs/>
        </w:rPr>
        <w:t>Data Sharing</w:t>
      </w:r>
      <w:r w:rsidRPr="00A3429C">
        <w:t xml:space="preserve">, </w:t>
      </w:r>
      <w:r w:rsidRPr="00A3429C">
        <w:rPr>
          <w:b/>
          <w:bCs/>
        </w:rPr>
        <w:t>Data Selling</w:t>
      </w:r>
      <w:r w:rsidRPr="00A3429C">
        <w:t xml:space="preserve">, </w:t>
      </w:r>
      <w:r w:rsidRPr="00A3429C">
        <w:rPr>
          <w:b/>
          <w:bCs/>
        </w:rPr>
        <w:t>Data Retention</w:t>
      </w:r>
      <w:r w:rsidRPr="00A3429C">
        <w:t xml:space="preserve">, </w:t>
      </w:r>
      <w:r w:rsidRPr="00A3429C">
        <w:rPr>
          <w:b/>
          <w:bCs/>
        </w:rPr>
        <w:t>Accuracy and Fairness</w:t>
      </w:r>
      <w:r w:rsidRPr="00A3429C">
        <w:t xml:space="preserve">, and </w:t>
      </w:r>
      <w:r w:rsidRPr="00A3429C">
        <w:rPr>
          <w:b/>
          <w:bCs/>
        </w:rPr>
        <w:t>Potential Risk</w:t>
      </w:r>
      <w:r w:rsidRPr="00A3429C">
        <w:t>.</w:t>
      </w:r>
    </w:p>
    <w:p w14:paraId="2A09E1E8" w14:textId="77777777" w:rsidR="00A3429C" w:rsidRPr="00A3429C" w:rsidRDefault="00A3429C" w:rsidP="00A3429C">
      <w:r w:rsidRPr="00A3429C">
        <w:t xml:space="preserve">A VFS should begin with a clear statement of </w:t>
      </w:r>
      <w:proofErr w:type="gramStart"/>
      <w:r w:rsidRPr="00A3429C">
        <w:t>the AIS’s</w:t>
      </w:r>
      <w:proofErr w:type="gramEnd"/>
      <w:r w:rsidRPr="00A3429C">
        <w:t xml:space="preserve"> purpose, including an example of the problem the service addresses and how it supports users in solving that problem. Users must also be informed about the types of data the AIS provider may collect during service usage. While providing concrete examples of collected data is optional, it is strongly recommended. At a minimum, service providers should indicate whether data collection occurs using a clear “Yes” or “No” designation. If data collection takes place, providers should explain why the data are collected and how </w:t>
      </w:r>
      <w:proofErr w:type="gramStart"/>
      <w:r w:rsidRPr="00A3429C">
        <w:t>they</w:t>
      </w:r>
      <w:proofErr w:type="gramEnd"/>
      <w:r w:rsidRPr="00A3429C">
        <w:t xml:space="preserve"> will be used in the future. Additionally, providers should specify whether measures are in place to prevent the inclusion of personally identifiable information (PII), again using </w:t>
      </w:r>
      <w:proofErr w:type="gramStart"/>
      <w:r w:rsidRPr="00A3429C">
        <w:t>a clear</w:t>
      </w:r>
      <w:proofErr w:type="gramEnd"/>
      <w:r w:rsidRPr="00A3429C">
        <w:t xml:space="preserve"> affirmative or negative indication where appropriate.</w:t>
      </w:r>
    </w:p>
    <w:p w14:paraId="582C4AC9" w14:textId="77777777" w:rsidR="00A3429C" w:rsidRPr="00A3429C" w:rsidRDefault="00A3429C" w:rsidP="00A3429C">
      <w:r w:rsidRPr="00A3429C">
        <w:t>When user data are collected and processed, AIS providers must clearly disclose their data retention policies, including how long data are stored and how they are securely destroyed once the retention period has expired. Providers frequently share collected data with affiliated entities, government agencies (including law enforcement), and third</w:t>
      </w:r>
      <w:r w:rsidRPr="00A3429C">
        <w:noBreakHyphen/>
        <w:t>party service providers. In some cases, data ownership may change following corporate mergers, acquisitions, or business transfers. The VFS should explicitly identify all potential data recipients and clarify whether data are shared in raw or processed form.</w:t>
      </w:r>
    </w:p>
    <w:p w14:paraId="363DE221" w14:textId="77777777" w:rsidR="00A3429C" w:rsidRPr="00A3429C" w:rsidRDefault="00A3429C" w:rsidP="00A3429C">
      <w:r w:rsidRPr="00A3429C">
        <w:t>Regardless of whether an AIS is offered free of charge or through a paid model, service providers must demonstrate the value and effectiveness of their systems. For AIS, the accuracy of the underlying ML model is a critical indicator of performance. Given persistent concerns surrounding bias and fairness, providers should disclose relevant information about model impartiality, including reported accuracy metrics, fairness assessments, and known bias characteristics where available.</w:t>
      </w:r>
    </w:p>
    <w:p w14:paraId="75CBEF00" w14:textId="64138C35" w:rsidR="00A3429C" w:rsidRDefault="00A3429C" w:rsidP="00A3429C">
      <w:r w:rsidRPr="00A3429C">
        <w:t xml:space="preserve">Finally, AIS may involve inherent risks that users should be made aware of prior to engagement. These risks include, but are not limited to, adversarial attacks, data poisoning, model theft, and system hijacking. AIS providers should acknowledge such vulnerabilities and clearly outline any measures implemented to mitigate or prevent these </w:t>
      </w:r>
      <w:r w:rsidRPr="00A3429C">
        <w:lastRenderedPageBreak/>
        <w:t>threats. By explicitly disclosing potential risks, the VFS supports transparency and enables users to make more informed decisions about their participation in AIS.</w:t>
      </w:r>
    </w:p>
    <w:p w14:paraId="01072C45" w14:textId="77777777" w:rsidR="00A3429C" w:rsidRDefault="00A3429C" w:rsidP="00A3429C"/>
    <w:p w14:paraId="412D3815" w14:textId="77777777" w:rsidR="00A3429C" w:rsidRPr="00A3429C" w:rsidRDefault="00A3429C" w:rsidP="00A3429C">
      <w:r w:rsidRPr="00A3429C">
        <w:t xml:space="preserve">Edits focus on </w:t>
      </w:r>
      <w:r w:rsidRPr="00A3429C">
        <w:rPr>
          <w:b/>
          <w:bCs/>
        </w:rPr>
        <w:t>clarity, academic tone, grammar, and consistency</w:t>
      </w:r>
      <w:r w:rsidRPr="00A3429C">
        <w:t>, while strictly preserving your claims, structure, and citations.</w:t>
      </w:r>
      <w:r w:rsidRPr="00A3429C">
        <w:br/>
        <w:t xml:space="preserve">This is ready to paste into Word and convert into </w:t>
      </w:r>
      <w:r w:rsidRPr="00A3429C">
        <w:rPr>
          <w:b/>
          <w:bCs/>
        </w:rPr>
        <w:t>native Track Changes</w:t>
      </w:r>
      <w:r w:rsidRPr="00A3429C">
        <w:t>.</w:t>
      </w:r>
    </w:p>
    <w:p w14:paraId="7ECD5358" w14:textId="77777777" w:rsidR="00A3429C" w:rsidRPr="00A3429C" w:rsidRDefault="00A3429C" w:rsidP="00A3429C">
      <w:pPr>
        <w:rPr>
          <w:b/>
          <w:bCs/>
        </w:rPr>
      </w:pPr>
      <w:r w:rsidRPr="00A3429C">
        <w:rPr>
          <w:b/>
          <w:bCs/>
        </w:rPr>
        <w:t>5.1</w:t>
      </w:r>
      <w:r w:rsidRPr="00A3429C">
        <w:rPr>
          <w:b/>
          <w:bCs/>
        </w:rPr>
        <w:t> </w:t>
      </w:r>
      <w:r w:rsidRPr="00A3429C">
        <w:rPr>
          <w:b/>
          <w:bCs/>
        </w:rPr>
        <w:t>VFS Example (Proofread – Clean Version)</w:t>
      </w:r>
    </w:p>
    <w:p w14:paraId="26034F61" w14:textId="77777777" w:rsidR="00A3429C" w:rsidRPr="00A3429C" w:rsidRDefault="00A3429C" w:rsidP="00A3429C">
      <w:r w:rsidRPr="00A3429C">
        <w:t xml:space="preserve">To demonstrate the applicability of the proposed Visual </w:t>
      </w:r>
      <w:proofErr w:type="spellStart"/>
      <w:r w:rsidRPr="00A3429C">
        <w:t>FactSheet</w:t>
      </w:r>
      <w:proofErr w:type="spellEnd"/>
      <w:r w:rsidRPr="00A3429C">
        <w:t xml:space="preserve"> (VFS) framework, we present two case studies: a free service, </w:t>
      </w:r>
      <w:r w:rsidRPr="00A3429C">
        <w:rPr>
          <w:b/>
          <w:bCs/>
        </w:rPr>
        <w:t>ChatGPT</w:t>
      </w:r>
      <w:r w:rsidRPr="00A3429C">
        <w:t xml:space="preserve">, and a paid service, </w:t>
      </w:r>
      <w:r w:rsidRPr="00A3429C">
        <w:rPr>
          <w:b/>
          <w:bCs/>
        </w:rPr>
        <w:t>Equifax</w:t>
      </w:r>
      <w:r w:rsidRPr="00A3429C">
        <w:t>. These platforms were selected because they are among the most widely used AI</w:t>
      </w:r>
      <w:r w:rsidRPr="00A3429C">
        <w:noBreakHyphen/>
        <w:t>driven services and represent contrasting business models. Using the VFS framework, we visually analyze how these services collect, process, share, and sell user data, as well as the extent to which they disclose information about the machine learning models underlying their functionality.</w:t>
      </w:r>
    </w:p>
    <w:p w14:paraId="6809122E" w14:textId="77777777" w:rsidR="00A3429C" w:rsidRPr="00A3429C" w:rsidRDefault="00A3429C" w:rsidP="00A3429C">
      <w:r w:rsidRPr="00A3429C">
        <w:rPr>
          <w:b/>
          <w:bCs/>
        </w:rPr>
        <w:t>ChatGPT</w:t>
      </w:r>
      <w:r w:rsidRPr="00A3429C">
        <w:t>, developed by OpenAI and launched in November 2022, is a conversational agent built upon large language model (LLM) architectures that enable natural language understanding and human</w:t>
      </w:r>
      <w:r w:rsidRPr="00A3429C">
        <w:noBreakHyphen/>
        <w:t>like interaction for task assistance and information retrieval [29]. For this study, we reviewed OpenAI’s publicly available “Privacy Policy” and constructed the corresponding VFS shown in Figure 2. Explanatory legends for the icons used in the VFS are provided in Figure 3.</w:t>
      </w:r>
    </w:p>
    <w:p w14:paraId="3F0B55AA" w14:textId="77777777" w:rsidR="00A3429C" w:rsidRPr="00A3429C" w:rsidRDefault="00A3429C" w:rsidP="00A3429C">
      <w:r w:rsidRPr="00A3429C">
        <w:t>Figure 2 illustrates the categories of data collected by OpenAI during user interactions with ChatGPT. These include personal information, social media data, device identifiers, and communication content. According to the policy, these data are subject to real</w:t>
      </w:r>
      <w:r w:rsidRPr="00A3429C">
        <w:noBreakHyphen/>
        <w:t>time analytics to enhance user experience. The VFS also depicts how OpenAI processes, shares, and retains user data, including retention for an indefinite period. Collected data are used for purposes such as research, product development, and service improvement, and may be shared with affiliated entities, third</w:t>
      </w:r>
      <w:r w:rsidRPr="00A3429C">
        <w:noBreakHyphen/>
        <w:t>party service providers, and government agencies [28].</w:t>
      </w:r>
    </w:p>
    <w:p w14:paraId="30E22444" w14:textId="77777777" w:rsidR="00A3429C" w:rsidRPr="00A3429C" w:rsidRDefault="00A3429C" w:rsidP="00A3429C">
      <w:r w:rsidRPr="00A3429C">
        <w:t>Despite ChatGPT’s reliance on advanced LLM technologies, no publicly available documentation details the model’s architecture, accuracy, fairness metrics, or potential risks. Similarly, limited information is available regarding bias mitigation strategies or the representativeness of the training data. These omissions are reflected in the VFS through “information unknown” indicators for several ML</w:t>
      </w:r>
      <w:r w:rsidRPr="00A3429C">
        <w:noBreakHyphen/>
        <w:t>related components.</w:t>
      </w:r>
    </w:p>
    <w:p w14:paraId="6E95FF72" w14:textId="77777777" w:rsidR="00A3429C" w:rsidRPr="00A3429C" w:rsidRDefault="00A3429C" w:rsidP="00A3429C">
      <w:r w:rsidRPr="00A3429C">
        <w:rPr>
          <w:b/>
          <w:bCs/>
        </w:rPr>
        <w:lastRenderedPageBreak/>
        <w:t>Equifax</w:t>
      </w:r>
      <w:r w:rsidRPr="00A3429C">
        <w:t xml:space="preserve"> is one of the largest consumer reporting agencies globally and operates as a leader in data, analytics, and technology solutions. Its primary function is to collect consumer data, analyze these data to generate credit scores and reports, and sell the resulting insights to third parties [27]. Our review of Equifax’s documentation, summarized in Appendix A (Figure 17), reveals a data collection strategy that is </w:t>
      </w:r>
      <w:proofErr w:type="gramStart"/>
      <w:r w:rsidRPr="00A3429C">
        <w:t>comparable to—</w:t>
      </w:r>
      <w:proofErr w:type="gramEnd"/>
      <w:r w:rsidRPr="00A3429C">
        <w:t>but significantly broader than—that of ChatGPT.</w:t>
      </w:r>
    </w:p>
    <w:p w14:paraId="0B75A1D7" w14:textId="77777777" w:rsidR="00A3429C" w:rsidRPr="00A3429C" w:rsidRDefault="00A3429C" w:rsidP="00A3429C">
      <w:r w:rsidRPr="00A3429C">
        <w:t>In addition to collecting personal and device</w:t>
      </w:r>
      <w:r w:rsidRPr="00A3429C">
        <w:noBreakHyphen/>
        <w:t>related information, Equifax gathers highly sensitive data, including government</w:t>
      </w:r>
      <w:r w:rsidRPr="00A3429C">
        <w:noBreakHyphen/>
        <w:t>issued identification such as passports, Social Security numbers, and taxpayer identification numbers [10]. The company also tracks online activities, such as browsing behavior, purchasing patterns, and employment history. Notably, Equifax processes personal data without explicit user consent and provides no clear mechanism for users to opt out of data collection [27]. This practice is explicitly stated in its Privacy Statement, which indicates that the company does not honor browser</w:t>
      </w:r>
      <w:r w:rsidRPr="00A3429C">
        <w:noBreakHyphen/>
        <w:t>based “Do Not Track” requests [10].</w:t>
      </w:r>
    </w:p>
    <w:p w14:paraId="3ACE7E76" w14:textId="77777777" w:rsidR="00A3429C" w:rsidRPr="00A3429C" w:rsidRDefault="00A3429C" w:rsidP="00A3429C">
      <w:r w:rsidRPr="00A3429C">
        <w:t>Although Equifax publicly acknowledges its use of advanced ML models to identify complex patterns and improve the predictive accuracy of credit assessments [9], no references to AI or ML technologies appear in its publicly available Terms of Use or Privacy Statement. As a result, insufficient information is available regarding the architecture of these models, their accuracy, associated risks, or potential issues related to fairness and bias in the training data. Consequently, several VFS components for Equifax are also marked as “information unknown.”</w:t>
      </w:r>
    </w:p>
    <w:p w14:paraId="1D9672F0" w14:textId="47299C64" w:rsidR="00A3429C" w:rsidRDefault="00A3429C" w:rsidP="00A3429C">
      <w:r w:rsidRPr="00A3429C">
        <w:t>Together, these two case studies highlight persistent transparency gaps in both free and paid AIS. While the scope and sensitivity of data collection practices differ, both services fail to provide end users with accessible, meaningful information about their underlying ML systems. These findings reinforce the need for a standardized, user</w:t>
      </w:r>
      <w:r w:rsidRPr="00A3429C">
        <w:noBreakHyphen/>
        <w:t>centric documentation framework such as the proposed VFS.</w:t>
      </w:r>
    </w:p>
    <w:p w14:paraId="7FC0EFD2" w14:textId="77777777" w:rsidR="00A3429C" w:rsidRPr="00A3429C" w:rsidRDefault="00A3429C" w:rsidP="00A3429C">
      <w:proofErr w:type="gramStart"/>
      <w:r w:rsidRPr="00A3429C">
        <w:t>Edits</w:t>
      </w:r>
      <w:proofErr w:type="gramEnd"/>
      <w:r w:rsidRPr="00A3429C">
        <w:t xml:space="preserve"> focus on </w:t>
      </w:r>
      <w:r w:rsidRPr="00A3429C">
        <w:rPr>
          <w:b/>
          <w:bCs/>
        </w:rPr>
        <w:t>grammar, coherence, academic tone, and consistency</w:t>
      </w:r>
      <w:r w:rsidRPr="00A3429C">
        <w:t xml:space="preserve">, while </w:t>
      </w:r>
      <w:r w:rsidRPr="00A3429C">
        <w:rPr>
          <w:b/>
          <w:bCs/>
        </w:rPr>
        <w:t>preserving all methodology, findings, structure, and citations</w:t>
      </w:r>
      <w:r w:rsidRPr="00A3429C">
        <w:t>.</w:t>
      </w:r>
      <w:r w:rsidRPr="00A3429C">
        <w:br/>
        <w:t xml:space="preserve">This text is ready to paste into Word and convert into </w:t>
      </w:r>
      <w:r w:rsidRPr="00A3429C">
        <w:rPr>
          <w:b/>
          <w:bCs/>
        </w:rPr>
        <w:t>native Track Changes</w:t>
      </w:r>
      <w:r w:rsidRPr="00A3429C">
        <w:t>.</w:t>
      </w:r>
    </w:p>
    <w:p w14:paraId="27BD5024" w14:textId="77777777" w:rsidR="00A3429C" w:rsidRPr="00A3429C" w:rsidRDefault="00A3429C" w:rsidP="00A3429C">
      <w:pPr>
        <w:rPr>
          <w:b/>
          <w:bCs/>
        </w:rPr>
      </w:pPr>
      <w:r w:rsidRPr="00A3429C">
        <w:rPr>
          <w:b/>
          <w:bCs/>
        </w:rPr>
        <w:t>6</w:t>
      </w:r>
      <w:r w:rsidRPr="00A3429C">
        <w:rPr>
          <w:b/>
          <w:bCs/>
        </w:rPr>
        <w:t> </w:t>
      </w:r>
      <w:r w:rsidRPr="00A3429C">
        <w:rPr>
          <w:b/>
          <w:bCs/>
        </w:rPr>
        <w:t>User Survey (Proofread – Clean Version)</w:t>
      </w:r>
    </w:p>
    <w:p w14:paraId="24B82A81" w14:textId="77777777" w:rsidR="00A3429C" w:rsidRPr="00A3429C" w:rsidRDefault="00A3429C" w:rsidP="00A3429C">
      <w:r w:rsidRPr="00A3429C">
        <w:t xml:space="preserve">To evaluate the proposed Visual </w:t>
      </w:r>
      <w:proofErr w:type="spellStart"/>
      <w:r w:rsidRPr="00A3429C">
        <w:t>FactSheet</w:t>
      </w:r>
      <w:proofErr w:type="spellEnd"/>
      <w:r w:rsidRPr="00A3429C">
        <w:t xml:space="preserve"> (VFS) hypothesis—that visual representations can improve transparency and user understanding of data collection practices in free software services such as social media platforms—we conducted an end</w:t>
      </w:r>
      <w:r w:rsidRPr="00A3429C">
        <w:noBreakHyphen/>
        <w:t>user</w:t>
      </w:r>
      <w:r w:rsidRPr="00A3429C">
        <w:noBreakHyphen/>
        <w:t xml:space="preserve">focused survey. The survey was administered online and distributed through multiple channels, including social media. Titled </w:t>
      </w:r>
      <w:r w:rsidRPr="00A3429C">
        <w:rPr>
          <w:b/>
          <w:bCs/>
        </w:rPr>
        <w:t xml:space="preserve">“Towards a Visual </w:t>
      </w:r>
      <w:proofErr w:type="spellStart"/>
      <w:r w:rsidRPr="00A3429C">
        <w:rPr>
          <w:b/>
          <w:bCs/>
        </w:rPr>
        <w:t>FactSheet</w:t>
      </w:r>
      <w:proofErr w:type="spellEnd"/>
      <w:r w:rsidRPr="00A3429C">
        <w:rPr>
          <w:b/>
          <w:bCs/>
        </w:rPr>
        <w:t xml:space="preserve"> for Software Terms and </w:t>
      </w:r>
      <w:r w:rsidRPr="00A3429C">
        <w:rPr>
          <w:b/>
          <w:bCs/>
        </w:rPr>
        <w:lastRenderedPageBreak/>
        <w:t>Conditions Agreements,”</w:t>
      </w:r>
      <w:r w:rsidRPr="00A3429C">
        <w:t xml:space="preserve"> the study received approval from the University of New Brunswick (UNB) Faculty of Computer Science and the UNB Research Ethics Board (REB) under file number </w:t>
      </w:r>
      <w:r w:rsidRPr="00A3429C">
        <w:rPr>
          <w:b/>
          <w:bCs/>
        </w:rPr>
        <w:t>REB 2026</w:t>
      </w:r>
      <w:r w:rsidRPr="00A3429C">
        <w:rPr>
          <w:b/>
          <w:bCs/>
        </w:rPr>
        <w:noBreakHyphen/>
        <w:t>030</w:t>
      </w:r>
      <w:r w:rsidRPr="00A3429C">
        <w:t>.</w:t>
      </w:r>
    </w:p>
    <w:p w14:paraId="48435DE5" w14:textId="77777777" w:rsidR="00A3429C" w:rsidRPr="00A3429C" w:rsidRDefault="00A3429C" w:rsidP="00A3429C">
      <w:r w:rsidRPr="00A3429C">
        <w:t xml:space="preserve">The survey targeted participants from the UNB community, including students, faculty, and staff, as well as external participants recruited through our industry partner, </w:t>
      </w:r>
      <w:proofErr w:type="spellStart"/>
      <w:r w:rsidRPr="00A3429C">
        <w:t>TrojAI</w:t>
      </w:r>
      <w:proofErr w:type="spellEnd"/>
      <w:r w:rsidRPr="00A3429C">
        <w:t>. Following initial approval, a modification request was submitted to the UNB REB to allow the use of a physical recruitment poster. This amendment was subsequently approved.</w:t>
      </w:r>
    </w:p>
    <w:p w14:paraId="5B75FB86" w14:textId="77777777" w:rsidR="00A3429C" w:rsidRPr="00A3429C" w:rsidRDefault="00A3429C" w:rsidP="00A3429C">
      <w:r w:rsidRPr="00A3429C">
        <w:t xml:space="preserve">Making decisions with limited or unclear information can lead to feelings of frustration, loss of control, and reduced </w:t>
      </w:r>
      <w:proofErr w:type="gramStart"/>
      <w:r w:rsidRPr="00A3429C">
        <w:t>trust—</w:t>
      </w:r>
      <w:proofErr w:type="gramEnd"/>
      <w:r w:rsidRPr="00A3429C">
        <w:t>especially when individuals are asked to share personal data without a clear understanding of how those data will be used. To address these concerns, the proposed VFS presents “Terms and Conditions” agreements in a visual format that enables users to make informed decisions about whether to engage with a digital platform. The survey was designed as an online multiple</w:t>
      </w:r>
      <w:r w:rsidRPr="00A3429C">
        <w:noBreakHyphen/>
        <w:t>choice questionnaire and followed best</w:t>
      </w:r>
      <w:r w:rsidRPr="00A3429C">
        <w:noBreakHyphen/>
        <w:t>practice survey design guidelines outlined by Fink [12].</w:t>
      </w:r>
    </w:p>
    <w:p w14:paraId="583F1BA5" w14:textId="77777777" w:rsidR="00A3429C" w:rsidRPr="00A3429C" w:rsidRDefault="00A3429C" w:rsidP="00A3429C">
      <w:r w:rsidRPr="00A3429C">
        <w:t xml:space="preserve">To support the study, we created a fictitious social media platform along with corresponding Terms and Conditions. This fictitious agreement was intentionally designed to resemble existing </w:t>
      </w:r>
      <w:proofErr w:type="gramStart"/>
      <w:r w:rsidRPr="00A3429C">
        <w:t>platforms—</w:t>
      </w:r>
      <w:proofErr w:type="gramEnd"/>
      <w:r w:rsidRPr="00A3429C">
        <w:t xml:space="preserve">particularly </w:t>
      </w:r>
      <w:proofErr w:type="gramStart"/>
      <w:r w:rsidRPr="00A3429C">
        <w:t>ChatGPT—</w:t>
      </w:r>
      <w:proofErr w:type="gramEnd"/>
      <w:r w:rsidRPr="00A3429C">
        <w:t>while remaining less extensive than platforms such as Equifax. Using the VFS framework, we developed an end</w:t>
      </w:r>
      <w:r w:rsidRPr="00A3429C">
        <w:noBreakHyphen/>
        <w:t>user</w:t>
      </w:r>
      <w:r w:rsidRPr="00A3429C">
        <w:noBreakHyphen/>
        <w:t>focused visual presentation of the agreement (Figure 4). Participation invitations were distributed to students at a research university and to employees of a selected information technology company. Participation was voluntary.</w:t>
      </w:r>
    </w:p>
    <w:p w14:paraId="08146C3A" w14:textId="77777777" w:rsidR="00A3429C" w:rsidRPr="00A3429C" w:rsidRDefault="00A3429C" w:rsidP="00A3429C">
      <w:r w:rsidRPr="00A3429C">
        <w:t>The survey consisted of three primary phases. In the first phase, participants reviewed the fictitious Terms and Conditions in a traditional text</w:t>
      </w:r>
      <w:r w:rsidRPr="00A3429C">
        <w:noBreakHyphen/>
        <w:t xml:space="preserve">based format and answered comprehension questions (Appendix ??). Participants were then asked whether they would choose to use the platform. In the second phase, the same Terms and Conditions were presented using the VFS framework (Figure 4), accompanied by visual legends (Figures 3 and ??). Participants were again asked about their willingness to use the platform. The final phase collected qualitative feedback regarding participants’ observations and perceptions of the VFS. Survey results are reported in </w:t>
      </w:r>
      <w:proofErr w:type="gramStart"/>
      <w:r w:rsidRPr="00A3429C">
        <w:t>Section ?</w:t>
      </w:r>
      <w:proofErr w:type="gramEnd"/>
      <w:r w:rsidRPr="00A3429C">
        <w:t>?.</w:t>
      </w:r>
    </w:p>
    <w:p w14:paraId="12889409" w14:textId="77777777" w:rsidR="00A3429C" w:rsidRPr="00A3429C" w:rsidRDefault="00A3429C" w:rsidP="00A3429C">
      <w:pPr>
        <w:rPr>
          <w:b/>
          <w:bCs/>
        </w:rPr>
      </w:pPr>
      <w:r w:rsidRPr="00A3429C">
        <w:rPr>
          <w:b/>
          <w:bCs/>
        </w:rPr>
        <w:t>6.1</w:t>
      </w:r>
      <w:r w:rsidRPr="00A3429C">
        <w:rPr>
          <w:b/>
          <w:bCs/>
        </w:rPr>
        <w:t> </w:t>
      </w:r>
      <w:r w:rsidRPr="00A3429C">
        <w:rPr>
          <w:b/>
          <w:bCs/>
        </w:rPr>
        <w:t>Survey Design (Proofread – Clean Version)</w:t>
      </w:r>
    </w:p>
    <w:p w14:paraId="1CA3E222" w14:textId="77777777" w:rsidR="00A3429C" w:rsidRPr="00A3429C" w:rsidRDefault="00A3429C" w:rsidP="00A3429C">
      <w:r w:rsidRPr="00A3429C">
        <w:t xml:space="preserve">The survey comprised seven sections. The first section focused on </w:t>
      </w:r>
      <w:r w:rsidRPr="00A3429C">
        <w:rPr>
          <w:i/>
          <w:iCs/>
        </w:rPr>
        <w:t>informed consent</w:t>
      </w:r>
      <w:r w:rsidRPr="00A3429C">
        <w:t>, providing participants with essential information regarding the study’s purpose and procedures. This section also affirmed compliance with ethical standards outlined in Canada’s Tri</w:t>
      </w:r>
      <w:r w:rsidRPr="00A3429C">
        <w:noBreakHyphen/>
        <w:t xml:space="preserve">Council Policy Statement, as enforced by the UNB Research Ethics Board. Contact information for the research team was provided, and participant consent was </w:t>
      </w:r>
      <w:r w:rsidRPr="00A3429C">
        <w:lastRenderedPageBreak/>
        <w:t>recorded in accordance with REB requirements. No personally identifiable information (PII) was collected.</w:t>
      </w:r>
    </w:p>
    <w:p w14:paraId="5626E30E" w14:textId="77777777" w:rsidR="00A3429C" w:rsidRPr="00A3429C" w:rsidRDefault="00A3429C" w:rsidP="00A3429C">
      <w:r w:rsidRPr="00A3429C">
        <w:t>The survey also measured participants’ subjective workload using the NASA Task Load Index (NASA</w:t>
      </w:r>
      <w:r w:rsidRPr="00A3429C">
        <w:noBreakHyphen/>
        <w:t>TLX) [15]. The demographic section collected information relating to participants’ age, gender, and educational background, which was later used for contextual analysis of survey results.</w:t>
      </w:r>
    </w:p>
    <w:p w14:paraId="2CE16C79" w14:textId="77777777" w:rsidR="00A3429C" w:rsidRPr="00A3429C" w:rsidRDefault="00A3429C" w:rsidP="00A3429C">
      <w:r w:rsidRPr="00A3429C">
        <w:t>Subsequently, participants were introduced to a short narrative describing a new social media platform. They were instructed to review two versions of the platform’s Terms and Conditions: a traditional text</w:t>
      </w:r>
      <w:r w:rsidRPr="00A3429C">
        <w:noBreakHyphen/>
        <w:t>only table of contents (</w:t>
      </w:r>
      <w:proofErr w:type="spellStart"/>
      <w:r w:rsidRPr="00A3429C">
        <w:t>ToC</w:t>
      </w:r>
      <w:proofErr w:type="spellEnd"/>
      <w:r w:rsidRPr="00A3429C">
        <w:t xml:space="preserve">) and a corresponding visual </w:t>
      </w:r>
      <w:proofErr w:type="spellStart"/>
      <w:r w:rsidRPr="00A3429C">
        <w:t>ToC</w:t>
      </w:r>
      <w:proofErr w:type="spellEnd"/>
      <w:r w:rsidRPr="00A3429C">
        <w:t xml:space="preserve"> developed using the VFS framework. To mitigate order effects, the Qualtrics platform generated a random number (1 or 2) to determine the presentation order. Participants were shown either the text</w:t>
      </w:r>
      <w:r w:rsidRPr="00A3429C">
        <w:noBreakHyphen/>
        <w:t xml:space="preserve">only </w:t>
      </w:r>
      <w:proofErr w:type="spellStart"/>
      <w:r w:rsidRPr="00A3429C">
        <w:t>ToC</w:t>
      </w:r>
      <w:proofErr w:type="spellEnd"/>
      <w:r w:rsidRPr="00A3429C">
        <w:t xml:space="preserve"> first or the visual </w:t>
      </w:r>
      <w:proofErr w:type="spellStart"/>
      <w:r w:rsidRPr="00A3429C">
        <w:t>ToC</w:t>
      </w:r>
      <w:proofErr w:type="spellEnd"/>
      <w:r w:rsidRPr="00A3429C">
        <w:t xml:space="preserve"> first. Figure 5 illustrates the complete survey flow.</w:t>
      </w:r>
    </w:p>
    <w:p w14:paraId="5F0B365F" w14:textId="77777777" w:rsidR="00A3429C" w:rsidRPr="00A3429C" w:rsidRDefault="00A3429C" w:rsidP="00A3429C">
      <w:r w:rsidRPr="00A3429C">
        <w:t xml:space="preserve">As the social media platform used in this study was fictitious, a hypothetical </w:t>
      </w:r>
      <w:proofErr w:type="spellStart"/>
      <w:r w:rsidRPr="00A3429C">
        <w:t>ToC</w:t>
      </w:r>
      <w:proofErr w:type="spellEnd"/>
      <w:r w:rsidRPr="00A3429C">
        <w:t xml:space="preserve"> was created based on the structural conventions of commercial platforms such as Facebook. The </w:t>
      </w:r>
      <w:proofErr w:type="spellStart"/>
      <w:r w:rsidRPr="00A3429C">
        <w:t>ToC</w:t>
      </w:r>
      <w:proofErr w:type="spellEnd"/>
      <w:r w:rsidRPr="00A3429C">
        <w:t xml:space="preserve"> was generated using Microsoft Copilot and is provided in Appendix XXX. A visual counterpart was produced following the VFS framework described in Section 5. Figure 7 displays a subset of images used in constructing the visual </w:t>
      </w:r>
      <w:proofErr w:type="spellStart"/>
      <w:r w:rsidRPr="00A3429C">
        <w:t>ToC</w:t>
      </w:r>
      <w:proofErr w:type="spellEnd"/>
      <w:r w:rsidRPr="00A3429C">
        <w:t>, while Figure 10 presents the complete VFS representation.</w:t>
      </w:r>
    </w:p>
    <w:p w14:paraId="4C31C13D" w14:textId="77777777" w:rsidR="00A3429C" w:rsidRPr="00A3429C" w:rsidRDefault="00A3429C" w:rsidP="00A3429C">
      <w:pPr>
        <w:rPr>
          <w:b/>
          <w:bCs/>
        </w:rPr>
      </w:pPr>
      <w:r w:rsidRPr="00A3429C">
        <w:rPr>
          <w:b/>
          <w:bCs/>
        </w:rPr>
        <w:t>6.2</w:t>
      </w:r>
      <w:r w:rsidRPr="00A3429C">
        <w:rPr>
          <w:b/>
          <w:bCs/>
        </w:rPr>
        <w:t> </w:t>
      </w:r>
      <w:r w:rsidRPr="00A3429C">
        <w:rPr>
          <w:b/>
          <w:bCs/>
        </w:rPr>
        <w:t>Pilot Results (Proofread – Clean Version)</w:t>
      </w:r>
    </w:p>
    <w:p w14:paraId="2BCF1C20" w14:textId="77777777" w:rsidR="00A3429C" w:rsidRPr="00A3429C" w:rsidRDefault="00A3429C" w:rsidP="00A3429C">
      <w:r w:rsidRPr="00A3429C">
        <w:t>Following ethics approval, the survey was implemented in Qualtrics and piloted with a small group of graduate students and faculty members from the UNB Department of Computer Science. The pilot study lasted one week and yielded responses from ten participants. Among these, six participants completed the survey fully, two completed it partially, and two did not complete it. Despite the small sample size, the pilot participants exhibited demographic diversity.</w:t>
      </w:r>
    </w:p>
    <w:p w14:paraId="4376BEBB" w14:textId="77777777" w:rsidR="00A3429C" w:rsidRPr="00A3429C" w:rsidRDefault="00A3429C" w:rsidP="00A3429C">
      <w:pPr>
        <w:rPr>
          <w:b/>
          <w:bCs/>
        </w:rPr>
      </w:pPr>
      <w:r w:rsidRPr="00A3429C">
        <w:rPr>
          <w:b/>
          <w:bCs/>
        </w:rPr>
        <w:t>6.2.1</w:t>
      </w:r>
      <w:r w:rsidRPr="00A3429C">
        <w:rPr>
          <w:b/>
          <w:bCs/>
        </w:rPr>
        <w:t> </w:t>
      </w:r>
      <w:r w:rsidRPr="00A3429C">
        <w:rPr>
          <w:b/>
          <w:bCs/>
        </w:rPr>
        <w:t>Demography</w:t>
      </w:r>
    </w:p>
    <w:p w14:paraId="3D7FF43C" w14:textId="77777777" w:rsidR="00A3429C" w:rsidRPr="00A3429C" w:rsidRDefault="00A3429C" w:rsidP="00A3429C">
      <w:r w:rsidRPr="00A3429C">
        <w:t>Figure 11 summarizes participants’ self</w:t>
      </w:r>
      <w:r w:rsidRPr="00A3429C">
        <w:noBreakHyphen/>
        <w:t>identified gender and highest educational attainment. The results indicate representation across three educational levels, suggesting diversity in academic background.</w:t>
      </w:r>
    </w:p>
    <w:p w14:paraId="70C975A4" w14:textId="77777777" w:rsidR="00A3429C" w:rsidRPr="00A3429C" w:rsidRDefault="00A3429C" w:rsidP="00A3429C">
      <w:pPr>
        <w:rPr>
          <w:b/>
          <w:bCs/>
        </w:rPr>
      </w:pPr>
      <w:r w:rsidRPr="00A3429C">
        <w:rPr>
          <w:b/>
          <w:bCs/>
        </w:rPr>
        <w:t>6.2.2</w:t>
      </w:r>
      <w:r w:rsidRPr="00A3429C">
        <w:rPr>
          <w:b/>
          <w:bCs/>
        </w:rPr>
        <w:t> </w:t>
      </w:r>
      <w:r w:rsidRPr="00A3429C">
        <w:rPr>
          <w:b/>
          <w:bCs/>
        </w:rPr>
        <w:t>Level of Understanding</w:t>
      </w:r>
    </w:p>
    <w:p w14:paraId="7BB2F83B" w14:textId="77777777" w:rsidR="00A3429C" w:rsidRPr="00A3429C" w:rsidRDefault="00A3429C" w:rsidP="00A3429C">
      <w:r w:rsidRPr="00A3429C">
        <w:t xml:space="preserve">Participants reported higher confidence levels after reviewing the visual </w:t>
      </w:r>
      <w:proofErr w:type="spellStart"/>
      <w:r w:rsidRPr="00A3429C">
        <w:t>ToC</w:t>
      </w:r>
      <w:proofErr w:type="spellEnd"/>
      <w:r w:rsidRPr="00A3429C">
        <w:t xml:space="preserve"> compared to the text</w:t>
      </w:r>
      <w:r w:rsidRPr="00A3429C">
        <w:noBreakHyphen/>
        <w:t xml:space="preserve">only </w:t>
      </w:r>
      <w:proofErr w:type="spellStart"/>
      <w:r w:rsidRPr="00A3429C">
        <w:t>ToC</w:t>
      </w:r>
      <w:proofErr w:type="spellEnd"/>
      <w:r w:rsidRPr="00A3429C">
        <w:t xml:space="preserve">. Figure 12 demonstrates that the mean confidence score associated with </w:t>
      </w:r>
      <w:r w:rsidRPr="00A3429C">
        <w:lastRenderedPageBreak/>
        <w:t xml:space="preserve">the visual </w:t>
      </w:r>
      <w:proofErr w:type="spellStart"/>
      <w:r w:rsidRPr="00A3429C">
        <w:t>ToC</w:t>
      </w:r>
      <w:proofErr w:type="spellEnd"/>
      <w:r w:rsidRPr="00A3429C">
        <w:t xml:space="preserve"> exceeded that of the text</w:t>
      </w:r>
      <w:r w:rsidRPr="00A3429C">
        <w:noBreakHyphen/>
        <w:t>only version, suggesting improved perceived understanding.</w:t>
      </w:r>
    </w:p>
    <w:p w14:paraId="1BE9DFC1" w14:textId="77777777" w:rsidR="00A3429C" w:rsidRPr="00A3429C" w:rsidRDefault="00A3429C" w:rsidP="00A3429C">
      <w:pPr>
        <w:rPr>
          <w:b/>
          <w:bCs/>
        </w:rPr>
      </w:pPr>
      <w:r w:rsidRPr="00A3429C">
        <w:rPr>
          <w:b/>
          <w:bCs/>
        </w:rPr>
        <w:t>6.2.3</w:t>
      </w:r>
      <w:r w:rsidRPr="00A3429C">
        <w:rPr>
          <w:b/>
          <w:bCs/>
        </w:rPr>
        <w:t> </w:t>
      </w:r>
      <w:r w:rsidRPr="00A3429C">
        <w:rPr>
          <w:b/>
          <w:bCs/>
        </w:rPr>
        <w:t>NASA Task Load Index</w:t>
      </w:r>
    </w:p>
    <w:p w14:paraId="7639AD60" w14:textId="77777777" w:rsidR="00A3429C" w:rsidRPr="00A3429C" w:rsidRDefault="00A3429C" w:rsidP="00A3429C">
      <w:r w:rsidRPr="00A3429C">
        <w:t>Subjective workload was assessed using NASA</w:t>
      </w:r>
      <w:r w:rsidRPr="00A3429C">
        <w:noBreakHyphen/>
        <w:t>TLX. Pilot data indicate that participants experienced significantly higher mental demand when interpreting the text</w:t>
      </w:r>
      <w:r w:rsidRPr="00A3429C">
        <w:noBreakHyphen/>
        <w:t xml:space="preserve">only </w:t>
      </w:r>
      <w:proofErr w:type="spellStart"/>
      <w:r w:rsidRPr="00A3429C">
        <w:t>ToC</w:t>
      </w:r>
      <w:proofErr w:type="spellEnd"/>
      <w:r w:rsidRPr="00A3429C">
        <w:t xml:space="preserve"> compared to the visual </w:t>
      </w:r>
      <w:proofErr w:type="spellStart"/>
      <w:r w:rsidRPr="00A3429C">
        <w:t>ToC</w:t>
      </w:r>
      <w:proofErr w:type="spellEnd"/>
      <w:r w:rsidRPr="00A3429C">
        <w:t>. As shown in Figure 13 (Question 1), reported mental demand for the text</w:t>
      </w:r>
      <w:r w:rsidRPr="00A3429C">
        <w:noBreakHyphen/>
        <w:t>based format was approximately double that of the visual format. Participants also reported higher levels of frustration when reviewing the text</w:t>
      </w:r>
      <w:r w:rsidRPr="00A3429C">
        <w:noBreakHyphen/>
        <w:t xml:space="preserve">only </w:t>
      </w:r>
      <w:proofErr w:type="spellStart"/>
      <w:r w:rsidRPr="00A3429C">
        <w:t>ToC</w:t>
      </w:r>
      <w:proofErr w:type="spellEnd"/>
      <w:r w:rsidRPr="00A3429C">
        <w:t>, as depicted in Figure 13 (Question 6).</w:t>
      </w:r>
    </w:p>
    <w:p w14:paraId="1DBD39E8" w14:textId="77777777" w:rsidR="00A3429C" w:rsidRPr="00A3429C" w:rsidRDefault="00A3429C" w:rsidP="00A3429C">
      <w:pPr>
        <w:rPr>
          <w:b/>
          <w:bCs/>
        </w:rPr>
      </w:pPr>
      <w:r w:rsidRPr="00A3429C">
        <w:rPr>
          <w:b/>
          <w:bCs/>
        </w:rPr>
        <w:t>6.2.4</w:t>
      </w:r>
      <w:r w:rsidRPr="00A3429C">
        <w:rPr>
          <w:b/>
          <w:bCs/>
        </w:rPr>
        <w:t> </w:t>
      </w:r>
      <w:r w:rsidRPr="00A3429C">
        <w:rPr>
          <w:b/>
          <w:bCs/>
        </w:rPr>
        <w:t>Time Versus Accuracy</w:t>
      </w:r>
    </w:p>
    <w:p w14:paraId="7F6340D6" w14:textId="77777777" w:rsidR="00A3429C" w:rsidRPr="00A3429C" w:rsidRDefault="00A3429C" w:rsidP="00A3429C">
      <w:r w:rsidRPr="00A3429C">
        <w:t>As shown in Figure 14, most participants spent minimal time reviewing both the text</w:t>
      </w:r>
      <w:r w:rsidRPr="00A3429C">
        <w:noBreakHyphen/>
        <w:t xml:space="preserve">only and visual </w:t>
      </w:r>
      <w:proofErr w:type="spellStart"/>
      <w:r w:rsidRPr="00A3429C">
        <w:t>ToCs</w:t>
      </w:r>
      <w:proofErr w:type="spellEnd"/>
      <w:r w:rsidRPr="00A3429C">
        <w:t xml:space="preserve">. Despite this limited review time, participants demonstrated greater accuracy when answering comprehension questions after reviewing the visual </w:t>
      </w:r>
      <w:proofErr w:type="spellStart"/>
      <w:r w:rsidRPr="00A3429C">
        <w:t>ToC</w:t>
      </w:r>
      <w:proofErr w:type="spellEnd"/>
      <w:r w:rsidRPr="00A3429C">
        <w:t xml:space="preserve">. For example, when asked whether user data could be shared with a potential employer, participants answered more accurately following exposure to the visual </w:t>
      </w:r>
      <w:proofErr w:type="spellStart"/>
      <w:r w:rsidRPr="00A3429C">
        <w:t>ToC</w:t>
      </w:r>
      <w:proofErr w:type="spellEnd"/>
      <w:r w:rsidRPr="00A3429C">
        <w:t>. Figure 15 illustrates that fewer participants selected “Not Sure,” while more participants correctly identified this data</w:t>
      </w:r>
      <w:r w:rsidRPr="00A3429C">
        <w:noBreakHyphen/>
        <w:t>sharing practice after reviewing the visual representation.</w:t>
      </w:r>
    </w:p>
    <w:p w14:paraId="1DBB3D7E" w14:textId="77777777" w:rsidR="00A3429C" w:rsidRPr="00A3429C" w:rsidRDefault="00A3429C" w:rsidP="00A3429C">
      <w:pPr>
        <w:rPr>
          <w:b/>
          <w:bCs/>
        </w:rPr>
      </w:pPr>
      <w:r w:rsidRPr="00A3429C">
        <w:rPr>
          <w:b/>
          <w:bCs/>
        </w:rPr>
        <w:t>6.2.5</w:t>
      </w:r>
      <w:r w:rsidRPr="00A3429C">
        <w:rPr>
          <w:b/>
          <w:bCs/>
        </w:rPr>
        <w:t> </w:t>
      </w:r>
      <w:proofErr w:type="spellStart"/>
      <w:r w:rsidRPr="00A3429C">
        <w:rPr>
          <w:b/>
          <w:bCs/>
        </w:rPr>
        <w:t>ToC</w:t>
      </w:r>
      <w:proofErr w:type="spellEnd"/>
      <w:r w:rsidRPr="00A3429C">
        <w:rPr>
          <w:b/>
          <w:bCs/>
        </w:rPr>
        <w:t xml:space="preserve"> Preference</w:t>
      </w:r>
    </w:p>
    <w:p w14:paraId="3332C60B" w14:textId="77777777" w:rsidR="00A3429C" w:rsidRPr="00A3429C" w:rsidRDefault="00A3429C" w:rsidP="00A3429C">
      <w:r w:rsidRPr="00A3429C">
        <w:t xml:space="preserve">At the conclusion of the pilot survey, participants were asked to indicate their preferred </w:t>
      </w:r>
      <w:proofErr w:type="spellStart"/>
      <w:r w:rsidRPr="00A3429C">
        <w:t>ToC</w:t>
      </w:r>
      <w:proofErr w:type="spellEnd"/>
      <w:r w:rsidRPr="00A3429C">
        <w:t xml:space="preserve"> format. As shown in Figure 16, the majority expressed a clear preference for the visual </w:t>
      </w:r>
      <w:proofErr w:type="spellStart"/>
      <w:r w:rsidRPr="00A3429C">
        <w:t>ToC</w:t>
      </w:r>
      <w:proofErr w:type="spellEnd"/>
      <w:r w:rsidRPr="00A3429C">
        <w:t xml:space="preserve"> over the text</w:t>
      </w:r>
      <w:r w:rsidRPr="00A3429C">
        <w:noBreakHyphen/>
        <w:t>only version.</w:t>
      </w:r>
    </w:p>
    <w:p w14:paraId="3DE46179" w14:textId="77777777" w:rsidR="00A3429C" w:rsidRPr="00A3429C" w:rsidRDefault="00A3429C" w:rsidP="00A3429C">
      <w:pPr>
        <w:rPr>
          <w:b/>
          <w:bCs/>
        </w:rPr>
      </w:pPr>
      <w:r w:rsidRPr="00A3429C">
        <w:rPr>
          <w:b/>
          <w:bCs/>
        </w:rPr>
        <w:t>6.3</w:t>
      </w:r>
      <w:r w:rsidRPr="00A3429C">
        <w:rPr>
          <w:b/>
          <w:bCs/>
        </w:rPr>
        <w:t> </w:t>
      </w:r>
      <w:r w:rsidRPr="00A3429C">
        <w:rPr>
          <w:b/>
          <w:bCs/>
        </w:rPr>
        <w:t>Live Survey (Proofread – Clean Version)</w:t>
      </w:r>
    </w:p>
    <w:p w14:paraId="0FDD138A" w14:textId="05503D5F" w:rsidR="00A3429C" w:rsidRDefault="00A3429C" w:rsidP="00A3429C">
      <w:r w:rsidRPr="00A3429C">
        <w:t>Following the successful completion of the pilot phase, the full survey was launched to the intended participant population. To promote participation, the survey was distributed as a news article through the UNB faculty, staff, and student news portal (see Appendix XXX). At the time of writing, the survey remains active, although distribution has been limited primarily to the UNB community.</w:t>
      </w:r>
    </w:p>
    <w:p w14:paraId="50402460" w14:textId="77777777" w:rsidR="00A3429C" w:rsidRPr="00A3429C" w:rsidRDefault="00A3429C" w:rsidP="00A3429C">
      <w:r w:rsidRPr="00A3429C">
        <w:t xml:space="preserve">Edits are limited to </w:t>
      </w:r>
      <w:r w:rsidRPr="00A3429C">
        <w:rPr>
          <w:b/>
          <w:bCs/>
        </w:rPr>
        <w:t>grammar, clarity, coherence, and academic tone</w:t>
      </w:r>
      <w:r w:rsidRPr="00A3429C">
        <w:t xml:space="preserve">, while </w:t>
      </w:r>
      <w:r w:rsidRPr="00A3429C">
        <w:rPr>
          <w:b/>
          <w:bCs/>
        </w:rPr>
        <w:t>preserving your claims, scope, and contribution</w:t>
      </w:r>
      <w:r w:rsidRPr="00A3429C">
        <w:t>.</w:t>
      </w:r>
      <w:r w:rsidRPr="00A3429C">
        <w:br/>
        <w:t xml:space="preserve">This section completes the full manuscript proofreading and is ready to paste into Word and convert into </w:t>
      </w:r>
      <w:r w:rsidRPr="00A3429C">
        <w:rPr>
          <w:b/>
          <w:bCs/>
        </w:rPr>
        <w:t>native Track Changes</w:t>
      </w:r>
      <w:r w:rsidRPr="00A3429C">
        <w:t>.</w:t>
      </w:r>
    </w:p>
    <w:p w14:paraId="47C06698" w14:textId="77777777" w:rsidR="00A3429C" w:rsidRPr="00A3429C" w:rsidRDefault="00A3429C" w:rsidP="00A3429C">
      <w:pPr>
        <w:rPr>
          <w:b/>
          <w:bCs/>
        </w:rPr>
      </w:pPr>
      <w:r w:rsidRPr="00A3429C">
        <w:rPr>
          <w:b/>
          <w:bCs/>
        </w:rPr>
        <w:t>7</w:t>
      </w:r>
      <w:r w:rsidRPr="00A3429C">
        <w:rPr>
          <w:b/>
          <w:bCs/>
        </w:rPr>
        <w:t> </w:t>
      </w:r>
      <w:r w:rsidRPr="00A3429C">
        <w:rPr>
          <w:b/>
          <w:bCs/>
        </w:rPr>
        <w:t>Conclusion and Limitations (Proofread – Clean Version)</w:t>
      </w:r>
    </w:p>
    <w:p w14:paraId="3B2CA864" w14:textId="77777777" w:rsidR="00A3429C" w:rsidRPr="00A3429C" w:rsidRDefault="00A3429C" w:rsidP="00A3429C">
      <w:r w:rsidRPr="00A3429C">
        <w:lastRenderedPageBreak/>
        <w:t xml:space="preserve">In this paper, we introduced a set of </w:t>
      </w:r>
      <w:proofErr w:type="spellStart"/>
      <w:r w:rsidRPr="00A3429C">
        <w:t>FactSheet</w:t>
      </w:r>
      <w:proofErr w:type="spellEnd"/>
      <w:r w:rsidRPr="00A3429C">
        <w:t xml:space="preserve"> (FS) types by identifying and categorizing distinct user groups associated with artificially intelligent services (AIS). Through this categorization, we proposed refined FS definitions intended to reduce ambiguity for FS creators and facilitators. Our work further presented a methodology for developing a </w:t>
      </w:r>
      <w:r w:rsidRPr="00A3429C">
        <w:rPr>
          <w:b/>
          <w:bCs/>
        </w:rPr>
        <w:t xml:space="preserve">Visual </w:t>
      </w:r>
      <w:proofErr w:type="spellStart"/>
      <w:r w:rsidRPr="00A3429C">
        <w:rPr>
          <w:b/>
          <w:bCs/>
        </w:rPr>
        <w:t>FactSheet</w:t>
      </w:r>
      <w:proofErr w:type="spellEnd"/>
      <w:r w:rsidRPr="00A3429C">
        <w:rPr>
          <w:b/>
          <w:bCs/>
        </w:rPr>
        <w:t xml:space="preserve"> (VFS)</w:t>
      </w:r>
      <w:r w:rsidRPr="00A3429C">
        <w:t xml:space="preserve"> framework designed specifically for machine</w:t>
      </w:r>
      <w:r w:rsidRPr="00A3429C">
        <w:noBreakHyphen/>
        <w:t>learning</w:t>
      </w:r>
      <w:r w:rsidRPr="00A3429C">
        <w:noBreakHyphen/>
        <w:t>based services. By emphasizing visual communication, the proposed VFS aims to make critical information about AIS more accessible to non</w:t>
      </w:r>
      <w:r w:rsidRPr="00A3429C">
        <w:noBreakHyphen/>
        <w:t>technical users.</w:t>
      </w:r>
    </w:p>
    <w:p w14:paraId="3B44CFA2" w14:textId="77777777" w:rsidR="00A3429C" w:rsidRPr="00A3429C" w:rsidRDefault="00A3429C" w:rsidP="00A3429C">
      <w:r w:rsidRPr="00A3429C">
        <w:t>The primary goal of the VFS is to empower end users by improving transparency around data collection, processing, sharing, and retention practices, as well as by exposing limitations and risks associated with underlying ML models. By enabling users to better understand how their data are handled and how AIS function, the VFS supports informed decision</w:t>
      </w:r>
      <w:r w:rsidRPr="00A3429C">
        <w:noBreakHyphen/>
        <w:t>making and helps safeguard user rights. While the paper defines four FS types with corresponding definitions, the focus of the present work is intentionally placed on the end</w:t>
      </w:r>
      <w:r w:rsidRPr="00A3429C">
        <w:noBreakHyphen/>
        <w:t>user category, as this group is most directly affected by AIS decision</w:t>
      </w:r>
      <w:r w:rsidRPr="00A3429C">
        <w:noBreakHyphen/>
        <w:t>making processes and data practices.</w:t>
      </w:r>
    </w:p>
    <w:p w14:paraId="59DE4262" w14:textId="77777777" w:rsidR="00A3429C" w:rsidRPr="00A3429C" w:rsidRDefault="00A3429C" w:rsidP="00A3429C">
      <w:r w:rsidRPr="00A3429C">
        <w:t>All visual elements used in the development of the VFS were sourced from generic, publicly available icon repositories, specifically Flaticon.com. These icons were selected to maximize familiarity and minimize ambiguity, aligning with established principles of effective visual communication. Although the current work did not involve the creation or standardization of new icons, the diversity of icons used highlights an opportunity for future research. In particular, standardizing a common iconography for AIS documentation could further enhance clarity, consistency, and cross</w:t>
      </w:r>
      <w:r w:rsidRPr="00A3429C">
        <w:noBreakHyphen/>
        <w:t>platform usability.</w:t>
      </w:r>
    </w:p>
    <w:p w14:paraId="3EA57CD9" w14:textId="77777777" w:rsidR="00A3429C" w:rsidRPr="00A3429C" w:rsidRDefault="00A3429C" w:rsidP="00A3429C">
      <w:r w:rsidRPr="00A3429C">
        <w:t xml:space="preserve">Several limitations of this study should be acknowledged. First, the empirical evaluation of the VFS was conducted using a fictitious social media platform rather than a live commercial system. While this approach </w:t>
      </w:r>
      <w:proofErr w:type="gramStart"/>
      <w:r w:rsidRPr="00A3429C">
        <w:t>allowed for</w:t>
      </w:r>
      <w:proofErr w:type="gramEnd"/>
      <w:r w:rsidRPr="00A3429C">
        <w:t xml:space="preserve"> controlled experimentation and minimized ethical concerns, it may limit the generalizability of the findings to real</w:t>
      </w:r>
      <w:r w:rsidRPr="00A3429C">
        <w:noBreakHyphen/>
        <w:t>world platforms with more complex policies and data flows. Second, the pilot survey involved a relatively small number of participants and was primarily distributed within a university community. Although the pilot results suggest promising trends, a larger and more diverse participant pool would be required to draw stronger statistical conclusions.</w:t>
      </w:r>
    </w:p>
    <w:p w14:paraId="2D3EF12C" w14:textId="001F8BE7" w:rsidR="00A3429C" w:rsidRPr="00A3429C" w:rsidRDefault="00A3429C" w:rsidP="00A3429C">
      <w:r w:rsidRPr="00A3429C">
        <w:t>Finally, while this work demonstrates the potential of visual documentation to improve user understanding and reduce cognitive workload, it does not claim that VFSs alone are sufficient to address all challenges related to AI transparency and governance. Instead, we view the VFS as a complementary tool that can coexist with existing legal and technical documentation. Future work will focus on large</w:t>
      </w:r>
      <w:r w:rsidRPr="00A3429C">
        <w:noBreakHyphen/>
        <w:t xml:space="preserve">scale user studies, comparative evaluations across multiple AIS domains, and further refinement of the VFS framework. We </w:t>
      </w:r>
      <w:r w:rsidRPr="00A3429C">
        <w:lastRenderedPageBreak/>
        <w:t xml:space="preserve">also plan to investigate the feasibility and impact of icon standardization to support broader adoption and integration of visual </w:t>
      </w:r>
      <w:proofErr w:type="spellStart"/>
      <w:r w:rsidRPr="00A3429C">
        <w:t>FactSheets</w:t>
      </w:r>
      <w:proofErr w:type="spellEnd"/>
      <w:r w:rsidRPr="00A3429C">
        <w:t xml:space="preserve"> within AI governance practices.</w:t>
      </w:r>
    </w:p>
    <w:p w14:paraId="5B820C9E" w14:textId="77777777" w:rsidR="001B311A" w:rsidRDefault="001B311A"/>
    <w:sectPr w:rsidR="001B31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833"/>
    <w:multiLevelType w:val="multilevel"/>
    <w:tmpl w:val="ABB2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204B5"/>
    <w:multiLevelType w:val="multilevel"/>
    <w:tmpl w:val="74D8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06D90"/>
    <w:multiLevelType w:val="multilevel"/>
    <w:tmpl w:val="0D02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55599">
    <w:abstractNumId w:val="1"/>
  </w:num>
  <w:num w:numId="2" w16cid:durableId="2045056649">
    <w:abstractNumId w:val="0"/>
  </w:num>
  <w:num w:numId="3" w16cid:durableId="2067098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29C"/>
    <w:rsid w:val="001B311A"/>
    <w:rsid w:val="00414336"/>
    <w:rsid w:val="00902965"/>
    <w:rsid w:val="00972A10"/>
    <w:rsid w:val="00A3429C"/>
    <w:rsid w:val="00B05713"/>
    <w:rsid w:val="00BC1B1E"/>
    <w:rsid w:val="00CF6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32F6D"/>
  <w15:chartTrackingRefBased/>
  <w15:docId w15:val="{9DB62385-ED59-43C1-8BCA-548F3F96C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29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3429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3429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3429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3429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4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29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3429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3429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3429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3429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4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29C"/>
    <w:rPr>
      <w:rFonts w:eastAsiaTheme="majorEastAsia" w:cstheme="majorBidi"/>
      <w:color w:val="272727" w:themeColor="text1" w:themeTint="D8"/>
    </w:rPr>
  </w:style>
  <w:style w:type="paragraph" w:styleId="Title">
    <w:name w:val="Title"/>
    <w:basedOn w:val="Normal"/>
    <w:next w:val="Normal"/>
    <w:link w:val="TitleChar"/>
    <w:uiPriority w:val="10"/>
    <w:qFormat/>
    <w:rsid w:val="00A34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29C"/>
    <w:pPr>
      <w:spacing w:before="160"/>
      <w:jc w:val="center"/>
    </w:pPr>
    <w:rPr>
      <w:i/>
      <w:iCs/>
      <w:color w:val="404040" w:themeColor="text1" w:themeTint="BF"/>
    </w:rPr>
  </w:style>
  <w:style w:type="character" w:customStyle="1" w:styleId="QuoteChar">
    <w:name w:val="Quote Char"/>
    <w:basedOn w:val="DefaultParagraphFont"/>
    <w:link w:val="Quote"/>
    <w:uiPriority w:val="29"/>
    <w:rsid w:val="00A3429C"/>
    <w:rPr>
      <w:i/>
      <w:iCs/>
      <w:color w:val="404040" w:themeColor="text1" w:themeTint="BF"/>
    </w:rPr>
  </w:style>
  <w:style w:type="paragraph" w:styleId="ListParagraph">
    <w:name w:val="List Paragraph"/>
    <w:basedOn w:val="Normal"/>
    <w:uiPriority w:val="34"/>
    <w:qFormat/>
    <w:rsid w:val="00A3429C"/>
    <w:pPr>
      <w:ind w:left="720"/>
      <w:contextualSpacing/>
    </w:pPr>
  </w:style>
  <w:style w:type="character" w:styleId="IntenseEmphasis">
    <w:name w:val="Intense Emphasis"/>
    <w:basedOn w:val="DefaultParagraphFont"/>
    <w:uiPriority w:val="21"/>
    <w:qFormat/>
    <w:rsid w:val="00A3429C"/>
    <w:rPr>
      <w:i/>
      <w:iCs/>
      <w:color w:val="2E74B5" w:themeColor="accent1" w:themeShade="BF"/>
    </w:rPr>
  </w:style>
  <w:style w:type="paragraph" w:styleId="IntenseQuote">
    <w:name w:val="Intense Quote"/>
    <w:basedOn w:val="Normal"/>
    <w:next w:val="Normal"/>
    <w:link w:val="IntenseQuoteChar"/>
    <w:uiPriority w:val="30"/>
    <w:qFormat/>
    <w:rsid w:val="00A342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429C"/>
    <w:rPr>
      <w:i/>
      <w:iCs/>
      <w:color w:val="2E74B5" w:themeColor="accent1" w:themeShade="BF"/>
    </w:rPr>
  </w:style>
  <w:style w:type="character" w:styleId="IntenseReference">
    <w:name w:val="Intense Reference"/>
    <w:basedOn w:val="DefaultParagraphFont"/>
    <w:uiPriority w:val="32"/>
    <w:qFormat/>
    <w:rsid w:val="00A3429C"/>
    <w:rPr>
      <w:b/>
      <w:bCs/>
      <w:smallCaps/>
      <w:color w:val="2E74B5" w:themeColor="accent1" w:themeShade="BF"/>
      <w:spacing w:val="5"/>
    </w:rPr>
  </w:style>
  <w:style w:type="paragraph" w:styleId="NormalWeb">
    <w:name w:val="Normal (Web)"/>
    <w:basedOn w:val="Normal"/>
    <w:uiPriority w:val="99"/>
    <w:semiHidden/>
    <w:unhideWhenUsed/>
    <w:rsid w:val="00A3429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5535</Words>
  <Characters>33045</Characters>
  <Application>Microsoft Office Word</Application>
  <DocSecurity>0</DocSecurity>
  <Lines>493</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Mozammal Hossain</dc:creator>
  <cp:keywords/>
  <dc:description/>
  <cp:lastModifiedBy>Mozammal Hossain</cp:lastModifiedBy>
  <cp:revision>3</cp:revision>
  <dcterms:created xsi:type="dcterms:W3CDTF">2026-04-06T16:20:00Z</dcterms:created>
  <dcterms:modified xsi:type="dcterms:W3CDTF">2026-04-06T17:33:00Z</dcterms:modified>
</cp:coreProperties>
</file>