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9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64"/>
        <w:gridCol w:w="1276"/>
        <w:gridCol w:w="3999"/>
      </w:tblGrid>
      <w:tr>
        <w:tblPrEx>
          <w:shd w:val="clear" w:color="auto" w:fill="ced7e7"/>
        </w:tblPrEx>
        <w:trPr>
          <w:trHeight w:val="973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6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32"/>
                <w:szCs w:val="32"/>
                <w:shd w:val="nil" w:color="auto" w:fill="auto"/>
                <w:rtl w:val="0"/>
                <w:lang w:val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blPrEx>
          <w:shd w:val="clear" w:color="auto" w:fill="ced7e7"/>
        </w:tblPrEx>
        <w:trPr>
          <w:trHeight w:val="1186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240" w:line="240" w:lineRule="auto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МИНИСТЕРСТВО ЖИЛИЩНО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КОММУНАЛЬНОГО ХОЗЯЙСТВА МОСКОВСКОЙ ОБЛАСТИ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32"/>
                <w:szCs w:val="3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32"/>
                <w:szCs w:val="32"/>
                <w:shd w:val="nil" w:color="auto" w:fill="auto"/>
                <w:rtl w:val="0"/>
                <w:lang w:val="ru-RU"/>
              </w:rPr>
              <w:t xml:space="preserve">ФОНД КАПИТАЛЬНОГО РЕМОНТА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32"/>
                <w:szCs w:val="32"/>
                <w:shd w:val="nil" w:color="auto" w:fill="auto"/>
                <w:rtl w:val="0"/>
                <w:lang w:val="ru-RU"/>
              </w:rPr>
              <w:t>ОБЩЕГО ИМУЩЕСТВА МНОГОКВАРТИРНЫХ ДОМОВ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160" w:lineRule="exact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>
        <w:tblPrEx>
          <w:shd w:val="clear" w:color="auto" w:fill="ced7e7"/>
        </w:tblPrEx>
        <w:trPr>
          <w:trHeight w:val="930" w:hRule="atLeast"/>
        </w:trPr>
        <w:tc>
          <w:tcPr>
            <w:tcW w:type="dxa" w:w="4364"/>
            <w:tcBorders>
              <w:top w:val="nil"/>
              <w:left w:val="nil"/>
              <w:bottom w:val="single" w:color="000000" w:sz="2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1"/>
            </w:tcMar>
            <w:vAlign w:val="center"/>
          </w:tcPr>
          <w:p>
            <w:pPr>
              <w:pStyle w:val="FR1"/>
              <w:spacing w:line="240" w:lineRule="auto"/>
              <w:ind w:left="0" w:right="21" w:firstLine="0"/>
              <w:jc w:val="left"/>
              <w:rPr>
                <w:b w:val="0"/>
                <w:bCs w:val="0"/>
                <w:sz w:val="24"/>
                <w:szCs w:val="24"/>
                <w:shd w:val="nil" w:color="auto" w:fill="auto"/>
              </w:rPr>
            </w:pP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ул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Текстильщиков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д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. 3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а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пом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. 20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Ликино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Дулево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Орехово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Зуевский 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Московская обл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., 142672</w:t>
            </w:r>
          </w:p>
        </w:tc>
        <w:tc>
          <w:tcPr>
            <w:tcW w:type="dxa" w:w="5275"/>
            <w:gridSpan w:val="2"/>
            <w:tcBorders>
              <w:top w:val="nil"/>
              <w:left w:val="nil"/>
              <w:bottom w:val="single" w:color="000000" w:sz="2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 +7 (495) 104-28-28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электронная почта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post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@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fkr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mosreg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</w:tc>
      </w:tr>
      <w:tr>
        <w:tblPrEx>
          <w:shd w:val="clear" w:color="auto" w:fill="ced7e7"/>
        </w:tblPrEx>
        <w:trPr>
          <w:trHeight w:val="718" w:hRule="atLeast"/>
        </w:trPr>
        <w:tc>
          <w:tcPr>
            <w:tcW w:type="dxa" w:w="5640"/>
            <w:gridSpan w:val="2"/>
            <w:vMerge w:val="restart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30"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_______________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_______________ </w:t>
            </w:r>
          </w:p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На №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__________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_______________ </w:t>
            </w:r>
          </w:p>
          <w:p>
            <w:pPr>
              <w:pStyle w:val="Normal.0"/>
              <w:bidi w:val="0"/>
              <w:spacing w:before="30"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  <w:tab/>
            </w:r>
          </w:p>
        </w:tc>
        <w:tc>
          <w:tcPr>
            <w:tcW w:type="dxa" w:w="3999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                                              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                  </w:t>
            </w:r>
          </w:p>
        </w:tc>
      </w:tr>
      <w:tr>
        <w:tblPrEx>
          <w:shd w:val="clear" w:color="auto" w:fill="ced7e7"/>
        </w:tblPrEx>
        <w:trPr>
          <w:trHeight w:val="2299" w:hRule="atLeast"/>
        </w:trPr>
        <w:tc>
          <w:tcPr>
            <w:tcW w:type="dxa" w:w="5640"/>
            <w:gridSpan w:val="2"/>
            <w:vMerge w:val="continue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39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Наименование организации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>{{owner}}</w:t>
            </w:r>
          </w:p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ИНН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>___________</w:t>
            </w:r>
          </w:p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Электронная почта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>: _______</w:t>
            </w:r>
          </w:p>
        </w:tc>
      </w:tr>
    </w:tbl>
    <w:p>
      <w:pPr>
        <w:pStyle w:val="Normal.0"/>
        <w:widowControl w:val="0"/>
        <w:spacing w:line="240" w:lineRule="auto"/>
        <w:ind w:left="108" w:hanging="108"/>
        <w:jc w:val="center"/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tabs>
          <w:tab w:val="left" w:pos="2724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Претензия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left="40" w:firstLine="669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6"/>
          <w:szCs w:val="26"/>
        </w:rPr>
      </w:pPr>
      <w:r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6"/>
          <w:szCs w:val="26"/>
        </w:rPr>
        <w:tab/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Между Фондом капитального ремонта общего имущества многоквартирных домов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далее – Заказчик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и </w:t>
      </w:r>
      <w:r>
        <w:rPr>
          <w:rFonts w:ascii="Times New Roman" w:hAnsi="Times New Roman"/>
          <w:sz w:val="26"/>
          <w:szCs w:val="26"/>
          <w:rtl w:val="0"/>
          <w:lang w:val="ru-RU"/>
        </w:rPr>
        <w:t>{{owner}}(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далее – Подрядчик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заключен Договор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от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на выполнение работ по капитальному ремонту многоквартирных домов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указанных в Приложении № 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к договору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далее – Договор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В соответствии с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6.3.7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 подрядная организация обязуется исполнять требования предоставления медиа информации о ходе выполнения строительно</w:t>
      </w:r>
      <w:r>
        <w:rPr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монтажных работ на объектах в соответствии с Техническим заданием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В соответствии с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3.2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Приложения №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к Техническому заданию          Подрядная организация предоставляет видеопоток по протоколу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RTSP 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  <w:t>с видеосервера системы видеонаблюдения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созданной в соответствии </w:t>
        <w:br w:type="textWrapping"/>
        <w:t>с требованиями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указанными в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2.2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за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рабочих дней до открытия объекта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По адресам</w:t>
      </w:r>
      <w:r>
        <w:rPr>
          <w:rFonts w:ascii="Times New Roman" w:hAnsi="Times New Roman"/>
          <w:sz w:val="26"/>
          <w:szCs w:val="26"/>
          <w:rtl w:val="0"/>
          <w:lang w:val="ru-RU"/>
        </w:rPr>
        <w:t>: {{address}}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по состоянию на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{{date}}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отсутствуют видеопотоки с камер видеонаблюдения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На основании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14.4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 Подрядчик уплачивает Заказчику в случае неисполнения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6.3.7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Договора штраф в размере </w:t>
      </w:r>
      <w:r>
        <w:rPr>
          <w:rFonts w:ascii="Times New Roman" w:hAnsi="Times New Roman"/>
          <w:sz w:val="26"/>
          <w:szCs w:val="26"/>
          <w:rtl w:val="0"/>
          <w:lang w:val="ru-RU"/>
        </w:rPr>
        <w:t>50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 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000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рублей за каждый выявленный случай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Штраф по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{{owner}}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объекту составляет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: ____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рублей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 соответствии со статьями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309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и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310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Гражданского кодекса Российской Федерации обязательства должны исполняться надлежащим образом в соответствии с условиями обязательства и требованиями закона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иных правовых актов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а при отсутствии таких условий и требований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в соответствии с обычаями делового оборота или иными обычно предъявляемыми требованиями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Односторонний отказ от исполнения обязательства и одностороннее изменение его условий не допускаются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за исключением случаев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предусмотренных законом или договором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Пунктом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15.2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 предусмотрен обязательный претензионный порядок урегулирования споров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Сумму неустойки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пени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штрафа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предусмотренной Договором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сторона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нарушившая обязательства по Договору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обязана перечислить в адрес другой стороны в десятидневный срок с момента получения претензии </w:t>
        <w:br w:type="textWrapping"/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пункт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14.1.3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На основании изложенного 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ТРЕБУЮ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: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Незамедлительно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 безвозмездно устранить выявленные нарушения</w:t>
        <w:br w:type="textWrapping"/>
        <w:t>и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10 (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десятидневный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) 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срок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 с момента получения претензии оплатить </w:t>
        <w:br w:type="textWrapping"/>
        <w:t xml:space="preserve">штраф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рублей по следующим реквизитам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: 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Расчетный счет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40703810794000011936,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открытый в «Газпромбанк»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Акционерное общество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Корреспондентский счет банка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30101810200000000823,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БИК банка </w:t>
      </w:r>
      <w:r>
        <w:rPr>
          <w:rFonts w:ascii="Times New Roman" w:hAnsi="Times New Roman"/>
          <w:sz w:val="26"/>
          <w:szCs w:val="26"/>
          <w:rtl w:val="0"/>
          <w:lang w:val="ru-RU"/>
        </w:rPr>
        <w:t>044525823.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 силу пункта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10.8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Договора в случае неполучения Заказчиком в установленный срок суммы неустойки Заказчик вправе удержать денежные средства из обеспечения исполнения Договора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истребовать у банка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List Paragraph"/>
        <w:spacing w:after="0" w:line="240" w:lineRule="auto"/>
        <w:ind w:left="0" w:firstLine="0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          В случае неудовлетворения указанных требований в установленный срок Фонд вправе обратиться за защитой своих прав в Арбитражный суд Московской области </w:t>
        <w:br w:type="textWrapping"/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15.1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Приложение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Выгрузка из программы АСУ ФКР на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л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spacing w:after="0" w:line="240" w:lineRule="auto"/>
        <w:ind w:left="360" w:firstLine="0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spacing w:after="0" w:line="240" w:lineRule="auto"/>
        <w:ind w:left="360" w:firstLine="0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spacing w:after="0" w:line="240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Заместитель генерального директора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7"/>
          <w:szCs w:val="27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по правовым вопросам                                                                            </w:t>
      </w:r>
      <w:r>
        <w:rPr>
          <w:rFonts w:ascii="Times New Roman" w:hAnsi="Times New Roman"/>
          <w:sz w:val="26"/>
          <w:szCs w:val="26"/>
          <w:rtl w:val="0"/>
          <w:lang w:val="ru-RU"/>
        </w:rPr>
        <w:t>_________________</w:t>
      </w: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Исп</w:t>
      </w:r>
      <w:r>
        <w:rPr>
          <w:rFonts w:ascii="Times New Roman" w:hAnsi="Times New Roman"/>
          <w:sz w:val="18"/>
          <w:szCs w:val="18"/>
          <w:rtl w:val="0"/>
          <w:lang w:val="ru-RU"/>
        </w:rPr>
        <w:t>. _______</w:t>
      </w:r>
    </w:p>
    <w:p>
      <w:pPr>
        <w:pStyle w:val="Normal.0"/>
        <w:spacing w:after="0"/>
        <w:jc w:val="both"/>
      </w:pPr>
      <w:r>
        <w:rPr>
          <w:rFonts w:ascii="Times New Roman" w:hAnsi="Times New Roman"/>
          <w:sz w:val="18"/>
          <w:szCs w:val="18"/>
          <w:rtl w:val="0"/>
          <w:lang w:val="ru-RU"/>
        </w:rPr>
        <w:t xml:space="preserve">8 495 104-28-28 </w:t>
      </w:r>
      <w:r>
        <w:rPr>
          <w:rFonts w:ascii="Times New Roman" w:hAnsi="Times New Roman" w:hint="default"/>
          <w:sz w:val="18"/>
          <w:szCs w:val="18"/>
          <w:rtl w:val="0"/>
          <w:lang w:val="ru-RU"/>
        </w:rPr>
        <w:t>доб</w:t>
      </w:r>
      <w:r>
        <w:rPr>
          <w:rFonts w:ascii="Times New Roman" w:hAnsi="Times New Roman"/>
          <w:sz w:val="18"/>
          <w:szCs w:val="18"/>
          <w:rtl w:val="0"/>
          <w:lang w:val="ru-RU"/>
        </w:rPr>
        <w:t>. ___</w:t>
      </w:r>
    </w:p>
    <w:sectPr>
      <w:headerReference w:type="default" r:id="rId4"/>
      <w:footerReference w:type="default" r:id="rId5"/>
      <w:pgSz w:w="11900" w:h="16840" w:orient="portrait"/>
      <w:pgMar w:top="1134" w:right="851" w:bottom="1134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ascii="Times New Roman" w:hAnsi="Times New Roman"/>
      </w:rPr>
      <w:fldChar w:fldCharType="begin" w:fldLock="0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 w:fldLock="0"/>
    </w:r>
    <w:r>
      <w:rPr>
        <w:rFonts w:ascii="Times New Roman" w:hAnsi="Times New Roman"/>
      </w:rPr>
    </w:r>
    <w:r>
      <w:rPr>
        <w:rFonts w:ascii="Times New Roman" w:hAnsi="Times New Roman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FR1">
    <w:name w:val="FR1"/>
    <w:next w:val="FR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00" w:lineRule="auto"/>
      <w:ind w:left="440" w:right="200" w:firstLine="0"/>
      <w:jc w:val="center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