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F4E79"/>
          <w:sz w:val="48"/>
          <w:szCs w:val="48"/>
        </w:rPr>
        <w:t xml:space="preserve">Дюрация облигаций</w:t>
      </w:r>
    </w:p>
    <w:p>
      <w:pPr>
        <w:spacing w:after="120"/>
      </w:pPr>
      <w:r>
        <w:rPr>
          <w:color w:val="404040"/>
          <w:sz w:val="28"/>
          <w:szCs w:val="28"/>
        </w:rPr>
        <w:t xml:space="preserve">Формулы, их компоненты и область применения — с примерами на российском рынке</w:t>
      </w:r>
    </w:p>
    <w:p>
      <w:pPr>
        <w:pBdr>
          <w:bottom w:val="single" w:color="1F4E79" w:sz="8" w:space="4"/>
        </w:pBdr>
        <w:spacing w:after="240"/>
      </w:pPr>
      <w:r>
        <w:rPr>
          <w:color w:val="606060"/>
          <w:sz w:val="18"/>
          <w:szCs w:val="18"/>
        </w:rPr>
        <w:t xml:space="preserve">Расчётная дата: 20.10.2026 · Ключевая ставка Банка России: 14,00% · Доходности ОФЗ — рыночные ориентиры середины октября 2026</w:t>
      </w:r>
    </w:p>
    <w:p>
      <w:pPr>
        <w:pStyle w:val="Heading1"/>
      </w:pPr>
      <w:r>
        <w:t xml:space="preserve">1. Исходные данные и рыночные соглашения</w:t>
      </w:r>
    </w:p>
    <w:p>
      <w:pPr>
        <w:spacing w:after="120"/>
      </w:pPr>
      <w:r>
        <w:t xml:space="preserve">Все примеры построены на реальных выпусках ОФЗ-ПД: параметры выпусков (купон, график, погашение) — фактические, а доходности к погашению взяты как ориентиры рынка на середину октября 2026 года. Цены рассчитаны из этих доходностей и совпадают с биржевыми котировками с точностью до нескольких десятых процента — для учебных расчётов этого достаточно, но перед сделкой цифры нужно сверить с данными Московской биржи.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1424"/>
        <w:gridCol w:w="1752"/>
        <w:gridCol w:w="1643"/>
        <w:gridCol w:w="986"/>
        <w:gridCol w:w="1424"/>
        <w:gridCol w:w="1095"/>
      </w:tblGrid>
      <w:tr>
        <w:trPr>
          <w:tblHeader/>
        </w:trPr>
        <w:tc>
          <w:tcPr>
            <w:tcW w:type="dxa" w:w="131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Выпуск</w:t>
            </w:r>
          </w:p>
        </w:tc>
        <w:tc>
          <w:tcPr>
            <w:tcW w:type="dxa" w:w="142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Погашение</w:t>
            </w:r>
          </w:p>
        </w:tc>
        <w:tc>
          <w:tcPr>
            <w:tcW w:type="dxa" w:w="175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Купон, % / ₽</w:t>
            </w:r>
          </w:p>
        </w:tc>
        <w:tc>
          <w:tcPr>
            <w:tcW w:type="dxa" w:w="16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Ближайший купон</w:t>
            </w:r>
          </w:p>
        </w:tc>
        <w:tc>
          <w:tcPr>
            <w:tcW w:type="dxa" w:w="9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YTM</w:t>
            </w:r>
          </w:p>
        </w:tc>
        <w:tc>
          <w:tcPr>
            <w:tcW w:type="dxa" w:w="142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Чистая цена</w:t>
            </w:r>
          </w:p>
        </w:tc>
        <w:tc>
          <w:tcPr>
            <w:tcW w:type="dxa" w:w="109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НКД, ₽</w:t>
            </w:r>
          </w:p>
        </w:tc>
      </w:tr>
      <w:tr>
        <w:tc>
          <w:tcPr>
            <w:tcW w:type="dxa" w:w="131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ОФЗ 26207</w:t>
            </w:r>
          </w:p>
        </w:tc>
        <w:tc>
          <w:tcPr>
            <w:tcW w:type="dxa" w:w="142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03.02.2027</w:t>
            </w:r>
          </w:p>
        </w:tc>
        <w:tc>
          <w:tcPr>
            <w:tcW w:type="dxa" w:w="175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8,13 / 40,64</w:t>
            </w:r>
          </w:p>
        </w:tc>
        <w:tc>
          <w:tcPr>
            <w:tcW w:type="dxa" w:w="16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03.02.2027</w:t>
            </w:r>
          </w:p>
        </w:tc>
        <w:tc>
          <w:tcPr>
            <w:tcW w:type="dxa" w:w="9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13,0%</w:t>
            </w:r>
          </w:p>
        </w:tc>
        <w:tc>
          <w:tcPr>
            <w:tcW w:type="dxa" w:w="142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98,74%</w:t>
            </w:r>
          </w:p>
        </w:tc>
        <w:tc>
          <w:tcPr>
            <w:tcW w:type="dxa" w:w="109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16,97</w:t>
            </w:r>
          </w:p>
        </w:tc>
      </w:tr>
      <w:tr>
        <w:tc>
          <w:tcPr>
            <w:tcW w:type="dxa" w:w="131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ОФЗ 26244</w:t>
            </w:r>
          </w:p>
        </w:tc>
        <w:tc>
          <w:tcPr>
            <w:tcW w:type="dxa" w:w="142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15.03.2034</w:t>
            </w:r>
          </w:p>
        </w:tc>
        <w:tc>
          <w:tcPr>
            <w:tcW w:type="dxa" w:w="175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11,22 / 56,10</w:t>
            </w:r>
          </w:p>
        </w:tc>
        <w:tc>
          <w:tcPr>
            <w:tcW w:type="dxa" w:w="16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24.03.2027</w:t>
            </w:r>
          </w:p>
        </w:tc>
        <w:tc>
          <w:tcPr>
            <w:tcW w:type="dxa" w:w="9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15,5%</w:t>
            </w:r>
          </w:p>
        </w:tc>
        <w:tc>
          <w:tcPr>
            <w:tcW w:type="dxa" w:w="142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83,77%</w:t>
            </w:r>
          </w:p>
        </w:tc>
        <w:tc>
          <w:tcPr>
            <w:tcW w:type="dxa" w:w="109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8,32</w:t>
            </w:r>
          </w:p>
        </w:tc>
      </w:tr>
      <w:tr>
        <w:tc>
          <w:tcPr>
            <w:tcW w:type="dxa" w:w="131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ОФЗ 26248</w:t>
            </w:r>
          </w:p>
        </w:tc>
        <w:tc>
          <w:tcPr>
            <w:tcW w:type="dxa" w:w="142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16.05.2040</w:t>
            </w:r>
          </w:p>
        </w:tc>
        <w:tc>
          <w:tcPr>
            <w:tcW w:type="dxa" w:w="175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12,22 / 61,08</w:t>
            </w:r>
          </w:p>
        </w:tc>
        <w:tc>
          <w:tcPr>
            <w:tcW w:type="dxa" w:w="16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02.12.2026</w:t>
            </w:r>
          </w:p>
        </w:tc>
        <w:tc>
          <w:tcPr>
            <w:tcW w:type="dxa" w:w="9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16,5%</w:t>
            </w:r>
          </w:p>
        </w:tc>
        <w:tc>
          <w:tcPr>
            <w:tcW w:type="dxa" w:w="142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80,02%</w:t>
            </w:r>
          </w:p>
        </w:tc>
        <w:tc>
          <w:tcPr>
            <w:tcW w:type="dxa" w:w="109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46,65</w:t>
            </w:r>
          </w:p>
        </w:tc>
      </w:tr>
      <w:tr>
        <w:tc>
          <w:tcPr>
            <w:tcW w:type="dxa" w:w="131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ОФЗ 26238</w:t>
            </w:r>
          </w:p>
        </w:tc>
        <w:tc>
          <w:tcPr>
            <w:tcW w:type="dxa" w:w="142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15.05.2041</w:t>
            </w:r>
          </w:p>
        </w:tc>
        <w:tc>
          <w:tcPr>
            <w:tcW w:type="dxa" w:w="175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7,08 / 35,40</w:t>
            </w:r>
          </w:p>
        </w:tc>
        <w:tc>
          <w:tcPr>
            <w:tcW w:type="dxa" w:w="16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02.12.2026</w:t>
            </w:r>
          </w:p>
        </w:tc>
        <w:tc>
          <w:tcPr>
            <w:tcW w:type="dxa" w:w="9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16,3%</w:t>
            </w:r>
          </w:p>
        </w:tc>
        <w:tc>
          <w:tcPr>
            <w:tcW w:type="dxa" w:w="142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51,30%</w:t>
            </w:r>
          </w:p>
        </w:tc>
        <w:tc>
          <w:tcPr>
            <w:tcW w:type="dxa" w:w="109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27,04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Соглашения Московской биржи, которые важны для формул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Доходность к погашению (YTM) — эффективная годовая.</w:t>
      </w:r>
      <w:r>
        <w:t xml:space="preserve"> Дисконтирование идёт как (1+y)^t, где t = дни/365, даже если купон платится дважды в год. Поэтому модифицированная дюрация считается как D_Mac / (1+y), а не D_Mac / (1+y/2).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Дюрация на бирже — это дюрация Маколея в днях.</w:t>
      </w:r>
      <w:r>
        <w:t xml:space="preserve"> Чтобы получить годы, её делят на 365; чтобы оценить изменение цены, её переводят в модифицированную.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Купонный период ОФЗ — 182 дня.</w:t>
      </w:r>
      <w:r>
        <w:t xml:space="preserve"> Поэтому даты выплат «плывут» по календарю (например, у ОФЗ 26244 купоны 23.09.2026 и 24.03.2027 при погашении 15.03.2034).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Цена в формулах — «грязная»:</w:t>
      </w:r>
      <w:r>
        <w:t xml:space="preserve"> чистая цена в % от номинала плюс НКД. Именно её приводит к текущей стоимости сумма дисконтированных потоков.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 облигациям с офертой биржа считает доходность и дюрацию к дате оферты</w:t>
      </w:r>
      <w:r>
        <w:t xml:space="preserve">, а не к погашению — это частный случай эффективной дюрации (см. раздел 8).</w:t>
      </w:r>
    </w:p>
    <w:p>
      <w:pPr>
        <w:pStyle w:val="Heading1"/>
      </w:pPr>
      <w:r>
        <w:t xml:space="preserve">2. Формулы дюрации и их компоненты</w:t>
      </w:r>
    </w:p>
    <w:p>
      <w:pPr>
        <w:pStyle w:val="Heading2"/>
      </w:pPr>
      <w:r>
        <w:t xml:space="preserve">2.1. Цена облигации — основа всех мер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1276350" cy="542925"/>
            <wp:effectExtent t="0" r="0" b="0" l="0"/>
            <wp:docPr id="1" name="price" descr="Формула" title="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Что означает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Грязная цена: текущая стоимость всех будущих платежей (чистая цена + НКД)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CFᵢ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Денежный поток i: купон, в последний период — купон + номинал (для ОФЗ — 1000 ₽)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tᵢ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Время до платежа в годах: число дней от даты расчётов до выплаты / 365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Доходность к погашению, эффективная годовая (в долях: 15,5% = 0,155)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Число оставшихся платежей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2.2. Дюрация Маколея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1952625" cy="542925"/>
            <wp:effectExtent t="0" r="0" b="0" l="0"/>
            <wp:docPr id="1" name="mac" descr="Формула" title="m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Что означает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tᵢ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до i-го платежа — величина, которая усредняется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CFᵢ / (1+y)^tᵢ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Текущая стоимость платежа (PVᵢ)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wᵢ = PVᵢ / P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Вес платежа — его доля в цене; сумма весов = 1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D_Mac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Средневзвешенный срок возврата денег (в годах; биржа показывает в днях)</w:t>
            </w:r>
          </w:p>
        </w:tc>
      </w:tr>
    </w:tbl>
    <w:p>
      <w:pPr>
        <w:spacing w:after="120"/>
      </w:pPr>
      <w:r>
        <w:rPr>
          <w:b/>
          <w:bCs/>
        </w:rPr>
        <w:t xml:space="preserve">Применимость:</w:t>
      </w:r>
      <w:r>
        <w:t xml:space="preserve"> иммунизация обязательства (горизонт инвестора = D_Mac), сравнение «срочности» облигаций, публикуется биржей. Для прямой оценки изменения цены не используется — для этого нужна модифицированная дюрация. Частные случаи: бескупонная облигация — D_Mac = T; купонная — всегда D_Mac &lt; T, и тем меньше, чем выше купон и доходность.</w:t>
      </w:r>
    </w:p>
    <w:p>
      <w:pPr>
        <w:pStyle w:val="Heading2"/>
      </w:pPr>
      <w:r>
        <w:t xml:space="preserve">2.3. Модифицированная дюрация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2990850" cy="447675"/>
            <wp:effectExtent t="0" r="0" b="0" l="0"/>
            <wp:docPr id="1" name="mod" descr="Формула" title="m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Что означает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+ y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Поправка, превращающая «срок» в чувствительность цены (производная от (1+y)^−t). При эффективной годовой YTM делим на (1+y)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Δy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Изменение доходности в долях: 100 б.п. = 0,01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«−»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Цена и доходность движутся в противоположные стороны</w:t>
            </w:r>
          </w:p>
        </w:tc>
      </w:tr>
    </w:tbl>
    <w:p>
      <w:pPr>
        <w:spacing w:after="120"/>
      </w:pPr>
      <w:r>
        <w:rPr>
          <w:b/>
          <w:bCs/>
        </w:rPr>
        <w:t xml:space="preserve">Применимость:</w:t>
      </w:r>
      <w:r>
        <w:t xml:space="preserve"> облигации с фиксированными потоками без встроенных опционов (ОФЗ-ПД), малые изменения доходности (до 50–100 б.п.), сдвиг собственной YTM бумаги. При больших шоках занижает рост цены и завышает падение — нужна поправка на выпуклость.</w:t>
      </w:r>
    </w:p>
    <w:p>
      <w:pPr>
        <w:pStyle w:val="Heading2"/>
      </w:pPr>
      <w:r>
        <w:t xml:space="preserve">2.4. Денежная дюрация и DV01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1962150" cy="238125"/>
            <wp:effectExtent t="0" r="0" b="0" l="0"/>
            <wp:docPr id="1" name="dv01" descr="Формула" title="dv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Что означает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Грязная цена одной облигации или рыночная стоимость позиции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0,0001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Один базисный пункт (0,01%)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DV01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Изменение стоимости в рублях при сдвиге доходности на 1 б.п.</w:t>
            </w:r>
          </w:p>
        </w:tc>
      </w:tr>
    </w:tbl>
    <w:p>
      <w:pPr>
        <w:spacing w:after="120"/>
      </w:pPr>
      <w:r>
        <w:rPr>
          <w:b/>
          <w:bCs/>
        </w:rPr>
        <w:t xml:space="preserve">Применимость:</w:t>
      </w:r>
      <w:r>
        <w:t xml:space="preserve"> лимиты процентного риска, расчёт объёма хеджа, агрегация риска по портфелю. В отличие от процентной дюрации, DV01 позиций можно складывать.</w:t>
      </w:r>
    </w:p>
    <w:p>
      <w:pPr>
        <w:pStyle w:val="Heading2"/>
      </w:pPr>
      <w:r>
        <w:t xml:space="preserve">2.5. Выпуклость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2905125" cy="542925"/>
            <wp:effectExtent t="0" r="0" b="0" l="0"/>
            <wp:docPr id="1" name="conv" descr="Формула" title="con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2495550" cy="390525"/>
            <wp:effectExtent t="0" r="0" b="0" l="0"/>
            <wp:docPr id="1" name="conv2" descr="Формула" title="con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Что означает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tᵢ(tᵢ+1)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Множитель из второй производной цены: дальние платежи весят непропорционально сильнее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½·C·Δy²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Поправка второго порядка на кривизну зависимости «цена–доходность»; для ОФЗ-ПД всегда положительна</w:t>
            </w:r>
          </w:p>
        </w:tc>
      </w:tr>
    </w:tbl>
    <w:p>
      <w:pPr>
        <w:spacing w:after="120"/>
      </w:pPr>
      <w:r>
        <w:rPr>
          <w:b/>
          <w:bCs/>
        </w:rPr>
        <w:t xml:space="preserve">Применимость:</w:t>
      </w:r>
      <w:r>
        <w:t xml:space="preserve"> шоки от 100 б.п. и больше — типичная ситуация на российском рынке вокруг решений по ключевой ставке; сравнение бумаг с одинаковой дюрацией (при прочих равных бо́льшая выпуклость лучше).</w:t>
      </w:r>
    </w:p>
    <w:p>
      <w:pPr>
        <w:pStyle w:val="Heading2"/>
      </w:pPr>
      <w:r>
        <w:t xml:space="preserve">2.6. Эффективная дюрация и эффективная выпуклость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3409950" cy="495300"/>
            <wp:effectExtent t="0" r="0" b="0" l="0"/>
            <wp:docPr id="1" name="eff" descr="Формула" title="e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Что означает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P₀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Текущая цена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P₋, P₊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Цены после сдвига доходности/кривой вниз и вверх на Δy — с пересчётом самих потоков, если они зависят от ставок (колл, оферта, флоатер)</w:t>
            </w:r>
          </w:p>
        </w:tc>
      </w:tr>
      <w:tr>
        <w:tc>
          <w:tcPr>
            <w:tcW w:type="dxa" w:w="21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2·Δy</w:t>
            </w:r>
          </w:p>
        </w:tc>
        <w:tc>
          <w:tcPr>
            <w:tcW w:type="dxa" w:w="751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Ширина симметричного сдвига (центральная разность)</w:t>
            </w:r>
          </w:p>
        </w:tc>
      </w:tr>
    </w:tbl>
    <w:p>
      <w:pPr>
        <w:spacing w:after="120"/>
      </w:pPr>
      <w:r>
        <w:rPr>
          <w:b/>
          <w:bCs/>
        </w:rPr>
        <w:t xml:space="preserve">Применимость:</w:t>
      </w:r>
      <w:r>
        <w:t xml:space="preserve"> корпоративные облигации с колл-опционом или пут-офертой, флоатеры (ОФЗ-ПК, корпоративные на КС/RUONIA), ипотечные облигации ДОМ.РФ с досрочным погашением, а также как численная проверка аналитических формул.</w:t>
      </w:r>
    </w:p>
    <w:p>
      <w:pPr>
        <w:pStyle w:val="Heading1"/>
      </w:pPr>
      <w:r>
        <w:t xml:space="preserve">3. Пример 1. Полный расчёт по ОФЗ 26244</w:t>
      </w:r>
    </w:p>
    <w:p>
      <w:pPr>
        <w:spacing w:after="120"/>
      </w:pPr>
      <w:r>
        <w:t xml:space="preserve">ОФЗ 26244: купон 11,22% (56,10 ₽ раз в 182 дня), погашение 15.03.2034, доходность 15,5%. До погашения 7,41 года, осталось 15 платежей.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820"/>
        <w:gridCol w:w="923"/>
        <w:gridCol w:w="1025"/>
        <w:gridCol w:w="1025"/>
        <w:gridCol w:w="1025"/>
        <w:gridCol w:w="923"/>
        <w:gridCol w:w="1128"/>
        <w:gridCol w:w="1334"/>
      </w:tblGrid>
      <w:tr>
        <w:trPr>
          <w:tblHeader/>
        </w:trP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Дата выплаты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Дней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tᵢ, лет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CFᵢ, ₽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DFᵢ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PVᵢ, ₽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Вес wᵢ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tᵢ·PVᵢ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tᵢ(tᵢ+1)·PVᵢ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24.03.2027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155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0,425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0,9406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52,77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6,2%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22,4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22.09.2027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337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0,923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0,8754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49,11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5,8%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45,3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87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22.03.2028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519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1,422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0,8147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45,71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5,4%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65,0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157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20.09.2028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701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1,921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0,7582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42,54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81,7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239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21.03.2029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883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2,419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0,7057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39,59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4,7%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95,8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327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19.09.2029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1065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2,918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0,6567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36,84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4,3%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107,5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421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20.03.2030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1247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3,416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0,6112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34,29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117,2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517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18.09.2030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1429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3,915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0,5688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31,91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3,8%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124,9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614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19.03.2031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1611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4,414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0,5294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29,70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3,5%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131,1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710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17.09.2031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1793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4,912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0,4927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27,64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3,3%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135,8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803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17.03.2032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1975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5,411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0,4585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25,72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139,2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892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15.09.2032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2157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5,910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0,4267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23,94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2,8%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141,5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978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16.03.2033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2339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6,408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0,3972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22,28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142,8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1 058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14.09.2033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2521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6,907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0,3696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20,74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143,2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1 132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15.03.2034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2703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7,405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1 056,10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0,3440</w:t>
            </w: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363,29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42,9%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2 690,3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22 614</w:t>
            </w:r>
          </w:p>
        </w:tc>
      </w:tr>
      <w:tr>
        <w:tc>
          <w:tcPr>
            <w:tcW w:type="dxa" w:w="143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Итого</w:t>
            </w:r>
          </w:p>
        </w:tc>
        <w:tc>
          <w:tcPr>
            <w:tcW w:type="dxa" w:w="82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</w:p>
        </w:tc>
        <w:tc>
          <w:tcPr>
            <w:tcW w:type="dxa" w:w="10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846,07</w:t>
            </w:r>
          </w:p>
        </w:tc>
        <w:tc>
          <w:tcPr>
            <w:tcW w:type="dxa" w:w="92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100%</w:t>
            </w:r>
          </w:p>
        </w:tc>
        <w:tc>
          <w:tcPr>
            <w:tcW w:type="dxa" w:w="11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4 183,7</w:t>
            </w:r>
          </w:p>
        </w:tc>
        <w:tc>
          <w:tcPr>
            <w:tcW w:type="dxa" w:w="1334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30 581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Расчёт по шагам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Цена:</w:t>
      </w:r>
      <w:r>
        <w:t xml:space="preserve"> P = Σ PVᵢ = 846,07 ₽ (грязная). Минус НКД 8,32 ₽ → чистая 837,75 ₽ = 83,77% номинала.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Дюрация Маколея:</w:t>
      </w:r>
      <w:r>
        <w:t xml:space="preserve"> D_Mac = 4 183,7 / 846,07 = </w:t>
      </w:r>
      <w:r>
        <w:rPr>
          <w:b/>
          <w:bCs/>
        </w:rPr>
        <w:t xml:space="preserve">4,945 года ≈ 1805 дней</w:t>
      </w:r>
      <w:r>
        <w:t xml:space="preserve"> — именно это число показывает биржа в поле «Дюрация». Оно заметно меньше срока до погашения (7,41 года), т. к. 57% стоимости бумаги приходится на промежуточные купоны, а на последний платёж — лишь 43%.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Модифицированная дюрация:</w:t>
      </w:r>
      <w:r>
        <w:t xml:space="preserve"> D_mod = 4,945 / 1,155 = </w:t>
      </w:r>
      <w:r>
        <w:rPr>
          <w:b/>
          <w:bCs/>
        </w:rPr>
        <w:t xml:space="preserve">4,281</w:t>
      </w:r>
      <w:r>
        <w:t xml:space="preserve">. Рост доходности на 1 п.п. → цена падает примерно на 4,28%.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DV01:</w:t>
      </w:r>
      <w:r>
        <w:t xml:space="preserve"> 4,281 × 846,07 × 0,0001 = </w:t>
      </w:r>
      <w:r>
        <w:rPr>
          <w:b/>
          <w:bCs/>
        </w:rPr>
        <w:t xml:space="preserve">0,3622 ₽</w:t>
      </w:r>
      <w:r>
        <w:t xml:space="preserve"> на облигацию; на позицию в 1 млн ₽ — около </w:t>
      </w:r>
      <w:r>
        <w:rPr>
          <w:b/>
          <w:bCs/>
        </w:rPr>
        <w:t xml:space="preserve">428 ₽</w:t>
      </w:r>
      <w:r>
        <w:t xml:space="preserve"> на каждый базисный пункт.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Выпуклость:</w:t>
      </w:r>
      <w:r>
        <w:t xml:space="preserve"> C = 30 581 / (846,07 × 1,155²) = </w:t>
      </w:r>
      <w:r>
        <w:rPr>
          <w:b/>
          <w:bCs/>
        </w:rPr>
        <w:t xml:space="preserve">27,09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Проверка эффективной дюрацией</w:t>
      </w:r>
      <w:r>
        <w:t xml:space="preserve"> (сдвиг ±100 б.п.): D_eff = 4,285, C_eff = 27,11 — совпадают с аналитическими значениями, как и должно быть у облигации без опционов.</w:t>
      </w:r>
    </w:p>
    <w:p>
      <w:pPr>
        <w:pStyle w:val="Heading1"/>
      </w:pPr>
      <w:r>
        <w:t xml:space="preserve">4. Пример 2. Дюрация по кривой ОФЗ</w:t>
      </w:r>
    </w:p>
    <w:p>
      <w:pPr>
        <w:spacing w:after="120"/>
      </w:pPr>
      <w:r>
        <w:t xml:space="preserve">Те же меры для четырёх выпусков разной срочности — от «короткой» ОФЗ 26207 до «длинной» ОФЗ 26238.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687"/>
        <w:gridCol w:w="1687"/>
        <w:gridCol w:w="1687"/>
        <w:gridCol w:w="1686"/>
      </w:tblGrid>
      <w:tr>
        <w:trPr>
          <w:tblHeader/>
        </w:trP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ОФЗ 26207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ОФЗ 26244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ОФЗ 26248</w:t>
            </w:r>
          </w:p>
        </w:tc>
        <w:tc>
          <w:tcPr>
            <w:tcW w:type="dxa" w:w="16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ОФЗ 26238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до погашения, лет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0,29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13,58</w:t>
            </w:r>
          </w:p>
        </w:tc>
        <w:tc>
          <w:tcPr>
            <w:tcW w:type="dxa" w:w="16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14,58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Купон, % годовых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8,13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11,22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12,22</w:t>
            </w:r>
          </w:p>
        </w:tc>
        <w:tc>
          <w:tcPr>
            <w:tcW w:type="dxa" w:w="16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7,08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Доходность (YTM)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13,0%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15,5%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16,5%</w:t>
            </w:r>
          </w:p>
        </w:tc>
        <w:tc>
          <w:tcPr>
            <w:tcW w:type="dxa" w:w="16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16,3%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Грязная цена, ₽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1 004,35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846,07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846,82</w:t>
            </w:r>
          </w:p>
        </w:tc>
        <w:tc>
          <w:tcPr>
            <w:tcW w:type="dxa" w:w="16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540,03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Дюрация Маколея, дней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1 805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2 147</w:t>
            </w:r>
          </w:p>
        </w:tc>
        <w:tc>
          <w:tcPr>
            <w:tcW w:type="dxa" w:w="16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2 468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Дюрация Маколея, лет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0,29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4,95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5,88</w:t>
            </w:r>
          </w:p>
        </w:tc>
        <w:tc>
          <w:tcPr>
            <w:tcW w:type="dxa" w:w="16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6,76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Модифицированная дюрация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0,26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4,28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5,05</w:t>
            </w:r>
          </w:p>
        </w:tc>
        <w:tc>
          <w:tcPr>
            <w:tcW w:type="dxa" w:w="16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5,82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DV01 на 1 облигацию, ₽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0,026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0,362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0,428</w:t>
            </w:r>
          </w:p>
        </w:tc>
        <w:tc>
          <w:tcPr>
            <w:tcW w:type="dxa" w:w="16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0,314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DV01 на 1 млн ₽ вложений, ₽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505</w:t>
            </w:r>
          </w:p>
        </w:tc>
        <w:tc>
          <w:tcPr>
            <w:tcW w:type="dxa" w:w="16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581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Выпуклость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27,1</w:t>
            </w:r>
          </w:p>
        </w:tc>
        <w:tc>
          <w:tcPr>
            <w:tcW w:type="dxa" w:w="1687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45,7</w:t>
            </w:r>
          </w:p>
        </w:tc>
        <w:tc>
          <w:tcPr>
            <w:tcW w:type="dxa" w:w="168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59,1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Что видно из таблицы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Купон сильнее срока.</w:t>
      </w:r>
      <w:r>
        <w:t xml:space="preserve"> ОФЗ 26238 гасится всего на год позже ОФЗ 26248, но из-за низкого купона (7,08% против 12,22%) её дюрация выше: 5,82 против 5,05. Низкокупонные «длинные» ОФЗ — самый чувствительный к ставке инструмент на рынке.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DV01 на облигацию vs на рубль вложений.</w:t>
      </w:r>
      <w:r>
        <w:t xml:space="preserve"> На одну бумагу DV01 у 26238 меньше (0,314 ₽ против 0,428 ₽), потому что она стоит в полтора раза дешевле. Но на каждый вложенный миллион риск у 26238 больше: 581 ₽ против 505 ₽ за б.п. Сравнивать риск позиций нужно в рублях на объём вложений, а не «на штуку».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Высокие ставки сжимают дюрацию.</w:t>
      </w:r>
      <w:r>
        <w:t xml:space="preserve"> При доходности ~16% даже 15-летняя бумага имеет дюрацию Маколея лишь ~6,8 года: дальние платежи дисконтируются очень сильно. При снижении ставок дюрация тех же бумаг вырастет.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Короткая ОФЗ 26207</w:t>
      </w:r>
      <w:r>
        <w:t xml:space="preserve"> с одним оставшимся платежом ведёт себя как бескупонная облигация: D_Mac = срок до погашения (0,29 года), процентный риск минимален.</w:t>
      </w:r>
    </w:p>
    <w:p>
      <w:pPr>
        <w:pStyle w:val="Heading1"/>
      </w:pPr>
      <w:r>
        <w:t xml:space="preserve">5. Пример 3. Сценарии по ключевой ставке: роль выпуклости</w:t>
      </w:r>
    </w:p>
    <w:p>
      <w:pPr>
        <w:spacing w:after="120"/>
      </w:pPr>
      <w:r>
        <w:t xml:space="preserve">Изменения ключевой ставки на 100–200 б.п. за заседание — обычное дело для российского рынка, а длинный конец кривой ОФЗ за месяц может сдвинуться на 300 б.п. и больше. Сравним оценку изменения цены по одной дюрации, по дюрации с выпуклостью и точный пересчёт цены.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253"/>
        <w:gridCol w:w="1349"/>
        <w:gridCol w:w="1349"/>
        <w:gridCol w:w="1253"/>
        <w:gridCol w:w="1542"/>
        <w:gridCol w:w="1543"/>
      </w:tblGrid>
      <w:tr>
        <w:trPr>
          <w:tblHeader/>
        </w:trP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Выпуск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Сдвиг YTM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Только D_mod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D_mod + C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Точно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Ошибка D_mod, п.п.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Ошибка D+C, п.п.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ОФЗ 26244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−300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+12,84%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+14,06%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+14,16%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1,32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0,10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−200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+8,56%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+9,10%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+9,13%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0,57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0,03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+4,28%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+4,42%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+4,42%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0,14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−4,28%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−4,15%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−4,15%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0,13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−8,56%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−8,02%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−8,05%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0,51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0,03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−12,84%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−11,62%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−11,71%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0,09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ОФЗ 26248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−300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+15,15%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+17,20%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+17,46%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2,31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0,26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−200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+10,10%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+11,01%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+11,09%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0,99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0,08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+5,05%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+5,28%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+5,29%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0,24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0,01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−5,05%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−4,82%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−4,83%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0,22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0,01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−10,10%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−9,19%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−9,25%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0,85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0,06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−15,15%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−13,09%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−13,30%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1,85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0,21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ОФЗ 26238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−300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+17,45%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+20,10%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+20,47%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3,02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0,37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−200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+11,63%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+12,81%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+12,92%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1,29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0,11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+5,82%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+6,11%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+6,12%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0,30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0,01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−5,82%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−5,52%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−5,53%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0,29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0,01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−11,63%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−10,45%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−10,54%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1,09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0,09</w:t>
            </w:r>
          </w:p>
        </w:tc>
      </w:tr>
      <w:tr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+300 б.п.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−17,45%</w:t>
            </w:r>
          </w:p>
        </w:tc>
        <w:tc>
          <w:tcPr>
            <w:tcW w:type="dxa" w:w="134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−14,79%</w:t>
            </w:r>
          </w:p>
        </w:tc>
        <w:tc>
          <w:tcPr>
            <w:tcW w:type="dxa" w:w="125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−15,08%</w:t>
            </w:r>
          </w:p>
        </w:tc>
        <w:tc>
          <w:tcPr>
            <w:tcW w:type="dxa" w:w="154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2,37</w:t>
            </w:r>
          </w:p>
        </w:tc>
        <w:tc>
          <w:tcPr>
            <w:tcW w:type="dxa" w:w="154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0,29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Выводы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сдвиге на ±100 б.п. дюрация ошибается на 0,1–0,3 п.п. — для оперативной оценки приемлемо.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снижении доходностей на 300 б.п. (сценарий цикла смягчения ДКП) одна дюрация занижает рост ОФЗ 26238 на 3,0 п.п.: +17,4% против фактических +20,5%. Поправка на выпуклость сокращает ошибку до ~0,4 п.п.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Асимметрия выгодна держателю: при одинаковом по модулю сдвиге рост цены больше падения. Именно поэтому длинные низкокупонные ОФЗ популярны как ставка на снижение ключевой ставки.</w:t>
      </w:r>
    </w:p>
    <w:p>
      <w:pPr>
        <w:pStyle w:val="Heading1"/>
      </w:pPr>
      <w:r>
        <w:t xml:space="preserve">6. Пример 4. Непараллельный сдвиг кривой</w:t>
      </w:r>
    </w:p>
    <w:p>
      <w:pPr>
        <w:spacing w:after="120"/>
      </w:pPr>
      <w:r>
        <w:t xml:space="preserve">Портфель: 5 млн ₽ в ОФЗ 26207 и 5 млн ₽ в ОФЗ 26238. Модифицированная дюрация портфеля (средневзвешенная по стоимости) — 3,04.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tblHeader/>
        </w:trPr>
        <w:tc>
          <w:tcPr>
            <w:tcW w:type="dxa" w:w="385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Оценка по дюрации портфеля</w:t>
            </w:r>
          </w:p>
        </w:tc>
        <w:tc>
          <w:tcPr>
            <w:tcW w:type="dxa" w:w="289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Фактический результат</w:t>
            </w:r>
          </w:p>
        </w:tc>
      </w:tr>
      <w:tr>
        <w:tc>
          <w:tcPr>
            <w:tcW w:type="dxa" w:w="385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Параллельное снижение всей кривой на 200 б.п.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+607 200 ₽</w:t>
            </w:r>
          </w:p>
        </w:tc>
        <w:tc>
          <w:tcPr>
            <w:tcW w:type="dxa" w:w="289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+672 000 ₽</w:t>
            </w:r>
          </w:p>
        </w:tc>
      </w:tr>
      <w:tr>
        <w:tc>
          <w:tcPr>
            <w:tcW w:type="dxa" w:w="385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Короткий конец −200 б.п., длинный −50 б.п. (ЦБ снижает ставку, но рынок не верит в устойчивость снижения)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+607 200 ₽ (та же — дюрация не видит формы сдвига)</w:t>
            </w:r>
          </w:p>
        </w:tc>
        <w:tc>
          <w:tcPr>
            <w:tcW w:type="dxa" w:w="289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+175 068 ₽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Одна дюрация портфеля «не знает», какие сроки сдвинулись: оценка совпадает в обоих сценариях, хотя реальный результат различается почти вчетверо. Ошибка возникает из-за того, что почти весь процентный риск портфеля сидит в длинной бумаге (2 905 ₽/б.п. против 130 ₽/б.п. у короткой).</w:t>
      </w:r>
    </w:p>
    <w:p>
      <w:pPr>
        <w:spacing w:after="120"/>
      </w:pPr>
      <w:r>
        <w:rPr>
          <w:b/>
          <w:bCs/>
        </w:rPr>
        <w:t xml:space="preserve">Инструмент для таких случаев — дюрации ключевых ставок (KRD):</w:t>
      </w:r>
      <w:r>
        <w:t xml:space="preserve"> риск раскладывается по точкам кривой (например, 1, 3, 5, 10, 15 лет), и для каждой точки считается чувствительность к её изолированному сдвигу. Сумма KRD ≈ эффективной дюрации. Для российского рынка это особенно актуально: кривая ОФЗ в последние годы многократно меняла наклон — от инвертированной к нормальной и обратно.</w:t>
      </w:r>
    </w:p>
    <w:p>
      <w:pPr>
        <w:pStyle w:val="Heading1"/>
      </w:pPr>
      <w:r>
        <w:t xml:space="preserve">7. Пример 5. Флоатеры: ОФЗ-ПК и корпоративные на КС/RUONIA</w:t>
      </w:r>
    </w:p>
    <w:p>
      <w:pPr>
        <w:spacing w:after="120"/>
      </w:pPr>
      <w:r>
        <w:t xml:space="preserve">Новые выпуски ОФЗ-ПК (серия 29xxx, например ОФЗ 29030 с погашением 29.10.2037) платят купон, равный средней ставке RUONIA за купонный период с лагом 7 дней. Корпоративные флоатеры обычно платят «ключевая ставка + спред».</w:t>
      </w:r>
    </w:p>
    <w:p>
      <w:pPr>
        <w:pStyle w:val="Heading3"/>
      </w:pPr>
      <w:r>
        <w:t xml:space="preserve">Две разные дюрации флоатера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433"/>
        <w:gridCol w:w="2892"/>
      </w:tblGrid>
      <w:tr>
        <w:trPr>
          <w:tblHeader/>
        </w:trPr>
        <w:tc>
          <w:tcPr>
            <w:tcW w:type="dxa" w:w="23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Мера</w:t>
            </w:r>
          </w:p>
        </w:tc>
        <w:tc>
          <w:tcPr>
            <w:tcW w:type="dxa" w:w="443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Чему равна</w:t>
            </w:r>
          </w:p>
        </w:tc>
        <w:tc>
          <w:tcPr>
            <w:tcW w:type="dxa" w:w="289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 чему чувствительна</w:t>
            </w:r>
          </w:p>
        </w:tc>
      </w:tr>
      <w:tr>
        <w:tc>
          <w:tcPr>
            <w:tcW w:type="dxa" w:w="23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Процентная (ставочная) дюрация</w:t>
            </w:r>
          </w:p>
        </w:tc>
        <w:tc>
          <w:tcPr>
            <w:tcW w:type="dxa" w:w="443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время до ближайшего пересмотра купона: не более ~0,25 года при квартальном купоне, у ОФЗ-ПК — близка к нулю</w:t>
            </w:r>
          </w:p>
        </w:tc>
        <w:tc>
          <w:tcPr>
            <w:tcW w:type="dxa" w:w="289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Изменение ключевой ставки / RUONIA</w:t>
            </w:r>
          </w:p>
        </w:tc>
      </w:tr>
      <w:tr>
        <w:tc>
          <w:tcPr>
            <w:tcW w:type="dxa" w:w="23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Спред-дюрация</w:t>
            </w:r>
          </w:p>
        </w:tc>
        <w:tc>
          <w:tcPr>
            <w:tcW w:type="dxa" w:w="443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дюрация облигации с фиксированным купоном того же срока. Для условного 11-летнего флоатера с квартальным купоном ~14%: </w:t>
            </w:r>
            <w:r>
              <w:rPr>
                <w:b/>
                <w:bCs/>
                <w:sz w:val="18"/>
                <w:szCs w:val="18"/>
              </w:rPr>
              <w:t xml:space="preserve">5,58</w:t>
            </w:r>
          </w:p>
        </w:tc>
        <w:tc>
          <w:tcPr>
            <w:tcW w:type="dxa" w:w="289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Изменение требуемой премии (спреда) к RUONIA или КС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Пример.</w:t>
      </w:r>
      <w:r>
        <w:t xml:space="preserve"> Если рынок потребует от 11-летнего флоатера премию на 50 б.п. выше (например, из-за роста предложения ОФЗ-ПК на аукционах Минфина), цена упадёт примерно на 2,7% — несмотря на «нулевую» процентную дюрацию. Именно это происходило с ОФЗ-ПК в периоды крупных размещений: инвесторы, считавшие флоатеры безрисковыми по цене, получали заметную переоценку.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A33D" w:sz="4"/>
              <w:left w:val="single" w:color="E8A33D" w:sz="24"/>
              <w:bottom w:val="single" w:color="E8A33D" w:sz="4"/>
              <w:right w:val="single" w:color="E8A33D" w:sz="4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Важно. </w:t>
            </w:r>
            <w:r>
              <w:t xml:space="preserve">биржевая «дюрация» флоатера показывает срок до ближайшего купона и не отражает спредовый риск. Для длинных ОФЗ-ПК и корпоративных флоатеров спред-дюрацию нужно считать отдельно (через эффективную дюрацию по дисконтной марже).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Пример 6. Корпоративные облигации с колл-опционом и офертой</w:t>
      </w:r>
    </w:p>
    <w:p>
      <w:pPr>
        <w:spacing w:after="120"/>
      </w:pPr>
      <w:r>
        <w:t xml:space="preserve">Условная корпоративная облигация (типичная структура для эмитентов рейтинга AA–A в 2025–2026 гг.): купон 17% годовых (дважды в год), погашение через 5 лет, эмитент вправе погасить выпуск по номиналу через 2 года (колл-опцион). Упрощённая модель: эмитент гасит досрочно, если это для него выгоднее, — цена инвестора равна меньшей из цен «к погашению» и «к коллу».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5"/>
        <w:gridCol w:w="812"/>
        <w:gridCol w:w="1116"/>
        <w:gridCol w:w="1015"/>
        <w:gridCol w:w="913"/>
        <w:gridCol w:w="1116"/>
        <w:gridCol w:w="1116"/>
        <w:gridCol w:w="913"/>
        <w:gridCol w:w="912"/>
      </w:tblGrid>
      <w:tr>
        <w:trPr>
          <w:tblHeader/>
        </w:trPr>
        <w:tc>
          <w:tcPr>
            <w:tcW w:type="dxa" w:w="17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Ситуация</w:t>
            </w:r>
          </w:p>
        </w:tc>
        <w:tc>
          <w:tcPr>
            <w:tcW w:type="dxa" w:w="81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YTM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Цена к погашению</w:t>
            </w:r>
          </w:p>
        </w:tc>
        <w:tc>
          <w:tcPr>
            <w:tcW w:type="dxa" w:w="101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Цена к коллу</w:t>
            </w:r>
          </w:p>
        </w:tc>
        <w:tc>
          <w:tcPr>
            <w:tcW w:type="dxa" w:w="9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Цена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D_mod к погаш.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D_mod к коллу</w:t>
            </w:r>
          </w:p>
        </w:tc>
        <w:tc>
          <w:tcPr>
            <w:tcW w:type="dxa" w:w="9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D_eff</w:t>
            </w:r>
          </w:p>
        </w:tc>
        <w:tc>
          <w:tcPr>
            <w:tcW w:type="dxa" w:w="91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C_eff</w:t>
            </w:r>
          </w:p>
        </w:tc>
      </w:tr>
      <w:tr>
        <w:tc>
          <w:tcPr>
            <w:tcW w:type="dxa" w:w="17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Ставки снизились</w:t>
            </w:r>
          </w:p>
        </w:tc>
        <w:tc>
          <w:tcPr>
            <w:tcW w:type="dxa" w:w="81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15,5%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107,07%</w:t>
            </w:r>
          </w:p>
        </w:tc>
        <w:tc>
          <w:tcPr>
            <w:tcW w:type="dxa" w:w="101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103,45%</w:t>
            </w:r>
          </w:p>
        </w:tc>
        <w:tc>
          <w:tcPr>
            <w:tcW w:type="dxa" w:w="9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103,45%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3,13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1,54</w:t>
            </w:r>
          </w:p>
        </w:tc>
        <w:tc>
          <w:tcPr>
            <w:tcW w:type="dxa" w:w="9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1,54</w:t>
            </w:r>
          </w:p>
        </w:tc>
        <w:tc>
          <w:tcPr>
            <w:tcW w:type="dxa" w:w="91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3,9</w:t>
            </w:r>
          </w:p>
        </w:tc>
      </w:tr>
      <w:tr>
        <w:tc>
          <w:tcPr>
            <w:tcW w:type="dxa" w:w="17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Текущий рынок</w:t>
            </w:r>
          </w:p>
        </w:tc>
        <w:tc>
          <w:tcPr>
            <w:tcW w:type="dxa" w:w="81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16,5%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103,80%</w:t>
            </w:r>
          </w:p>
        </w:tc>
        <w:tc>
          <w:tcPr>
            <w:tcW w:type="dxa" w:w="101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101,87%</w:t>
            </w:r>
          </w:p>
        </w:tc>
        <w:tc>
          <w:tcPr>
            <w:tcW w:type="dxa" w:w="9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101,87%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3,08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1,53</w:t>
            </w:r>
          </w:p>
        </w:tc>
        <w:tc>
          <w:tcPr>
            <w:tcW w:type="dxa" w:w="9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1,53</w:t>
            </w:r>
          </w:p>
        </w:tc>
        <w:tc>
          <w:tcPr>
            <w:tcW w:type="dxa" w:w="91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3,8</w:t>
            </w:r>
          </w:p>
        </w:tc>
      </w:tr>
      <w:tr>
        <w:tc>
          <w:tcPr>
            <w:tcW w:type="dxa" w:w="17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Около порога исполнения</w:t>
            </w:r>
          </w:p>
        </w:tc>
        <w:tc>
          <w:tcPr>
            <w:tcW w:type="dxa" w:w="81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17,5%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100,68%</w:t>
            </w:r>
          </w:p>
        </w:tc>
        <w:tc>
          <w:tcPr>
            <w:tcW w:type="dxa" w:w="101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100,34%</w:t>
            </w:r>
          </w:p>
        </w:tc>
        <w:tc>
          <w:tcPr>
            <w:tcW w:type="dxa" w:w="9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100,34%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3,03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1,51</w:t>
            </w:r>
          </w:p>
        </w:tc>
        <w:tc>
          <w:tcPr>
            <w:tcW w:type="dxa" w:w="9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2,08</w:t>
            </w:r>
          </w:p>
        </w:tc>
        <w:tc>
          <w:tcPr>
            <w:tcW w:type="dxa" w:w="91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−110,6</w:t>
            </w:r>
          </w:p>
        </w:tc>
      </w:tr>
      <w:tr>
        <w:tc>
          <w:tcPr>
            <w:tcW w:type="dxa" w:w="172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Ставки выросли</w:t>
            </w:r>
          </w:p>
        </w:tc>
        <w:tc>
          <w:tcPr>
            <w:tcW w:type="dxa" w:w="81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19,0%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96,25%</w:t>
            </w:r>
          </w:p>
        </w:tc>
        <w:tc>
          <w:tcPr>
            <w:tcW w:type="dxa" w:w="101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98,10%</w:t>
            </w:r>
          </w:p>
        </w:tc>
        <w:tc>
          <w:tcPr>
            <w:tcW w:type="dxa" w:w="9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96,25%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2,97</w:t>
            </w:r>
          </w:p>
        </w:tc>
        <w:tc>
          <w:tcPr>
            <w:tcW w:type="dxa" w:w="1116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1,49</w:t>
            </w:r>
          </w:p>
        </w:tc>
        <w:tc>
          <w:tcPr>
            <w:tcW w:type="dxa" w:w="913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2,97</w:t>
            </w:r>
          </w:p>
        </w:tc>
        <w:tc>
          <w:tcPr>
            <w:tcW w:type="dxa" w:w="91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13,3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Выводы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доходности ниже купона, колл почти наверняка будет исполнен, и бумага ведёт себя как 2-летняя: эффективная дюрация ≈ дюрации к коллу (~1,5).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доходности выросли, досрочного погашения не будет, и дюрация «удлиняется» до дюрации к погашению (~3,0). Инвестор получает больший процентный риск ровно тогда, когда ставки растут.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Около порога исполнения эффективная выпуклость </w:t>
      </w:r>
      <w:r>
        <w:rPr>
          <w:b/>
          <w:bCs/>
        </w:rPr>
        <w:t xml:space="preserve">отрицательна</w:t>
      </w:r>
      <w:r>
        <w:t xml:space="preserve"> (−110,6): рост цены ограничен ценой колла, а падение — нет. Формулы Маколея и модифицированной дюрации здесь неприменимы.</w:t>
      </w:r>
    </w:p>
    <w:p>
      <w:pPr>
        <w:pStyle w:val="Heading3"/>
      </w:pPr>
      <w:r>
        <w:t xml:space="preserve">Пут-оферта</w:t>
      </w:r>
    </w:p>
    <w:p>
      <w:pPr>
        <w:spacing w:after="120"/>
      </w:pPr>
      <w:r>
        <w:t xml:space="preserve">На российском рынке гораздо чаще встречается пут-оферта: инвестор вправе предъявить бумагу к выкупу по номиналу в дату оферты. Московская биржа и большинство терминалов считают доходность и дюрацию </w:t>
      </w:r>
      <w:r>
        <w:rPr>
          <w:b/>
          <w:bCs/>
        </w:rPr>
        <w:t xml:space="preserve">к дате оферты</w:t>
      </w:r>
      <w:r>
        <w:t xml:space="preserve">. Это разумно, когда купон после оферты будет пересмотрен по рынку, но при резком падении ставок инвестор может не предъявлять бумагу — тогда реальная дюрация длиннее показанной. Корректная мера — эффективная дюрация с моделью поведения держателя.</w:t>
      </w:r>
    </w:p>
    <w:p>
      <w:pPr>
        <w:pStyle w:val="Heading1"/>
      </w:pPr>
      <w:r>
        <w:t xml:space="preserve">9. Пример 7. ОФЗ-ИН: дюрация по реальной доходности</w:t>
      </w:r>
    </w:p>
    <w:p>
      <w:pPr>
        <w:spacing w:after="120"/>
      </w:pPr>
      <w:r>
        <w:t xml:space="preserve">У ОФЗ-ИН (серия 52xxx) номинал индексируется на инфляцию (ИПЦ с лагом 3 месяца), а купон фиксирован в реальном выражении (2,5–3% от индексированного номинала). Все формулы раздела 2 применяются, 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 — реальная доходность</w:t>
      </w:r>
      <w:r>
        <w:t xml:space="preserve">, а не номинальная. Дюрация показывает чувствительность цены к изменению реальной ставки.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росте номинальных доходностей из-за ускорения инфляции (рост инфляционных ожиданий) реальная доходность может почти не измениться — цена ОФЗ-ИН устоит, хотя её «номинальная» дюрация формально высокая.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росте номинальных доходностей из-за ужесточения ДКП (рост реальных ставок) ОФЗ-ИН падают вместе с ОФЗ-ПД пропорционально своей реальной дюрации.</w:t>
      </w:r>
    </w:p>
    <w:p>
      <w:pPr>
        <w:spacing w:after="120"/>
      </w:pPr>
      <w:r>
        <w:rPr>
          <w:b/>
          <w:bCs/>
        </w:rPr>
        <w:t xml:space="preserve">Применимость:</w:t>
      </w:r>
      <w:r>
        <w:t xml:space="preserve"> сравнение ОФЗ-ИН с ОФЗ-ПД через «номинальную» дюрацию некорректно; правильно сравнивать DV01 по реальной ставке и отдельно учитывать чувствительность к инфляционным ожиданиям (инфляционная дюрация).</w:t>
      </w:r>
    </w:p>
    <w:p>
      <w:pPr>
        <w:pStyle w:val="Heading1"/>
      </w:pPr>
      <w:r>
        <w:t xml:space="preserve">10. Пример 8. Иммунизация обязательства</w:t>
      </w:r>
    </w:p>
    <w:p>
      <w:pPr>
        <w:spacing w:after="120"/>
      </w:pPr>
      <w:r>
        <w:t xml:space="preserve">Задача: через 3 года нужно выплатить 10 млн ₽ (например, накопления под покупку недвижимости или резерв страховщика). Ставка дисконтирования ~15%, текущая стоимость обязательства — 6 575 162 ₽. Собираем портфель из ОФЗ 26207 (D_Mac = 0,29) и ОФЗ 26244 (D_Mac = 4,95) так, чтобы его дюрация Маколея равнялась горизонту: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3419475" cy="447675"/>
            <wp:effectExtent t="0" r="0" b="0" l="0"/>
            <wp:docPr id="1" name="immun" descr="Формула" title="imm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8"/>
        <w:gridCol w:w="2410"/>
        <w:gridCol w:w="2409"/>
      </w:tblGrid>
      <w:tr>
        <w:trPr>
          <w:tblHeader/>
        </w:trP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Выпуск</w:t>
            </w:r>
          </w:p>
        </w:tc>
        <w:tc>
          <w:tcPr>
            <w:tcW w:type="dxa" w:w="19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Доля</w:t>
            </w:r>
          </w:p>
        </w:tc>
        <w:tc>
          <w:tcPr>
            <w:tcW w:type="dxa" w:w="241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Сумма, ₽</w:t>
            </w:r>
          </w:p>
        </w:tc>
        <w:tc>
          <w:tcPr>
            <w:tcW w:type="dxa" w:w="240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Количество, шт.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ОФЗ 26207</w:t>
            </w:r>
          </w:p>
        </w:tc>
        <w:tc>
          <w:tcPr>
            <w:tcW w:type="dxa" w:w="19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41,8%</w:t>
            </w:r>
          </w:p>
        </w:tc>
        <w:tc>
          <w:tcPr>
            <w:tcW w:type="dxa" w:w="241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2 748 418</w:t>
            </w:r>
          </w:p>
        </w:tc>
        <w:tc>
          <w:tcPr>
            <w:tcW w:type="dxa" w:w="240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2 735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ОФЗ 26244</w:t>
            </w:r>
          </w:p>
        </w:tc>
        <w:tc>
          <w:tcPr>
            <w:tcW w:type="dxa" w:w="19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58,2%</w:t>
            </w:r>
          </w:p>
        </w:tc>
        <w:tc>
          <w:tcPr>
            <w:tcW w:type="dxa" w:w="241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3 826 744</w:t>
            </w:r>
          </w:p>
        </w:tc>
        <w:tc>
          <w:tcPr>
            <w:tcW w:type="dxa" w:w="240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4 524</w:t>
            </w:r>
          </w:p>
        </w:tc>
      </w:tr>
      <w:tr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Портфель</w:t>
            </w:r>
          </w:p>
        </w:tc>
        <w:tc>
          <w:tcPr>
            <w:tcW w:type="dxa" w:w="1928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2410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6 575 162</w:t>
            </w:r>
          </w:p>
        </w:tc>
        <w:tc>
          <w:tcPr>
            <w:tcW w:type="dxa" w:w="2409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</w:p>
        </w:tc>
      </w:tr>
    </w:tbl>
    <w:p>
      <w:pPr>
        <w:spacing w:after="60"/>
      </w:pPr>
    </w:p>
    <w:p>
      <w:pPr>
        <w:pStyle w:val="Heading3"/>
      </w:pPr>
      <w:r>
        <w:t xml:space="preserve">Компоненты и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</w:t>
      </w:r>
      <w:r>
        <w:t xml:space="preserve"> — горизонт обязательства; </w:t>
      </w:r>
      <w:r>
        <w:rPr>
          <w:b/>
          <w:bCs/>
        </w:rPr>
        <w:t xml:space="preserve">D₁, D₂</w:t>
      </w:r>
      <w:r>
        <w:t xml:space="preserve"> — дюрации Маколея бумаг; </w:t>
      </w:r>
      <w:r>
        <w:rPr>
          <w:b/>
          <w:bCs/>
        </w:rPr>
        <w:t xml:space="preserve">w</w:t>
      </w:r>
      <w:r>
        <w:t xml:space="preserve"> — доля по рыночной стоимости.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Иммунизация работает при </w:t>
      </w:r>
      <w:r>
        <w:rPr>
          <w:b/>
          <w:bCs/>
        </w:rPr>
        <w:t xml:space="preserve">малом параллельном</w:t>
      </w:r>
      <w:r>
        <w:t xml:space="preserve"> сдвиге. Портфель «штанга» (короткая + длинная бумага) уязвим к изменению наклона кривой — см. пример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Портфель нужно </w:t>
      </w:r>
      <w:r>
        <w:rPr>
          <w:b/>
          <w:bCs/>
        </w:rPr>
        <w:t xml:space="preserve">ребалансировать</w:t>
      </w:r>
      <w:r>
        <w:t xml:space="preserve">: ОФЗ 26207 погашается уже 03.02.2027, после чего средства нужно реинвестировать в бумагу со сроком около 2,7 года. Дюрация меняется и просто с течением времени.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Альтернатива без ребалансировки — подобрать одну ОФЗ с дюрацией ≈ 3 года (выпуски с погашением в 2029–2030 гг.).</w:t>
      </w:r>
    </w:p>
    <w:p>
      <w:pPr>
        <w:pStyle w:val="Heading1"/>
      </w:pPr>
      <w:r>
        <w:t xml:space="preserve">11. Пример 9. Хеджирование по DV01</w:t>
      </w:r>
    </w:p>
    <w:p>
      <w:pPr>
        <w:spacing w:after="120"/>
      </w:pPr>
      <w:r>
        <w:t xml:space="preserve">Позиция: 10 млн ₽ в ОФЗ 26248 (11 809 шт.). Риск позиции: 11 809 × 0,4276 ₽ = </w:t>
      </w:r>
      <w:r>
        <w:rPr>
          <w:b/>
          <w:bCs/>
        </w:rPr>
        <w:t xml:space="preserve">5 049 ₽ на 1 б.п.</w:t>
      </w:r>
      <w:r>
        <w:t xml:space="preserve"> Перед заседанием ЦБ управляющий хочет временно снять процентный риск, открыв короткую позицию в более ликвидной ОФЗ 26244 (через РЕПО) или эквивалентный объём фьючерсов на ОФЗ / индекс RGBI.</w:t>
      </w:r>
    </w:p>
    <w:p>
      <w:pPr>
        <w:keepNext/>
        <w:spacing w:after="160" w:before="80"/>
        <w:jc w:val="center"/>
      </w:pPr>
      <w:r>
        <w:drawing>
          <wp:inline distT="0" distB="0" distL="0" distR="0">
            <wp:extent cx="3200400" cy="485775"/>
            <wp:effectExtent t="0" r="0" b="0" l="0"/>
            <wp:docPr id="1" name="hedge" descr="Формула" title="h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Объём хеджа — около 11,8 млн ₽: больше самой позиции, потому что у ОФЗ 26244 дюрация ниже. Если бы хедж подбирался «рубль в рубль» (10 млн ₽), позиция осталась бы недохеджированной примерно на 15%.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8A33D" w:sz="4"/>
              <w:left w:val="single" w:color="E8A33D" w:sz="24"/>
              <w:bottom w:val="single" w:color="E8A33D" w:sz="4"/>
              <w:right w:val="single" w:color="E8A33D" w:sz="4"/>
            </w:tcBorders>
            <w:shd w:fill="FFF4E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Важно. </w:t>
            </w:r>
            <w:r>
              <w:t xml:space="preserve">хедж по DV01 защищает только от параллельного сдвига. Если 7-летние доходности (26244) и 14-летние (26248) изменятся по-разному, останется кривой (базисный) риск. Для фьючерса на ОФЗ дополнительно учитывается конверсионный коэффициент и дюрация самой дешёвой к поставке бумаги.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12. Какую меру использовать: сводная таблица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2891"/>
        <w:gridCol w:w="3085"/>
      </w:tblGrid>
      <w:tr>
        <w:trPr>
          <w:tblHeader/>
        </w:trPr>
        <w:tc>
          <w:tcPr>
            <w:tcW w:type="dxa" w:w="366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Задача на российском рынке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Мера</w:t>
            </w:r>
          </w:p>
        </w:tc>
        <w:tc>
          <w:tcPr>
            <w:tcW w:type="dxa" w:w="308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Ограничения</w:t>
            </w:r>
          </w:p>
        </w:tc>
      </w:tr>
      <w:tr>
        <w:tc>
          <w:tcPr>
            <w:tcW w:type="dxa" w:w="366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Сравнить «длину» ОФЗ, прочитать биржевые данные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Дюрация Маколея (дни / 365)</w:t>
            </w:r>
          </w:p>
        </w:tc>
        <w:tc>
          <w:tcPr>
            <w:tcW w:type="dxa" w:w="308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 даёт прямой оценки изменения цены</w:t>
            </w:r>
          </w:p>
        </w:tc>
      </w:tr>
      <w:tr>
        <w:tc>
          <w:tcPr>
            <w:tcW w:type="dxa" w:w="366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Оценить падение ОФЗ-ПД при росте доходности на 50–100 б.п.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Модифицированная дюрация</w:t>
            </w:r>
          </w:p>
        </w:tc>
        <w:tc>
          <w:tcPr>
            <w:tcW w:type="dxa" w:w="308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Только фиксированные потоки и малые сдвиги</w:t>
            </w:r>
          </w:p>
        </w:tc>
      </w:tr>
      <w:tr>
        <w:tc>
          <w:tcPr>
            <w:tcW w:type="dxa" w:w="366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Шок на 200–300 б.п. вокруг решения по ключевой ставке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Дюрация + выпуклость</w:t>
            </w:r>
          </w:p>
        </w:tc>
        <w:tc>
          <w:tcPr>
            <w:tcW w:type="dxa" w:w="308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Параллельный сдвиг</w:t>
            </w:r>
          </w:p>
        </w:tc>
      </w:tr>
      <w:tr>
        <w:tc>
          <w:tcPr>
            <w:tcW w:type="dxa" w:w="366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Лимиты риска, объём хеджа, агрегирование портфеля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DV01 в рублях</w:t>
            </w:r>
          </w:p>
        </w:tc>
        <w:tc>
          <w:tcPr>
            <w:tcW w:type="dxa" w:w="308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Параллельный сдвиг; базисный риск</w:t>
            </w:r>
          </w:p>
        </w:tc>
      </w:tr>
      <w:tr>
        <w:tc>
          <w:tcPr>
            <w:tcW w:type="dxa" w:w="366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Корпоративные облигации с коллом, ипотечные облигации ДОМ.РФ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Эффективная дюрация и выпуклость</w:t>
            </w:r>
          </w:p>
        </w:tc>
        <w:tc>
          <w:tcPr>
            <w:tcW w:type="dxa" w:w="308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Требуется модель исполнения опциона / досрочных погашений</w:t>
            </w:r>
          </w:p>
        </w:tc>
      </w:tr>
      <w:tr>
        <w:tc>
          <w:tcPr>
            <w:tcW w:type="dxa" w:w="366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Облигации с пут-офертой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Дюрация к оферте (биржевой стандарт) или эффективная</w:t>
            </w:r>
          </w:p>
        </w:tc>
        <w:tc>
          <w:tcPr>
            <w:tcW w:type="dxa" w:w="308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Предполагает предъявление к оферте</w:t>
            </w:r>
          </w:p>
        </w:tc>
      </w:tr>
      <w:tr>
        <w:tc>
          <w:tcPr>
            <w:tcW w:type="dxa" w:w="366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ОФЗ-ПК, корпоративные флоатеры на КС/RUONIA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Процентная дюрация ≈ до пересмотра купона + спред-дюрация</w:t>
            </w:r>
          </w:p>
        </w:tc>
        <w:tc>
          <w:tcPr>
            <w:tcW w:type="dxa" w:w="308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Биржевая дюрация не показывает спредовый риск</w:t>
            </w:r>
          </w:p>
        </w:tc>
      </w:tr>
      <w:tr>
        <w:tc>
          <w:tcPr>
            <w:tcW w:type="dxa" w:w="366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ОФЗ-ИН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Дюрация по реальной доходности</w:t>
            </w:r>
          </w:p>
        </w:tc>
        <w:tc>
          <w:tcPr>
            <w:tcW w:type="dxa" w:w="308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Отдельно — чувствительность к инфляционным ожиданиям</w:t>
            </w:r>
          </w:p>
        </w:tc>
      </w:tr>
      <w:tr>
        <w:tc>
          <w:tcPr>
            <w:tcW w:type="dxa" w:w="366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Изменение наклона кривой ОФЗ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Дюрации ключевых ставок (KRD)</w:t>
            </w:r>
          </w:p>
        </w:tc>
        <w:tc>
          <w:tcPr>
            <w:tcW w:type="dxa" w:w="308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Нужна кривая бескупонной доходности (КБД Мосбиржи)</w:t>
            </w:r>
          </w:p>
        </w:tc>
      </w:tr>
      <w:tr>
        <w:tc>
          <w:tcPr>
            <w:tcW w:type="dxa" w:w="3662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Накопление суммы к дате</w:t>
            </w:r>
          </w:p>
        </w:tc>
        <w:tc>
          <w:tcPr>
            <w:tcW w:type="dxa" w:w="2891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Иммунизация по D_Mac</w:t>
            </w:r>
          </w:p>
        </w:tc>
        <w:tc>
          <w:tcPr>
            <w:tcW w:type="dxa" w:w="3085"/>
            <w:tcBorders>
              <w:top w:val="single" w:color="B7C7DB" w:sz="4"/>
              <w:left w:val="single" w:color="B7C7DB" w:sz="4"/>
              <w:bottom w:val="single" w:color="B7C7DB" w:sz="4"/>
              <w:right w:val="single" w:color="B7C7DB" w:sz="4"/>
            </w:tcBorders>
            <w:shd w:fill="F5F8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Регулярная ребалансировка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Оговорки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Доходности ОФЗ — ориентиры рынка на середину октября 2026 г. по данным открытых источников (котировки брокеров и агрегаторов на 6–18.10.2026); цены выведены из этих доходностей. Для сделок используйте актуальные данные Московской биржи.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Корпоративная облигация с колл-опционом и 11-летний флоатер в примерах 5–6 — условные, с типичными для рынка параметрами.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Расчёты не учитывают налогообложение купонного дохода (НДФЛ) и комиссии, которые влияют на доходность инвестора, но не на определение дюрации.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Дюрация облигаций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eda97394ae39ccb7c47dd72b07e2d607d478a67.png"/><Relationship Id="rId9" Type="http://schemas.openxmlformats.org/officeDocument/2006/relationships/image" Target="media/8f9c2bce38b25f35ef492888df9592c61bbeb1c4.png"/><Relationship Id="rId10" Type="http://schemas.openxmlformats.org/officeDocument/2006/relationships/image" Target="media/ee8b44761763cde3992bfabf84d02ba1f78917b5.png"/><Relationship Id="rId11" Type="http://schemas.openxmlformats.org/officeDocument/2006/relationships/image" Target="media/910ea448ee8c14c717fb528c152bffc51a18d47a.png"/><Relationship Id="rId12" Type="http://schemas.openxmlformats.org/officeDocument/2006/relationships/image" Target="media/775e3d826ea2969f23f2ee50d4ba2c30d2ac3f7c.png"/><Relationship Id="rId13" Type="http://schemas.openxmlformats.org/officeDocument/2006/relationships/image" Target="media/fb9e5fb895f740c9418a994c00b8cdf710e141e6.png"/><Relationship Id="rId14" Type="http://schemas.openxmlformats.org/officeDocument/2006/relationships/image" Target="media/ba947902aa3a0f613568a7e776ebde99d669fbcf.png"/><Relationship Id="rId15" Type="http://schemas.openxmlformats.org/officeDocument/2006/relationships/image" Target="media/049bb12492341ccf5e1fc6d212411f17b403743e.png"/><Relationship Id="rId16" Type="http://schemas.openxmlformats.org/officeDocument/2006/relationships/image" Target="media/d2c8aae0a233d6c2d965b3d01a7aa7df78a5966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Дюрация облигаций: формулы и примеры на российском рынке</dc:title>
  <dc:creator>Claude</dc:creator>
  <cp:lastModifiedBy>Un-named</cp:lastModifiedBy>
  <cp:revision>1</cp:revision>
  <dcterms:created xsi:type="dcterms:W3CDTF">2026-10-20T18:02:08.982Z</dcterms:created>
  <dcterms:modified xsi:type="dcterms:W3CDTF">2026-10-20T18:02:08.983Z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