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525D"/>
          <w:sz w:val="44"/>
        </w:rPr>
        <w:t>AuthSignal Unified Dataset &amp; Source Inventory</w:t>
      </w:r>
    </w:p>
    <w:p>
      <w:pPr>
        <w:jc w:val="center"/>
      </w:pPr>
      <w:r>
        <w:rPr>
          <w:color w:val="505050"/>
          <w:sz w:val="24"/>
        </w:rPr>
        <w:t>Merged, de-duplicated source inventory for Prior Authorization, Denial Risk Prediction, Denial Reason Classification, and Appeal Drafting</w:t>
      </w:r>
    </w:p>
    <w:p/>
    <w:p>
      <w:pPr>
        <w:jc w:val="center"/>
      </w:pPr>
      <w:r>
        <w:rPr>
          <w:b/>
        </w:rPr>
        <w:t xml:space="preserve">Built from: </w:t>
      </w:r>
      <w:r>
        <w:t>Data Inventory for PriorPilot + priorpilot_dataset_sources_verified</w:t>
      </w:r>
    </w:p>
    <w:p>
      <w:pPr>
        <w:jc w:val="center"/>
      </w:pPr>
      <w:r>
        <w:rPr>
          <w:b/>
        </w:rPr>
        <w:t xml:space="preserve">Prepared for: </w:t>
      </w:r>
      <w:r>
        <w:t>AuthSignal AI Course Project</w:t>
      </w:r>
    </w:p>
    <w:p>
      <w:pPr>
        <w:jc w:val="center"/>
      </w:pPr>
      <w:r>
        <w:rPr>
          <w:b/>
        </w:rPr>
        <w:t xml:space="preserve">Updated: </w:t>
      </w:r>
      <w:r>
        <w:t>25 April 2026</w:t>
      </w:r>
    </w:p>
    <w:p>
      <w:r>
        <w:br w:type="page"/>
      </w:r>
    </w:p>
    <w:p>
      <w:pPr>
        <w:pStyle w:val="Heading1"/>
      </w:pPr>
      <w:r>
        <w:t>What is in this file</w:t>
      </w:r>
    </w:p>
    <w:tbl>
      <w:tblPr>
        <w:tblW w:type="auto" w:w="0"/>
        <w:jc w:val="center"/>
        <w:tblLook w:firstColumn="1" w:firstRow="1" w:lastColumn="0" w:lastRow="0" w:noHBand="0" w:noVBand="1" w:val="04A0"/>
      </w:tblPr>
      <w:tblGrid>
        <w:gridCol w:w="10512"/>
      </w:tblGrid>
      <w:tr>
        <w:tc>
          <w:tcPr>
            <w:tcW w:type="dxa" w:w="10512"/>
            <w:shd w:fill="EAF6F7"/>
            <w:vAlign w:val="center"/>
          </w:tcPr>
          <w:p>
            <w:pPr>
              <w:spacing w:after="0" w:before="0"/>
            </w:pPr>
            <w:r/>
            <w:r>
              <w:rPr>
                <w:rFonts w:ascii="Aptos" w:hAnsi="Aptos"/>
                <w:b w:val="0"/>
                <w:sz w:val="19"/>
              </w:rPr>
              <w:t>This unified document combines the two uploaded inventory files into one clean structure. Duplicate sources were merged under a single entry. Unique datasets, policy portals, code systems, templates, APIs, tooling guidance, evaluation ideas, access notes, and synthetic-labeling strategy were retained because they are useful for AuthSignal.</w:t>
            </w:r>
          </w:p>
        </w:tc>
      </w:tr>
    </w:tbl>
    <w:p/>
    <w:p>
      <w:pPr>
        <w:pStyle w:val="Heading2"/>
      </w:pPr>
      <w:r>
        <w:t>Fastest practical build stack</w:t>
      </w:r>
    </w:p>
    <w:p>
      <w:pPr>
        <w:pStyle w:val="ListBullet"/>
        <w:spacing w:after="20"/>
      </w:pPr>
      <w:r>
        <w:t>Synthea + Synthea sample data for safe synthetic patient records.</w:t>
      </w:r>
    </w:p>
    <w:p>
      <w:pPr>
        <w:pStyle w:val="ListBullet"/>
        <w:spacing w:after="20"/>
      </w:pPr>
      <w:r>
        <w:t>CMS DE-SynPUF for synthetic claims/PDE-style feature engineering.</w:t>
      </w:r>
    </w:p>
    <w:p>
      <w:pPr>
        <w:pStyle w:val="ListBullet"/>
        <w:spacing w:after="20"/>
      </w:pPr>
      <w:r>
        <w:t>CMS MCD Downloads + CMS Coverage API for policy retrieval and coverage-rule reasoning.</w:t>
      </w:r>
    </w:p>
    <w:p>
      <w:pPr>
        <w:pStyle w:val="ListBullet"/>
        <w:spacing w:after="20"/>
      </w:pPr>
      <w:r>
        <w:t>CMS Part D Formulary / Pharmacy Network / Pricing files for drug prior-auth flags, step therapy, quantity limits, and NDC-level coverage logic.</w:t>
      </w:r>
    </w:p>
    <w:p>
      <w:pPr>
        <w:pStyle w:val="ListBullet"/>
        <w:spacing w:after="20"/>
      </w:pPr>
      <w:r>
        <w:t>CMS denial notice templates + appeal examples for denial reason extraction and appeal-letter structure.</w:t>
      </w:r>
    </w:p>
    <w:p>
      <w:pPr>
        <w:pStyle w:val="ListBullet"/>
        <w:spacing w:after="20"/>
      </w:pPr>
      <w:r>
        <w:t>ICD-10 + HCPCS + NDC + RxNorm + NPPES as coding and reference layers.</w:t>
      </w:r>
    </w:p>
    <w:p>
      <w:pPr>
        <w:pStyle w:val="ListBullet"/>
        <w:spacing w:after="20"/>
      </w:pPr>
      <w:r>
        <w:t>MIMIC-IV-Note, MIMIC-III, eICU, i2b2/n2c2, ShARe/CLEF, and MADE only when credentialed access or benchmark evaluation is needed.</w:t>
      </w:r>
    </w:p>
    <w:p>
      <w:pPr>
        <w:pStyle w:val="ListBullet"/>
        <w:spacing w:after="20"/>
      </w:pPr>
      <w:r>
        <w:t>ResDAC Part D / encounter files only for serious research-grade claims and formulary linkage.</w:t>
      </w:r>
    </w:p>
    <w:p>
      <w:pPr>
        <w:pStyle w:val="Heading2"/>
      </w:pPr>
      <w:r>
        <w:t>Section map</w:t>
      </w:r>
    </w:p>
    <w:tbl>
      <w:tblPr>
        <w:tblStyle w:val="TableGrid"/>
        <w:tblW w:type="auto" w:w="0"/>
        <w:tblLook w:firstColumn="1" w:firstRow="1" w:lastColumn="0" w:lastRow="0" w:noHBand="0" w:noVBand="1" w:val="04A0"/>
      </w:tblPr>
      <w:tblGrid>
        <w:gridCol w:w="3504"/>
        <w:gridCol w:w="3504"/>
        <w:gridCol w:w="3504"/>
      </w:tblGrid>
      <w:tr>
        <w:tc>
          <w:tcPr>
            <w:tcW w:type="dxa" w:w="3504"/>
            <w:shd w:fill="0D525D"/>
          </w:tcPr>
          <w:p>
            <w:pPr>
              <w:spacing w:after="0" w:before="0"/>
            </w:pPr>
            <w:r/>
            <w:r>
              <w:rPr>
                <w:rFonts w:ascii="Aptos" w:hAnsi="Aptos"/>
                <w:b/>
                <w:color w:val="FFFFFF"/>
                <w:sz w:val="18"/>
              </w:rPr>
              <w:t>Section</w:t>
            </w:r>
          </w:p>
        </w:tc>
        <w:tc>
          <w:tcPr>
            <w:tcW w:type="dxa" w:w="3504"/>
            <w:shd w:fill="0D525D"/>
          </w:tcPr>
          <w:p>
            <w:pPr>
              <w:spacing w:after="0" w:before="0"/>
            </w:pPr>
            <w:r/>
            <w:r>
              <w:rPr>
                <w:rFonts w:ascii="Aptos" w:hAnsi="Aptos"/>
                <w:b/>
                <w:color w:val="FFFFFF"/>
                <w:sz w:val="18"/>
              </w:rPr>
              <w:t>Count</w:t>
            </w:r>
          </w:p>
        </w:tc>
        <w:tc>
          <w:tcPr>
            <w:tcW w:type="dxa" w:w="3504"/>
            <w:shd w:fill="0D525D"/>
          </w:tcPr>
          <w:p>
            <w:pPr>
              <w:spacing w:after="0" w:before="0"/>
            </w:pPr>
            <w:r/>
            <w:r>
              <w:rPr>
                <w:rFonts w:ascii="Aptos" w:hAnsi="Aptos"/>
                <w:b/>
                <w:color w:val="FFFFFF"/>
                <w:sz w:val="18"/>
              </w:rPr>
              <w:t>Typical use</w:t>
            </w:r>
          </w:p>
        </w:tc>
      </w:tr>
      <w:tr>
        <w:tc>
          <w:tcPr>
            <w:tcW w:type="dxa" w:w="3504"/>
          </w:tcPr>
          <w:p>
            <w:pPr>
              <w:spacing w:after="0" w:before="0"/>
            </w:pPr>
            <w:r/>
            <w:r>
              <w:rPr>
                <w:rFonts w:ascii="Aptos" w:hAnsi="Aptos"/>
                <w:b w:val="0"/>
                <w:sz w:val="18"/>
              </w:rPr>
              <w:t>Open / immediately usable</w:t>
            </w:r>
          </w:p>
        </w:tc>
        <w:tc>
          <w:tcPr>
            <w:tcW w:type="dxa" w:w="3504"/>
          </w:tcPr>
          <w:p>
            <w:pPr>
              <w:spacing w:after="0" w:before="0"/>
            </w:pPr>
            <w:r/>
            <w:r>
              <w:rPr>
                <w:rFonts w:ascii="Aptos" w:hAnsi="Aptos"/>
                <w:b w:val="0"/>
                <w:sz w:val="18"/>
              </w:rPr>
              <w:t>21</w:t>
            </w:r>
          </w:p>
        </w:tc>
        <w:tc>
          <w:tcPr>
            <w:tcW w:type="dxa" w:w="3504"/>
          </w:tcPr>
          <w:p>
            <w:pPr>
              <w:spacing w:after="0" w:before="0"/>
            </w:pPr>
            <w:r/>
            <w:r>
              <w:rPr>
                <w:rFonts w:ascii="Aptos" w:hAnsi="Aptos"/>
                <w:b w:val="0"/>
                <w:sz w:val="18"/>
              </w:rPr>
              <w:t>Start MVP, synthetic data, code systems, templates, and simple appeal examples</w:t>
            </w:r>
          </w:p>
        </w:tc>
      </w:tr>
      <w:tr>
        <w:tc>
          <w:tcPr>
            <w:tcW w:type="dxa" w:w="3504"/>
          </w:tcPr>
          <w:p>
            <w:pPr>
              <w:spacing w:after="0" w:before="0"/>
            </w:pPr>
            <w:r/>
            <w:r>
              <w:rPr>
                <w:rFonts w:ascii="Aptos" w:hAnsi="Aptos"/>
                <w:b w:val="0"/>
                <w:sz w:val="18"/>
              </w:rPr>
              <w:t>Restricted clinical / benchmark records</w:t>
            </w:r>
          </w:p>
        </w:tc>
        <w:tc>
          <w:tcPr>
            <w:tcW w:type="dxa" w:w="3504"/>
          </w:tcPr>
          <w:p>
            <w:pPr>
              <w:spacing w:after="0" w:before="0"/>
            </w:pPr>
            <w:r/>
            <w:r>
              <w:rPr>
                <w:rFonts w:ascii="Aptos" w:hAnsi="Aptos"/>
                <w:b w:val="0"/>
                <w:sz w:val="18"/>
              </w:rPr>
              <w:t>10</w:t>
            </w:r>
          </w:p>
        </w:tc>
        <w:tc>
          <w:tcPr>
            <w:tcW w:type="dxa" w:w="3504"/>
          </w:tcPr>
          <w:p>
            <w:pPr>
              <w:spacing w:after="0" w:before="0"/>
            </w:pPr>
            <w:r/>
            <w:r>
              <w:rPr>
                <w:rFonts w:ascii="Aptos" w:hAnsi="Aptos"/>
                <w:b w:val="0"/>
                <w:sz w:val="18"/>
              </w:rPr>
              <w:t>Real notes, clinical grounding, NLP validation, and benchmark evaluation</w:t>
            </w:r>
          </w:p>
        </w:tc>
      </w:tr>
      <w:tr>
        <w:tc>
          <w:tcPr>
            <w:tcW w:type="dxa" w:w="3504"/>
          </w:tcPr>
          <w:p>
            <w:pPr>
              <w:spacing w:after="0" w:before="0"/>
            </w:pPr>
            <w:r/>
            <w:r>
              <w:rPr>
                <w:rFonts w:ascii="Aptos" w:hAnsi="Aptos"/>
                <w:b w:val="0"/>
                <w:sz w:val="18"/>
              </w:rPr>
              <w:t>Public policy / coverage / plan sources</w:t>
            </w:r>
          </w:p>
        </w:tc>
        <w:tc>
          <w:tcPr>
            <w:tcW w:type="dxa" w:w="3504"/>
          </w:tcPr>
          <w:p>
            <w:pPr>
              <w:spacing w:after="0" w:before="0"/>
            </w:pPr>
            <w:r/>
            <w:r>
              <w:rPr>
                <w:rFonts w:ascii="Aptos" w:hAnsi="Aptos"/>
                <w:b w:val="0"/>
                <w:sz w:val="18"/>
              </w:rPr>
              <w:t>14</w:t>
            </w:r>
          </w:p>
        </w:tc>
        <w:tc>
          <w:tcPr>
            <w:tcW w:type="dxa" w:w="3504"/>
          </w:tcPr>
          <w:p>
            <w:pPr>
              <w:spacing w:after="0" w:before="0"/>
            </w:pPr>
            <w:r/>
            <w:r>
              <w:rPr>
                <w:rFonts w:ascii="Aptos" w:hAnsi="Aptos"/>
                <w:b w:val="0"/>
                <w:sz w:val="18"/>
              </w:rPr>
              <w:t>Policy retrieval, coverage rules, plan rules, PA standards, and regulation context</w:t>
            </w:r>
          </w:p>
        </w:tc>
      </w:tr>
      <w:tr>
        <w:tc>
          <w:tcPr>
            <w:tcW w:type="dxa" w:w="3504"/>
          </w:tcPr>
          <w:p>
            <w:pPr>
              <w:spacing w:after="0" w:before="0"/>
            </w:pPr>
            <w:r/>
            <w:r>
              <w:rPr>
                <w:rFonts w:ascii="Aptos" w:hAnsi="Aptos"/>
                <w:b w:val="0"/>
                <w:sz w:val="18"/>
              </w:rPr>
              <w:t>Restricted claims / encounter / plan data</w:t>
            </w:r>
          </w:p>
        </w:tc>
        <w:tc>
          <w:tcPr>
            <w:tcW w:type="dxa" w:w="3504"/>
          </w:tcPr>
          <w:p>
            <w:pPr>
              <w:spacing w:after="0" w:before="0"/>
            </w:pPr>
            <w:r/>
            <w:r>
              <w:rPr>
                <w:rFonts w:ascii="Aptos" w:hAnsi="Aptos"/>
                <w:b w:val="0"/>
                <w:sz w:val="18"/>
              </w:rPr>
              <w:t>10</w:t>
            </w:r>
          </w:p>
        </w:tc>
        <w:tc>
          <w:tcPr>
            <w:tcW w:type="dxa" w:w="3504"/>
          </w:tcPr>
          <w:p>
            <w:pPr>
              <w:spacing w:after="0" w:before="0"/>
            </w:pPr>
            <w:r/>
            <w:r>
              <w:rPr>
                <w:rFonts w:ascii="Aptos" w:hAnsi="Aptos"/>
                <w:b w:val="0"/>
                <w:sz w:val="18"/>
              </w:rPr>
              <w:t>Enterprise-grade claims, formulary, MA encounter, and Part D research data</w:t>
            </w:r>
          </w:p>
        </w:tc>
      </w:tr>
      <w:tr>
        <w:tc>
          <w:tcPr>
            <w:tcW w:type="dxa" w:w="3504"/>
          </w:tcPr>
          <w:p>
            <w:pPr>
              <w:spacing w:after="0" w:before="0"/>
            </w:pPr>
            <w:r/>
            <w:r>
              <w:rPr>
                <w:rFonts w:ascii="Aptos" w:hAnsi="Aptos"/>
                <w:b w:val="0"/>
                <w:sz w:val="18"/>
              </w:rPr>
              <w:t>Commercial payer policy libraries</w:t>
            </w:r>
          </w:p>
        </w:tc>
        <w:tc>
          <w:tcPr>
            <w:tcW w:type="dxa" w:w="3504"/>
          </w:tcPr>
          <w:p>
            <w:pPr>
              <w:spacing w:after="0" w:before="0"/>
            </w:pPr>
            <w:r/>
            <w:r>
              <w:rPr>
                <w:rFonts w:ascii="Aptos" w:hAnsi="Aptos"/>
                <w:b w:val="0"/>
                <w:sz w:val="18"/>
              </w:rPr>
              <w:t>8</w:t>
            </w:r>
          </w:p>
        </w:tc>
        <w:tc>
          <w:tcPr>
            <w:tcW w:type="dxa" w:w="3504"/>
          </w:tcPr>
          <w:p>
            <w:pPr>
              <w:spacing w:after="0" w:before="0"/>
            </w:pPr>
            <w:r/>
            <w:r>
              <w:rPr>
                <w:rFonts w:ascii="Aptos" w:hAnsi="Aptos"/>
                <w:b w:val="0"/>
                <w:sz w:val="18"/>
              </w:rPr>
              <w:t>Commercial policy retrieval and payer-specific criteria diversity</w:t>
            </w:r>
          </w:p>
        </w:tc>
      </w:tr>
      <w:tr>
        <w:tc>
          <w:tcPr>
            <w:tcW w:type="dxa" w:w="3504"/>
          </w:tcPr>
          <w:p>
            <w:pPr>
              <w:spacing w:after="0" w:before="0"/>
            </w:pPr>
            <w:r/>
            <w:r>
              <w:rPr>
                <w:rFonts w:ascii="Aptos" w:hAnsi="Aptos"/>
                <w:b w:val="0"/>
                <w:sz w:val="18"/>
              </w:rPr>
              <w:t>Proprietary / licensing constraints</w:t>
            </w:r>
          </w:p>
        </w:tc>
        <w:tc>
          <w:tcPr>
            <w:tcW w:type="dxa" w:w="3504"/>
          </w:tcPr>
          <w:p>
            <w:pPr>
              <w:spacing w:after="0" w:before="0"/>
            </w:pPr>
            <w:r/>
            <w:r>
              <w:rPr>
                <w:rFonts w:ascii="Aptos" w:hAnsi="Aptos"/>
                <w:b w:val="0"/>
                <w:sz w:val="18"/>
              </w:rPr>
              <w:t>1</w:t>
            </w:r>
          </w:p>
        </w:tc>
        <w:tc>
          <w:tcPr>
            <w:tcW w:type="dxa" w:w="3504"/>
          </w:tcPr>
          <w:p>
            <w:pPr>
              <w:spacing w:after="0" w:before="0"/>
            </w:pPr>
            <w:r/>
            <w:r>
              <w:rPr>
                <w:rFonts w:ascii="Aptos" w:hAnsi="Aptos"/>
                <w:b w:val="0"/>
                <w:sz w:val="18"/>
              </w:rPr>
              <w:t>Important CPT licensing limitation</w:t>
            </w:r>
          </w:p>
        </w:tc>
      </w:tr>
      <w:tr>
        <w:tc>
          <w:tcPr>
            <w:tcW w:type="dxa" w:w="3504"/>
          </w:tcPr>
          <w:p>
            <w:pPr>
              <w:spacing w:after="0" w:before="0"/>
            </w:pPr>
            <w:r/>
            <w:r>
              <w:rPr>
                <w:rFonts w:ascii="Aptos" w:hAnsi="Aptos"/>
                <w:b w:val="0"/>
                <w:sz w:val="18"/>
              </w:rPr>
              <w:t>Methodology and build guidance</w:t>
            </w:r>
          </w:p>
        </w:tc>
        <w:tc>
          <w:tcPr>
            <w:tcW w:type="dxa" w:w="3504"/>
          </w:tcPr>
          <w:p>
            <w:pPr>
              <w:spacing w:after="0" w:before="0"/>
            </w:pPr>
            <w:r/>
            <w:r>
              <w:rPr>
                <w:rFonts w:ascii="Aptos" w:hAnsi="Aptos"/>
                <w:b w:val="0"/>
                <w:sz w:val="18"/>
              </w:rPr>
              <w:t>N/A</w:t>
            </w:r>
          </w:p>
        </w:tc>
        <w:tc>
          <w:tcPr>
            <w:tcW w:type="dxa" w:w="3504"/>
          </w:tcPr>
          <w:p>
            <w:pPr>
              <w:spacing w:after="0" w:before="0"/>
            </w:pPr>
            <w:r/>
            <w:r>
              <w:rPr>
                <w:rFonts w:ascii="Aptos" w:hAnsi="Aptos"/>
                <w:b w:val="0"/>
                <w:sz w:val="18"/>
              </w:rPr>
              <w:t>Synthetic labels, heuristics, evaluation, snippets, and acquisition timeline</w:t>
            </w:r>
          </w:p>
        </w:tc>
      </w:tr>
    </w:tbl>
    <w:p/>
    <w:p>
      <w:pPr>
        <w:pStyle w:val="Heading1"/>
      </w:pPr>
      <w:r>
        <w:t>Executive summary</w:t>
      </w:r>
    </w:p>
    <w:p>
      <w:r>
        <w:t>AuthSignal's data bottleneck is not clinical NLP in general. The real problem is the intersection of payer coverage logic, structured coding systems, and realistic case packages. A case package usually needs clinical narrative, diagnosis codes, procedure or drug request details, supporting documents, and a decision outcome.</w:t>
      </w:r>
    </w:p>
    <w:p>
      <w:r>
        <w:t>Public datasets rarely contain true prior-authorization decision labels. The best academic approach is to combine synthetic claims and EHR data, public payer policy corpora, standardized denial notice templates, and appeal examples. This lets AuthSignal build auditable synthetic labels while validating extraction components on established clinical NLP benchmarks.</w:t>
      </w:r>
    </w:p>
    <w:p>
      <w:r>
        <w:t>The strongest low-risk sources are CMS DE-SynPUF, CMS MCD, CMS Part D formulary/pricing files, Blue Button 2.0 sandbox, Synthea, and official code/reference systems such as ICD-10, HCPCS, NDC, RxNorm, and NPPES.</w:t>
      </w:r>
    </w:p>
    <w:p>
      <w:r>
        <w:t>The strongest research-grade sources are MIMIC-IV-Note, MIMIC-III, eICU, i2b2/n2c2, ShARe/CLEF, MADE, and ResDAC files. These are powerful but require credentialing, DUAs, or CMS approval.</w:t>
      </w:r>
    </w:p>
    <w:p>
      <w:r>
        <w:t>For a realistic healthcare technology story, AuthSignal should also reference CMS interoperability/prior-authorization rulemaking and HL7 Da Vinci PAS/DTR implementation guides because these describe where electronic prior authorization workflows are moving.</w:t>
      </w:r>
    </w:p>
    <w:p>
      <w:pPr>
        <w:pStyle w:val="Heading1"/>
      </w:pPr>
      <w:r>
        <w:t>Project modules and the data each module needs</w:t>
      </w:r>
    </w:p>
    <w:p>
      <w:r>
        <w:rPr>
          <w:b/>
        </w:rPr>
        <w:t>Ingestion.</w:t>
      </w:r>
      <w:r>
        <w:t xml:space="preserve"> Needs payer policy PDFs/HTML, formularies, standardized denial notices, prior-auth forms, structured claims files, CSV records, OMOP-style claims, and FHIR ExplanationOfBenefit resources.</w:t>
      </w:r>
    </w:p>
    <w:p>
      <w:r>
        <w:rPr>
          <w:b/>
        </w:rPr>
        <w:t>Information extraction / document understanding.</w:t>
      </w:r>
      <w:r>
        <w:t xml:space="preserve"> Needs clinical entities such as diagnosis, medication, procedure, labs, symptoms, and history; also needs denial/policy section extraction for criteria, contraindications, and documentation requirements.</w:t>
      </w:r>
    </w:p>
    <w:p>
      <w:r>
        <w:rPr>
          <w:b/>
        </w:rPr>
        <w:t>Retrieval / policy reasoning.</w:t>
      </w:r>
      <w:r>
        <w:t xml:space="preserve"> Needs a consistently indexed policy corpus. Medicare MCD is the strongest public backbone because it contains NCDs, LCDs, Articles, and code-linked coverage material.</w:t>
      </w:r>
    </w:p>
    <w:p>
      <w:r>
        <w:rPr>
          <w:b/>
        </w:rPr>
        <w:t>Denial prediction / classifier.</w:t>
      </w:r>
      <w:r>
        <w:t xml:space="preserve"> Needs labels. Because true public PA labels are scarce, practical labels can be produced from synthetic policy mismatch rules, missing documentation logic, step therapy not met, quantity limit exceeded, or appeal outcome text where available.</w:t>
      </w:r>
    </w:p>
    <w:p>
      <w:r>
        <w:rPr>
          <w:b/>
        </w:rPr>
        <w:t>Generation / appeal drafting.</w:t>
      </w:r>
      <w:r>
        <w:t xml:space="preserve"> Needs templates, appeal examples, structured patient context, policy citations, denial reason text, and source-grounded evidence snippets.</w:t>
      </w:r>
    </w:p>
    <w:p>
      <w:r>
        <w:rPr>
          <w:b/>
        </w:rPr>
        <w:t>Explainability.</w:t>
      </w:r>
      <w:r>
        <w:t xml:space="preserve"> Needs feature importance for structured models, top terms for text classifiers, retrieved policy snippets, missing evidence flags, and reason-code explanations.</w:t>
      </w:r>
    </w:p>
    <w:p>
      <w:r>
        <w:br w:type="page"/>
      </w:r>
    </w:p>
    <w:p>
      <w:pPr>
        <w:pStyle w:val="Heading1"/>
      </w:pPr>
      <w:r>
        <w:t>Open / immediately usable</w:t>
      </w:r>
    </w:p>
    <w:p>
      <w:r>
        <w:t>These are the fastest sources for a course-grade AuthSignal MVP because they avoid PHI, are public, or are usable as official references.</w:t>
      </w:r>
    </w:p>
    <w:p>
      <w:pPr>
        <w:pStyle w:val="EntryTitle"/>
        <w:keepNext/>
      </w:pPr>
      <w:r>
        <w:t>1. Synthea official sample patient downloads</w:t>
      </w:r>
    </w:p>
    <w:p>
      <w:pPr>
        <w:spacing w:after="20"/>
      </w:pPr>
      <w:r>
        <w:rPr>
          <w:b/>
        </w:rPr>
        <w:t xml:space="preserve">Type: </w:t>
      </w:r>
      <w:r>
        <w:t>Public synthetic EHR dataset / download portal</w:t>
      </w:r>
      <w:r>
        <w:t xml:space="preserve">   |   </w:t>
      </w:r>
      <w:r>
        <w:rPr>
          <w:b/>
        </w:rPr>
        <w:t xml:space="preserve">Priority: </w:t>
      </w:r>
      <w:r>
        <w:t>Core</w:t>
      </w:r>
    </w:p>
    <w:p>
      <w:pPr>
        <w:spacing w:after="40"/>
      </w:pPr>
      <w:r>
        <w:rPr>
          <w:b/>
        </w:rPr>
        <w:t xml:space="preserve">Links: </w:t>
      </w:r>
      <w:hyperlink r:id="rId9">
        <w:r>
          <w:rPr>
            <w:color w:val="0563C1"/>
            <w:u w:val="single"/>
          </w:rPr>
          <w:t>Link</w:t>
        </w:r>
      </w:hyperlink>
      <w:r>
        <w:t xml:space="preserve"> (https://synthetichealth.github.io/synthea/)</w:t>
      </w:r>
    </w:p>
    <w:p>
      <w:r>
        <w:rPr>
          <w:b/>
        </w:rPr>
        <w:t>Why it matters for AuthSignal:</w:t>
      </w:r>
      <w:r>
        <w:t xml:space="preserve"> Fastest way to get realistic synthetic patients in FHIR, C-CDA, CSV, and related formats for demos without PHI.</w:t>
      </w:r>
    </w:p>
    <w:p>
      <w:r>
        <w:rPr>
          <w:b/>
        </w:rPr>
        <w:t>Access notes:</w:t>
      </w:r>
      <w:r>
        <w:t xml:space="preserve"> Open; no login; downloadable sample files.</w:t>
      </w:r>
    </w:p>
    <w:p>
      <w:r>
        <w:rPr>
          <w:b/>
        </w:rPr>
        <w:t>Best module fit:</w:t>
      </w:r>
      <w:r>
        <w:t xml:space="preserve"> Synthetic case construction, FHIR demos, structured feature generation, document completeness experiments.</w:t>
      </w:r>
    </w:p>
    <w:p>
      <w:r>
        <w:rPr>
          <w:b/>
        </w:rPr>
        <w:t>Limitations / caution:</w:t>
      </w:r>
      <w:r>
        <w:t xml:space="preserve"> Synthetic data is not real patient data, so it is best for workflow prototyping and synthetic labels, not real-world clinical inference.</w:t>
      </w:r>
    </w:p>
    <w:p>
      <w:r>
        <w:rPr>
          <w:b/>
        </w:rPr>
        <w:t>Suggested preprocessing:</w:t>
      </w:r>
      <w:r>
        <w:t xml:space="preserve"> Convert generated patient records into the same schema used by the denial-risk model.</w:t>
      </w:r>
    </w:p>
    <w:p/>
    <w:p>
      <w:pPr>
        <w:pStyle w:val="EntryTitle"/>
        <w:keepNext/>
      </w:pPr>
      <w:r>
        <w:t>2. Synthea generator (GitHub)</w:t>
      </w:r>
    </w:p>
    <w:p>
      <w:pPr>
        <w:spacing w:after="20"/>
      </w:pPr>
      <w:r>
        <w:rPr>
          <w:b/>
        </w:rPr>
        <w:t xml:space="preserve">Type: </w:t>
      </w:r>
      <w:r>
        <w:t>Open-source synthetic patient generator</w:t>
      </w:r>
      <w:r>
        <w:t xml:space="preserve">   |   </w:t>
      </w:r>
      <w:r>
        <w:rPr>
          <w:b/>
        </w:rPr>
        <w:t xml:space="preserve">Priority: </w:t>
      </w:r>
      <w:r>
        <w:t>Core</w:t>
      </w:r>
    </w:p>
    <w:p>
      <w:pPr>
        <w:spacing w:after="40"/>
      </w:pPr>
      <w:r>
        <w:rPr>
          <w:b/>
        </w:rPr>
        <w:t xml:space="preserve">Links: </w:t>
      </w:r>
      <w:hyperlink r:id="rId10">
        <w:r>
          <w:rPr>
            <w:color w:val="0563C1"/>
            <w:u w:val="single"/>
          </w:rPr>
          <w:t>Link</w:t>
        </w:r>
      </w:hyperlink>
      <w:r>
        <w:t xml:space="preserve"> (https://github.com/synthetichealth/synthea)</w:t>
      </w:r>
    </w:p>
    <w:p>
      <w:r>
        <w:rPr>
          <w:b/>
        </w:rPr>
        <w:t>Why it matters for AuthSignal:</w:t>
      </w:r>
      <w:r>
        <w:t xml:space="preserve"> Lets the team generate custom synthetic populations and export records in FHIR, C-CDA, CSV, and CPCDS-style formats.</w:t>
      </w:r>
    </w:p>
    <w:p>
      <w:r>
        <w:rPr>
          <w:b/>
        </w:rPr>
        <w:t>Access notes:</w:t>
      </w:r>
      <w:r>
        <w:t xml:space="preserve"> Open source; requires local generation.</w:t>
      </w:r>
    </w:p>
    <w:p>
      <w:r>
        <w:rPr>
          <w:b/>
        </w:rPr>
        <w:t>Best module fit:</w:t>
      </w:r>
      <w:r>
        <w:t xml:space="preserve"> End-to-end synthetic case package generation, FHIR records, patient history simulation.</w:t>
      </w:r>
    </w:p>
    <w:p>
      <w:r>
        <w:rPr>
          <w:b/>
        </w:rPr>
        <w:t>Limitations / caution:</w:t>
      </w:r>
      <w:r>
        <w:t xml:space="preserve"> You must define target authorization scenarios yourself; Synthea alone does not create denial outcomes.</w:t>
      </w:r>
    </w:p>
    <w:p>
      <w:r>
        <w:rPr>
          <w:b/>
        </w:rPr>
        <w:t>Suggested preprocessing:</w:t>
      </w:r>
      <w:r>
        <w:t xml:space="preserve"> Generate populations, then attach policy-driven request labels.</w:t>
      </w:r>
    </w:p>
    <w:p/>
    <w:p>
      <w:pPr>
        <w:pStyle w:val="EntryTitle"/>
        <w:keepNext/>
      </w:pPr>
      <w:r>
        <w:t>3. Synthea sample-data repository</w:t>
      </w:r>
    </w:p>
    <w:p>
      <w:pPr>
        <w:spacing w:after="20"/>
      </w:pPr>
      <w:r>
        <w:rPr>
          <w:b/>
        </w:rPr>
        <w:t xml:space="preserve">Type: </w:t>
      </w:r>
      <w:r>
        <w:t>Public sample dataset repository</w:t>
      </w:r>
      <w:r>
        <w:t xml:space="preserve">   |   </w:t>
      </w:r>
      <w:r>
        <w:rPr>
          <w:b/>
        </w:rPr>
        <w:t xml:space="preserve">Priority: </w:t>
      </w:r>
      <w:r>
        <w:t>Core</w:t>
      </w:r>
    </w:p>
    <w:p>
      <w:pPr>
        <w:spacing w:after="40"/>
      </w:pPr>
      <w:r>
        <w:rPr>
          <w:b/>
        </w:rPr>
        <w:t xml:space="preserve">Links: </w:t>
      </w:r>
      <w:hyperlink r:id="rId11">
        <w:r>
          <w:rPr>
            <w:color w:val="0563C1"/>
            <w:u w:val="single"/>
          </w:rPr>
          <w:t>Link</w:t>
        </w:r>
      </w:hyperlink>
      <w:r>
        <w:t xml:space="preserve"> (https://github.com/synthetichealth/synthea-sample-data)</w:t>
      </w:r>
    </w:p>
    <w:p>
      <w:r>
        <w:rPr>
          <w:b/>
        </w:rPr>
        <w:t>Why it matters for AuthSignal:</w:t>
      </w:r>
      <w:r>
        <w:t xml:space="preserve"> Provides pre-generated Synthea sample records if you do not want to run the generator first.</w:t>
      </w:r>
    </w:p>
    <w:p>
      <w:r>
        <w:rPr>
          <w:b/>
        </w:rPr>
        <w:t>Access notes:</w:t>
      </w:r>
      <w:r>
        <w:t xml:space="preserve"> Open on GitHub.</w:t>
      </w:r>
    </w:p>
    <w:p>
      <w:r>
        <w:rPr>
          <w:b/>
        </w:rPr>
        <w:t>Best module fit:</w:t>
      </w:r>
      <w:r>
        <w:t xml:space="preserve"> Quick testing, demo data, early pipeline validation.</w:t>
      </w:r>
    </w:p>
    <w:p>
      <w:r>
        <w:rPr>
          <w:b/>
        </w:rPr>
        <w:t>Limitations / caution:</w:t>
      </w:r>
      <w:r>
        <w:t xml:space="preserve"> Limited variety compared with custom generation.</w:t>
      </w:r>
    </w:p>
    <w:p>
      <w:r>
        <w:rPr>
          <w:b/>
        </w:rPr>
        <w:t>Suggested preprocessing:</w:t>
      </w:r>
      <w:r>
        <w:t xml:space="preserve"> Use for initial ingestion tests before running full generation.</w:t>
      </w:r>
    </w:p>
    <w:p/>
    <w:p>
      <w:pPr>
        <w:pStyle w:val="EntryTitle"/>
        <w:keepNext/>
      </w:pPr>
      <w:r>
        <w:t>4. SyntheticMass</w:t>
      </w:r>
    </w:p>
    <w:p>
      <w:pPr>
        <w:spacing w:after="20"/>
      </w:pPr>
      <w:r>
        <w:rPr>
          <w:b/>
        </w:rPr>
        <w:t xml:space="preserve">Type: </w:t>
      </w:r>
      <w:r>
        <w:t>Public synthetic population / records project</w:t>
      </w:r>
      <w:r>
        <w:t xml:space="preserve">   |   </w:t>
      </w:r>
      <w:r>
        <w:rPr>
          <w:b/>
        </w:rPr>
        <w:t xml:space="preserve">Priority: </w:t>
      </w:r>
      <w:r>
        <w:t>Optional</w:t>
      </w:r>
    </w:p>
    <w:p>
      <w:pPr>
        <w:spacing w:after="40"/>
      </w:pPr>
      <w:r>
        <w:rPr>
          <w:b/>
        </w:rPr>
        <w:t xml:space="preserve">Links: </w:t>
      </w:r>
      <w:hyperlink r:id="rId12">
        <w:r>
          <w:rPr>
            <w:color w:val="0563C1"/>
            <w:u w:val="single"/>
          </w:rPr>
          <w:t>Link</w:t>
        </w:r>
      </w:hyperlink>
      <w:r>
        <w:t xml:space="preserve"> (https://github.com/synthetichealth/syntheticmass)</w:t>
      </w:r>
    </w:p>
    <w:p>
      <w:r>
        <w:rPr>
          <w:b/>
        </w:rPr>
        <w:t>Why it matters for AuthSignal:</w:t>
      </w:r>
      <w:r>
        <w:t xml:space="preserve"> Extra synthetic Massachusetts population data useful for testing workflow logic and health IT integrations.</w:t>
      </w:r>
    </w:p>
    <w:p>
      <w:r>
        <w:rPr>
          <w:b/>
        </w:rPr>
        <w:t>Access notes:</w:t>
      </w:r>
      <w:r>
        <w:t xml:space="preserve"> Open on GitHub.</w:t>
      </w:r>
    </w:p>
    <w:p>
      <w:r>
        <w:rPr>
          <w:b/>
        </w:rPr>
        <w:t>Best module fit:</w:t>
      </w:r>
      <w:r>
        <w:t xml:space="preserve"> Integration testing and population-style experiments.</w:t>
      </w:r>
    </w:p>
    <w:p>
      <w:r>
        <w:rPr>
          <w:b/>
        </w:rPr>
        <w:t>Limitations / caution:</w:t>
      </w:r>
      <w:r>
        <w:t xml:space="preserve"> Optional; not necessary for the first MVP.</w:t>
      </w:r>
    </w:p>
    <w:p>
      <w:r>
        <w:rPr>
          <w:b/>
        </w:rPr>
        <w:t>Suggested preprocessing:</w:t>
      </w:r>
      <w:r>
        <w:t xml:space="preserve"> Use only if additional synthetic population scale is needed.</w:t>
      </w:r>
    </w:p>
    <w:p/>
    <w:p>
      <w:pPr>
        <w:pStyle w:val="EntryTitle"/>
        <w:keepNext/>
      </w:pPr>
      <w:r>
        <w:t>5. CMS 2008-2010 DE-SynPUF</w:t>
      </w:r>
    </w:p>
    <w:p>
      <w:pPr>
        <w:spacing w:after="20"/>
      </w:pPr>
      <w:r>
        <w:rPr>
          <w:b/>
        </w:rPr>
        <w:t xml:space="preserve">Type: </w:t>
      </w:r>
      <w:r>
        <w:t>Synthetic Medicare claims + PDE public-use files</w:t>
      </w:r>
      <w:r>
        <w:t xml:space="preserve">   |   </w:t>
      </w:r>
      <w:r>
        <w:rPr>
          <w:b/>
        </w:rPr>
        <w:t xml:space="preserve">Priority: </w:t>
      </w:r>
      <w:r>
        <w:t>Core</w:t>
      </w:r>
    </w:p>
    <w:p>
      <w:pPr>
        <w:spacing w:after="40"/>
      </w:pPr>
      <w:r>
        <w:rPr>
          <w:b/>
        </w:rPr>
        <w:t xml:space="preserve">Links: </w:t>
      </w:r>
      <w:hyperlink r:id="rId13">
        <w:r>
          <w:rPr>
            <w:color w:val="0563C1"/>
            <w:u w:val="single"/>
          </w:rPr>
          <w:t>Link 1</w:t>
        </w:r>
      </w:hyperlink>
      <w:r>
        <w:t xml:space="preserve"> (https://www.cms.gov/data-research/statistics-trends-and-reports/medicare-claims-synthetic-public-use-files/cms-2008-2010-data-entrepreneurs-synthetic-public-use-file-de-synpuf)</w:t>
      </w:r>
      <w:r>
        <w:t xml:space="preserve"> | </w:t>
      </w:r>
      <w:hyperlink r:id="rId14">
        <w:r>
          <w:rPr>
            <w:color w:val="0563C1"/>
            <w:u w:val="single"/>
          </w:rPr>
          <w:t>Link 2</w:t>
        </w:r>
      </w:hyperlink>
      <w:r>
        <w:t xml:space="preserve"> (https://www.cms.gov/data-research/statistics-trends-and-reports/medicare-claims-synthetic-public-use-files/cms-2008-2010-data-entrepreneurs-synthetic-public-use-file-de-synpuf/de10-sample-1)</w:t>
      </w:r>
      <w:r>
        <w:t xml:space="preserve"> | </w:t>
      </w:r>
      <w:hyperlink r:id="rId15">
        <w:r>
          <w:rPr>
            <w:color w:val="0563C1"/>
            <w:u w:val="single"/>
          </w:rPr>
          <w:t>Link 3</w:t>
        </w:r>
      </w:hyperlink>
      <w:r>
        <w:t xml:space="preserve"> (https://registry.opendata.aws/cmsdesynpuf-omop/)</w:t>
      </w:r>
    </w:p>
    <w:p>
      <w:r>
        <w:rPr>
          <w:b/>
        </w:rPr>
        <w:t>Why it matters for AuthSignal:</w:t>
      </w:r>
      <w:r>
        <w:t xml:space="preserve"> Strong source for synthetic beneficiary summaries, inpatient/outpatient/carrier claims, and prescription drug events. It can simulate claim decision features and denial-risk features even when denial must be proxied.</w:t>
      </w:r>
    </w:p>
    <w:p>
      <w:r>
        <w:rPr>
          <w:b/>
        </w:rPr>
        <w:t>Access notes:</w:t>
      </w:r>
      <w:r>
        <w:t xml:space="preserve"> Open CMS synthetic public-use data; download one or more samples and link files with DESYNPUF_ID within a sample.</w:t>
      </w:r>
    </w:p>
    <w:p>
      <w:r>
        <w:rPr>
          <w:b/>
        </w:rPr>
        <w:t>Best module fit:</w:t>
      </w:r>
      <w:r>
        <w:t xml:space="preserve"> Claims ingestion, feature engineering, denial proxy modeling, code-policy joins, structured justification scaffolds.</w:t>
      </w:r>
    </w:p>
    <w:p>
      <w:r>
        <w:rPr>
          <w:b/>
        </w:rPr>
        <w:t>Limitations / caution:</w:t>
      </w:r>
      <w:r>
        <w:t xml:space="preserve"> CMS cautions that synthetic files have limited inferential value about real beneficiaries. Use for pipeline and model development, not real beneficiary conclusions.</w:t>
      </w:r>
    </w:p>
    <w:p>
      <w:r>
        <w:rPr>
          <w:b/>
        </w:rPr>
        <w:t>Suggested preprocessing:</w:t>
      </w:r>
      <w:r>
        <w:t xml:space="preserve"> Normalize code columns; convert to OMOP or FHIR EOB if needed; engineer features such as diagnosis/procedure combinations, utilization history, and previous treatment history.</w:t>
      </w:r>
    </w:p>
    <w:p/>
    <w:p>
      <w:pPr>
        <w:pStyle w:val="EntryTitle"/>
        <w:keepNext/>
      </w:pPr>
      <w:r>
        <w:t>6. CMS Blue Button 2.0 sandbox</w:t>
      </w:r>
    </w:p>
    <w:p>
      <w:pPr>
        <w:spacing w:after="20"/>
      </w:pPr>
      <w:r>
        <w:rPr>
          <w:b/>
        </w:rPr>
        <w:t xml:space="preserve">Type: </w:t>
      </w:r>
      <w:r>
        <w:t>FHIR claims API sandbox</w:t>
      </w:r>
      <w:r>
        <w:t xml:space="preserve">   |   </w:t>
      </w:r>
      <w:r>
        <w:rPr>
          <w:b/>
        </w:rPr>
        <w:t xml:space="preserve">Priority: </w:t>
      </w:r>
      <w:r>
        <w:t>Core for interoperability demo</w:t>
      </w:r>
    </w:p>
    <w:p>
      <w:pPr>
        <w:spacing w:after="40"/>
      </w:pPr>
      <w:r>
        <w:rPr>
          <w:b/>
        </w:rPr>
        <w:t xml:space="preserve">Links: </w:t>
      </w:r>
      <w:hyperlink r:id="rId16">
        <w:r>
          <w:rPr>
            <w:color w:val="0563C1"/>
            <w:u w:val="single"/>
          </w:rPr>
          <w:t>Link 1</w:t>
        </w:r>
      </w:hyperlink>
      <w:r>
        <w:t xml:space="preserve"> (https://api.bluebutton.cms.gov/)</w:t>
      </w:r>
      <w:r>
        <w:t xml:space="preserve"> | </w:t>
      </w:r>
      <w:hyperlink r:id="rId17">
        <w:r>
          <w:rPr>
            <w:color w:val="0563C1"/>
            <w:u w:val="single"/>
          </w:rPr>
          <w:t>Link 2</w:t>
        </w:r>
      </w:hyperlink>
      <w:r>
        <w:t xml:space="preserve"> (https://bluebutton.cms.gov/api-documentation/developer-sandbox/)</w:t>
      </w:r>
      <w:r>
        <w:t xml:space="preserve"> | </w:t>
      </w:r>
      <w:hyperlink r:id="rId18">
        <w:r>
          <w:rPr>
            <w:color w:val="0563C1"/>
            <w:u w:val="single"/>
          </w:rPr>
          <w:t>Link 3</w:t>
        </w:r>
      </w:hyperlink>
      <w:r>
        <w:t xml:space="preserve"> (https://sandbox.bluebutton.cms.gov/v2/fhir/ExplanationOfBenefit/)</w:t>
      </w:r>
    </w:p>
    <w:p>
      <w:r>
        <w:rPr>
          <w:b/>
        </w:rPr>
        <w:t>Why it matters for AuthSignal:</w:t>
      </w:r>
      <w:r>
        <w:t xml:space="preserve"> Lets AuthSignal practice claims ingestion through HL7 FHIR resources such as Coverage and ExplanationOfBenefit using synthetic sandbox beneficiaries.</w:t>
      </w:r>
    </w:p>
    <w:p>
      <w:r>
        <w:rPr>
          <w:b/>
        </w:rPr>
        <w:t>Access notes:</w:t>
      </w:r>
      <w:r>
        <w:t xml:space="preserve"> Sandbox is synthetic; register a sandbox app, obtain credentials, and test OAuth/API calls.</w:t>
      </w:r>
    </w:p>
    <w:p>
      <w:r>
        <w:rPr>
          <w:b/>
        </w:rPr>
        <w:t>Best module fit:</w:t>
      </w:r>
      <w:r>
        <w:t xml:space="preserve"> FHIR ingestion, EHR/payer API realism, claims feature plumbing, interoperability demo.</w:t>
      </w:r>
    </w:p>
    <w:p>
      <w:r>
        <w:rPr>
          <w:b/>
        </w:rPr>
        <w:t>Limitations / caution:</w:t>
      </w:r>
      <w:r>
        <w:t xml:space="preserve"> Sandbox is not representative of every edge case; production access requires beneficiary authorization.</w:t>
      </w:r>
    </w:p>
    <w:p>
      <w:r>
        <w:rPr>
          <w:b/>
        </w:rPr>
        <w:t>Suggested preprocessing:</w:t>
      </w:r>
      <w:r>
        <w:t xml:space="preserve"> Use ExplanationOfBenefit as a structured input format for denial-risk features.</w:t>
      </w:r>
    </w:p>
    <w:p/>
    <w:p>
      <w:pPr>
        <w:pStyle w:val="EntryTitle"/>
        <w:keepNext/>
      </w:pPr>
      <w:r>
        <w:t>7. Prior Authorization Denials Lack Transparency and Accountability supplementary table</w:t>
      </w:r>
    </w:p>
    <w:p>
      <w:pPr>
        <w:spacing w:after="20"/>
      </w:pPr>
      <w:r>
        <w:rPr>
          <w:b/>
        </w:rPr>
        <w:t xml:space="preserve">Type: </w:t>
      </w:r>
      <w:r>
        <w:t>Public prior-authorization supplementary dataset</w:t>
      </w:r>
      <w:r>
        <w:t xml:space="preserve">   |   </w:t>
      </w:r>
      <w:r>
        <w:rPr>
          <w:b/>
        </w:rPr>
        <w:t xml:space="preserve">Priority: </w:t>
      </w:r>
      <w:r>
        <w:t>Useful but narrow</w:t>
      </w:r>
    </w:p>
    <w:p>
      <w:pPr>
        <w:spacing w:after="40"/>
      </w:pPr>
      <w:r>
        <w:rPr>
          <w:b/>
        </w:rPr>
        <w:t xml:space="preserve">Links: </w:t>
      </w:r>
      <w:hyperlink r:id="rId19">
        <w:r>
          <w:rPr>
            <w:color w:val="0563C1"/>
            <w:u w:val="single"/>
          </w:rPr>
          <w:t>Link</w:t>
        </w:r>
      </w:hyperlink>
      <w:r>
        <w:t xml:space="preserve"> (https://data.mendeley.com/datasets/2vpc3sf8pz/1)</w:t>
      </w:r>
    </w:p>
    <w:p>
      <w:r>
        <w:rPr>
          <w:b/>
        </w:rPr>
        <w:t>Why it matters for AuthSignal:</w:t>
      </w:r>
      <w:r>
        <w:t xml:space="preserve"> One of the few public prior-authorization-specific datasets found. Useful for denial-letter content analysis and denial reason taxonomy design.</w:t>
      </w:r>
    </w:p>
    <w:p>
      <w:r>
        <w:rPr>
          <w:b/>
        </w:rPr>
        <w:t>Access notes:</w:t>
      </w:r>
      <w:r>
        <w:t xml:space="preserve"> Open on Mendeley Data.</w:t>
      </w:r>
    </w:p>
    <w:p>
      <w:r>
        <w:rPr>
          <w:b/>
        </w:rPr>
        <w:t>Best module fit:</w:t>
      </w:r>
      <w:r>
        <w:t xml:space="preserve"> Denial reason taxonomy, denial-letter analysis, small evaluation examples.</w:t>
      </w:r>
    </w:p>
    <w:p>
      <w:r>
        <w:rPr>
          <w:b/>
        </w:rPr>
        <w:t>Limitations / caution:</w:t>
      </w:r>
      <w:r>
        <w:t xml:space="preserve"> Too small and narrow to be the main training corpus.</w:t>
      </w:r>
    </w:p>
    <w:p>
      <w:r>
        <w:rPr>
          <w:b/>
        </w:rPr>
        <w:t>Suggested preprocessing:</w:t>
      </w:r>
      <w:r>
        <w:t xml:space="preserve"> Use to validate denial reason classes and language patterns.</w:t>
      </w:r>
    </w:p>
    <w:p/>
    <w:p>
      <w:pPr>
        <w:pStyle w:val="EntryTitle"/>
        <w:keepNext/>
      </w:pPr>
      <w:r>
        <w:t>8. RxNorm files</w:t>
      </w:r>
    </w:p>
    <w:p>
      <w:pPr>
        <w:spacing w:after="20"/>
      </w:pPr>
      <w:r>
        <w:rPr>
          <w:b/>
        </w:rPr>
        <w:t xml:space="preserve">Type: </w:t>
      </w:r>
      <w:r>
        <w:t>Drug terminology / reference dataset</w:t>
      </w:r>
      <w:r>
        <w:t xml:space="preserve">   |   </w:t>
      </w:r>
      <w:r>
        <w:rPr>
          <w:b/>
        </w:rPr>
        <w:t xml:space="preserve">Priority: </w:t>
      </w:r>
      <w:r>
        <w:t>Core if handling medication PA</w:t>
      </w:r>
    </w:p>
    <w:p>
      <w:pPr>
        <w:spacing w:after="40"/>
      </w:pPr>
      <w:r>
        <w:rPr>
          <w:b/>
        </w:rPr>
        <w:t xml:space="preserve">Links: </w:t>
      </w:r>
      <w:hyperlink r:id="rId20">
        <w:r>
          <w:rPr>
            <w:color w:val="0563C1"/>
            <w:u w:val="single"/>
          </w:rPr>
          <w:t>Link</w:t>
        </w:r>
      </w:hyperlink>
      <w:r>
        <w:t xml:space="preserve"> (https://www.nlm.nih.gov/research/umls/rxnorm/docs/rxnormfiles.html)</w:t>
      </w:r>
    </w:p>
    <w:p>
      <w:r>
        <w:rPr>
          <w:b/>
        </w:rPr>
        <w:t>Why it matters for AuthSignal:</w:t>
      </w:r>
      <w:r>
        <w:t xml:space="preserve"> Needed for medication normalization, drug mapping, and consistent medication features across formulary, claims, and notes.</w:t>
      </w:r>
    </w:p>
    <w:p>
      <w:r>
        <w:rPr>
          <w:b/>
        </w:rPr>
        <w:t>Access notes:</w:t>
      </w:r>
      <w:r>
        <w:t xml:space="preserve"> Current Prescribable Content subset is downloadable without license; full monthly release requires a UMLS account/license.</w:t>
      </w:r>
    </w:p>
    <w:p>
      <w:r>
        <w:rPr>
          <w:b/>
        </w:rPr>
        <w:t>Best module fit:</w:t>
      </w:r>
      <w:r>
        <w:t xml:space="preserve"> Drug normalization, medication PA, feature engineering, mapping NDCs to normalized drug concepts.</w:t>
      </w:r>
    </w:p>
    <w:p>
      <w:r>
        <w:rPr>
          <w:b/>
        </w:rPr>
        <w:t>Limitations / caution:</w:t>
      </w:r>
      <w:r>
        <w:t xml:space="preserve"> Full release has license requirements.</w:t>
      </w:r>
    </w:p>
    <w:p>
      <w:r>
        <w:rPr>
          <w:b/>
        </w:rPr>
        <w:t>Suggested preprocessing:</w:t>
      </w:r>
      <w:r>
        <w:t xml:space="preserve"> Map medication names and NDCs to RxNorm concepts.</w:t>
      </w:r>
    </w:p>
    <w:p/>
    <w:p>
      <w:pPr>
        <w:pStyle w:val="EntryTitle"/>
        <w:keepNext/>
      </w:pPr>
      <w:r>
        <w:t>9. RxNorm API</w:t>
      </w:r>
    </w:p>
    <w:p>
      <w:pPr>
        <w:spacing w:after="20"/>
      </w:pPr>
      <w:r>
        <w:rPr>
          <w:b/>
        </w:rPr>
        <w:t xml:space="preserve">Type: </w:t>
      </w:r>
      <w:r>
        <w:t>Drug normalization API</w:t>
      </w:r>
      <w:r>
        <w:t xml:space="preserve">   |   </w:t>
      </w:r>
      <w:r>
        <w:rPr>
          <w:b/>
        </w:rPr>
        <w:t xml:space="preserve">Priority: </w:t>
      </w:r>
      <w:r>
        <w:t>Useful</w:t>
      </w:r>
    </w:p>
    <w:p>
      <w:pPr>
        <w:spacing w:after="40"/>
      </w:pPr>
      <w:r>
        <w:rPr>
          <w:b/>
        </w:rPr>
        <w:t xml:space="preserve">Links: </w:t>
      </w:r>
      <w:hyperlink r:id="rId21">
        <w:r>
          <w:rPr>
            <w:color w:val="0563C1"/>
            <w:u w:val="single"/>
          </w:rPr>
          <w:t>Link 1</w:t>
        </w:r>
      </w:hyperlink>
      <w:r>
        <w:t xml:space="preserve"> (https://lhncbc.nlm.nih.gov/RxNav/APIs/RxNormAPIs.html)</w:t>
      </w:r>
      <w:r>
        <w:t xml:space="preserve"> | </w:t>
      </w:r>
      <w:hyperlink r:id="rId22">
        <w:r>
          <w:rPr>
            <w:color w:val="0563C1"/>
            <w:u w:val="single"/>
          </w:rPr>
          <w:t>Link 2</w:t>
        </w:r>
      </w:hyperlink>
      <w:r>
        <w:t xml:space="preserve"> (https://www.nlm.nih.gov/research/umls/rxnorm/index.html)</w:t>
      </w:r>
    </w:p>
    <w:p>
      <w:r>
        <w:rPr>
          <w:b/>
        </w:rPr>
        <w:t>Why it matters for AuthSignal:</w:t>
      </w:r>
      <w:r>
        <w:t xml:space="preserve"> Useful when the system needs real-time or programmatic mapping between drug names, identifiers, and normalized concepts.</w:t>
      </w:r>
    </w:p>
    <w:p>
      <w:r>
        <w:rPr>
          <w:b/>
        </w:rPr>
        <w:t>Access notes:</w:t>
      </w:r>
      <w:r>
        <w:t xml:space="preserve"> Public API documentation; usage depends on NLM terms and endpoint behavior.</w:t>
      </w:r>
    </w:p>
    <w:p>
      <w:r>
        <w:rPr>
          <w:b/>
        </w:rPr>
        <w:t>Best module fit:</w:t>
      </w:r>
      <w:r>
        <w:t xml:space="preserve"> Medication normalization, API-based lookups, drug PA features.</w:t>
      </w:r>
    </w:p>
    <w:p>
      <w:r>
        <w:rPr>
          <w:b/>
        </w:rPr>
        <w:t>Limitations / caution:</w:t>
      </w:r>
      <w:r>
        <w:t xml:space="preserve"> Do not rely only on live API for reproducible experiments; cache needed outputs when allowed.</w:t>
      </w:r>
    </w:p>
    <w:p>
      <w:r>
        <w:rPr>
          <w:b/>
        </w:rPr>
        <w:t>Suggested preprocessing:</w:t>
      </w:r>
      <w:r>
        <w:t xml:space="preserve"> Use API lookups to enrich drug requests and formulary rows.</w:t>
      </w:r>
    </w:p>
    <w:p/>
    <w:p>
      <w:pPr>
        <w:pStyle w:val="EntryTitle"/>
        <w:keepNext/>
      </w:pPr>
      <w:r>
        <w:t>10. FDA National Drug Code directory and openFDA NDC download</w:t>
      </w:r>
    </w:p>
    <w:p>
      <w:pPr>
        <w:spacing w:after="20"/>
      </w:pPr>
      <w:r>
        <w:rPr>
          <w:b/>
        </w:rPr>
        <w:t xml:space="preserve">Type: </w:t>
      </w:r>
      <w:r>
        <w:t>Drug identity/reference dataset</w:t>
      </w:r>
      <w:r>
        <w:t xml:space="preserve">   |   </w:t>
      </w:r>
      <w:r>
        <w:rPr>
          <w:b/>
        </w:rPr>
        <w:t xml:space="preserve">Priority: </w:t>
      </w:r>
      <w:r>
        <w:t>Core if handling medication PA</w:t>
      </w:r>
    </w:p>
    <w:p>
      <w:pPr>
        <w:spacing w:after="40"/>
      </w:pPr>
      <w:r>
        <w:rPr>
          <w:b/>
        </w:rPr>
        <w:t xml:space="preserve">Links: </w:t>
      </w:r>
      <w:hyperlink r:id="rId23">
        <w:r>
          <w:rPr>
            <w:color w:val="0563C1"/>
            <w:u w:val="single"/>
          </w:rPr>
          <w:t>Link 1</w:t>
        </w:r>
      </w:hyperlink>
      <w:r>
        <w:t xml:space="preserve"> (https://www.fda.gov/drugs/drug-approvals-and-databases/national-drug-code-directory)</w:t>
      </w:r>
      <w:r>
        <w:t xml:space="preserve"> | </w:t>
      </w:r>
      <w:hyperlink r:id="rId24">
        <w:r>
          <w:rPr>
            <w:color w:val="0563C1"/>
            <w:u w:val="single"/>
          </w:rPr>
          <w:t>Link 2</w:t>
        </w:r>
      </w:hyperlink>
      <w:r>
        <w:t xml:space="preserve"> (https://open.fda.gov/apis/drug/ndc/download/)</w:t>
      </w:r>
    </w:p>
    <w:p>
      <w:r>
        <w:rPr>
          <w:b/>
        </w:rPr>
        <w:t>Why it matters for AuthSignal:</w:t>
      </w:r>
      <w:r>
        <w:t xml:space="preserve"> Useful for normalizing NDCs from formularies, prescription drug events, and drug request records.</w:t>
      </w:r>
    </w:p>
    <w:p>
      <w:r>
        <w:rPr>
          <w:b/>
        </w:rPr>
        <w:t>Access notes:</w:t>
      </w:r>
      <w:r>
        <w:t xml:space="preserve"> Open FDA and openFDA resources.</w:t>
      </w:r>
    </w:p>
    <w:p>
      <w:r>
        <w:rPr>
          <w:b/>
        </w:rPr>
        <w:t>Best module fit:</w:t>
      </w:r>
      <w:r>
        <w:t xml:space="preserve"> NDC normalization, drug identity resolution, formulary matching.</w:t>
      </w:r>
    </w:p>
    <w:p>
      <w:r>
        <w:rPr>
          <w:b/>
        </w:rPr>
        <w:t>Limitations / caution:</w:t>
      </w:r>
      <w:r>
        <w:t xml:space="preserve"> NDC formats can vary; normalization is required.</w:t>
      </w:r>
    </w:p>
    <w:p>
      <w:r>
        <w:rPr>
          <w:b/>
        </w:rPr>
        <w:t>Suggested preprocessing:</w:t>
      </w:r>
      <w:r>
        <w:t xml:space="preserve"> Standardize NDC formats and link to RxNorm where possible.</w:t>
      </w:r>
    </w:p>
    <w:p/>
    <w:p>
      <w:pPr>
        <w:pStyle w:val="EntryTitle"/>
        <w:keepNext/>
      </w:pPr>
      <w:r>
        <w:t>11. CMS ICD-10 files</w:t>
      </w:r>
    </w:p>
    <w:p>
      <w:pPr>
        <w:spacing w:after="20"/>
      </w:pPr>
      <w:r>
        <w:rPr>
          <w:b/>
        </w:rPr>
        <w:t xml:space="preserve">Type: </w:t>
      </w:r>
      <w:r>
        <w:t>Diagnosis and procedure code files</w:t>
      </w:r>
      <w:r>
        <w:t xml:space="preserve">   |   </w:t>
      </w:r>
      <w:r>
        <w:rPr>
          <w:b/>
        </w:rPr>
        <w:t xml:space="preserve">Priority: </w:t>
      </w:r>
      <w:r>
        <w:t>Core reference</w:t>
      </w:r>
    </w:p>
    <w:p>
      <w:pPr>
        <w:spacing w:after="40"/>
      </w:pPr>
      <w:r>
        <w:rPr>
          <w:b/>
        </w:rPr>
        <w:t xml:space="preserve">Links: </w:t>
      </w:r>
      <w:hyperlink r:id="rId25">
        <w:r>
          <w:rPr>
            <w:color w:val="0563C1"/>
            <w:u w:val="single"/>
          </w:rPr>
          <w:t>Link</w:t>
        </w:r>
      </w:hyperlink>
      <w:r>
        <w:t xml:space="preserve"> (https://www.cms.gov/medicare/coding-billing/icd-10-codes)</w:t>
      </w:r>
    </w:p>
    <w:p>
      <w:r>
        <w:rPr>
          <w:b/>
        </w:rPr>
        <w:t>Why it matters for AuthSignal:</w:t>
      </w:r>
      <w:r>
        <w:t xml:space="preserve"> Needed for diagnosis/procedure normalization, denial-risk features, appeal drafting, and policy matching.</w:t>
      </w:r>
    </w:p>
    <w:p>
      <w:r>
        <w:rPr>
          <w:b/>
        </w:rPr>
        <w:t>Access notes:</w:t>
      </w:r>
      <w:r>
        <w:t xml:space="preserve"> Open CMS download page.</w:t>
      </w:r>
    </w:p>
    <w:p>
      <w:r>
        <w:rPr>
          <w:b/>
        </w:rPr>
        <w:t>Best module fit:</w:t>
      </w:r>
      <w:r>
        <w:t xml:space="preserve"> Coding normalization, policy matching, structured features.</w:t>
      </w:r>
    </w:p>
    <w:p>
      <w:r>
        <w:rPr>
          <w:b/>
        </w:rPr>
        <w:t>Limitations / caution:</w:t>
      </w:r>
      <w:r>
        <w:t xml:space="preserve"> ICD codes alone do not prove medical necessity.</w:t>
      </w:r>
    </w:p>
    <w:p>
      <w:r>
        <w:rPr>
          <w:b/>
        </w:rPr>
        <w:t>Suggested preprocessing:</w:t>
      </w:r>
      <w:r>
        <w:t xml:space="preserve"> Normalize diagnosis codes and map to case categories.</w:t>
      </w:r>
    </w:p>
    <w:p/>
    <w:p>
      <w:pPr>
        <w:pStyle w:val="EntryTitle"/>
        <w:keepNext/>
      </w:pPr>
      <w:r>
        <w:t>12. CDC ICD-10-CM files</w:t>
      </w:r>
    </w:p>
    <w:p>
      <w:pPr>
        <w:spacing w:after="20"/>
      </w:pPr>
      <w:r>
        <w:rPr>
          <w:b/>
        </w:rPr>
        <w:t xml:space="preserve">Type: </w:t>
      </w:r>
      <w:r>
        <w:t>Official diagnosis code download files</w:t>
      </w:r>
      <w:r>
        <w:t xml:space="preserve">   |   </w:t>
      </w:r>
      <w:r>
        <w:rPr>
          <w:b/>
        </w:rPr>
        <w:t xml:space="preserve">Priority: </w:t>
      </w:r>
      <w:r>
        <w:t>Core reference</w:t>
      </w:r>
    </w:p>
    <w:p>
      <w:pPr>
        <w:spacing w:after="40"/>
      </w:pPr>
      <w:r>
        <w:rPr>
          <w:b/>
        </w:rPr>
        <w:t xml:space="preserve">Links: </w:t>
      </w:r>
      <w:hyperlink r:id="rId26">
        <w:r>
          <w:rPr>
            <w:color w:val="0563C1"/>
            <w:u w:val="single"/>
          </w:rPr>
          <w:t>Link</w:t>
        </w:r>
      </w:hyperlink>
      <w:r>
        <w:t xml:space="preserve"> (https://www.cdc.gov/nchs/icd/icd-10-cm/files.html)</w:t>
      </w:r>
    </w:p>
    <w:p>
      <w:r>
        <w:rPr>
          <w:b/>
        </w:rPr>
        <w:t>Why it matters for AuthSignal:</w:t>
      </w:r>
      <w:r>
        <w:t xml:space="preserve"> Complements CMS ICD-10 resources with official ICD-10-CM files useful for diagnosis normalization.</w:t>
      </w:r>
    </w:p>
    <w:p>
      <w:r>
        <w:rPr>
          <w:b/>
        </w:rPr>
        <w:t>Access notes:</w:t>
      </w:r>
      <w:r>
        <w:t xml:space="preserve"> Open CDC download page.</w:t>
      </w:r>
    </w:p>
    <w:p>
      <w:r>
        <w:rPr>
          <w:b/>
        </w:rPr>
        <w:t>Best module fit:</w:t>
      </w:r>
      <w:r>
        <w:t xml:space="preserve"> Diagnosis normalization and code dictionary support.</w:t>
      </w:r>
    </w:p>
    <w:p>
      <w:r>
        <w:rPr>
          <w:b/>
        </w:rPr>
        <w:t>Limitations / caution:</w:t>
      </w:r>
      <w:r>
        <w:t xml:space="preserve"> Versioning matters; use the same year across the project.</w:t>
      </w:r>
    </w:p>
    <w:p>
      <w:r>
        <w:rPr>
          <w:b/>
        </w:rPr>
        <w:t>Suggested preprocessing:</w:t>
      </w:r>
      <w:r>
        <w:t xml:space="preserve"> Keep a versioned code dictionary in the dataset folder.</w:t>
      </w:r>
    </w:p>
    <w:p/>
    <w:p>
      <w:pPr>
        <w:pStyle w:val="EntryTitle"/>
        <w:keepNext/>
      </w:pPr>
      <w:r>
        <w:t>13. CMS HCPCS quarterly update files and HCPCS overview</w:t>
      </w:r>
    </w:p>
    <w:p>
      <w:pPr>
        <w:spacing w:after="20"/>
      </w:pPr>
      <w:r>
        <w:rPr>
          <w:b/>
        </w:rPr>
        <w:t xml:space="preserve">Type: </w:t>
      </w:r>
      <w:r>
        <w:t>Procedure / supply coding files</w:t>
      </w:r>
      <w:r>
        <w:t xml:space="preserve">   |   </w:t>
      </w:r>
      <w:r>
        <w:rPr>
          <w:b/>
        </w:rPr>
        <w:t xml:space="preserve">Priority: </w:t>
      </w:r>
      <w:r>
        <w:t>Core reference</w:t>
      </w:r>
    </w:p>
    <w:p>
      <w:pPr>
        <w:spacing w:after="40"/>
      </w:pPr>
      <w:r>
        <w:rPr>
          <w:b/>
        </w:rPr>
        <w:t xml:space="preserve">Links: </w:t>
      </w:r>
      <w:hyperlink r:id="rId27">
        <w:r>
          <w:rPr>
            <w:color w:val="0563C1"/>
            <w:u w:val="single"/>
          </w:rPr>
          <w:t>Link 1</w:t>
        </w:r>
      </w:hyperlink>
      <w:r>
        <w:t xml:space="preserve"> (https://www.cms.gov/medicare/coding-billing/healthcare-common-procedure-system)</w:t>
      </w:r>
      <w:r>
        <w:t xml:space="preserve"> | </w:t>
      </w:r>
      <w:hyperlink r:id="rId28">
        <w:r>
          <w:rPr>
            <w:color w:val="0563C1"/>
            <w:u w:val="single"/>
          </w:rPr>
          <w:t>Link 2</w:t>
        </w:r>
      </w:hyperlink>
      <w:r>
        <w:t xml:space="preserve"> (https://www.cms.gov/medicare/coding-billing/healthcare-common-procedure-system/quarterly-update)</w:t>
      </w:r>
      <w:r>
        <w:t xml:space="preserve"> | </w:t>
      </w:r>
      <w:hyperlink r:id="rId29">
        <w:r>
          <w:rPr>
            <w:color w:val="0563C1"/>
            <w:u w:val="single"/>
          </w:rPr>
          <w:t>Link 3</w:t>
        </w:r>
      </w:hyperlink>
      <w:r>
        <w:t xml:space="preserve"> (https://www.cms.gov/Medicare/Coding/HCPCSReleaseCodeSets/HCPCS-Quarterly-Update.html)</w:t>
      </w:r>
    </w:p>
    <w:p>
      <w:r>
        <w:rPr>
          <w:b/>
        </w:rPr>
        <w:t>Why it matters for AuthSignal:</w:t>
      </w:r>
      <w:r>
        <w:t xml:space="preserve"> Needed for medical services, DME, supplies, outpatient/professional coding, and coverage-rule lookup.</w:t>
      </w:r>
    </w:p>
    <w:p>
      <w:r>
        <w:rPr>
          <w:b/>
        </w:rPr>
        <w:t>Access notes:</w:t>
      </w:r>
      <w:r>
        <w:t xml:space="preserve"> Open CMS download pages.</w:t>
      </w:r>
    </w:p>
    <w:p>
      <w:r>
        <w:rPr>
          <w:b/>
        </w:rPr>
        <w:t>Best module fit:</w:t>
      </w:r>
      <w:r>
        <w:t xml:space="preserve"> Procedure/service coding, DME prior-auth modeling, MCD code joins.</w:t>
      </w:r>
    </w:p>
    <w:p>
      <w:r>
        <w:rPr>
          <w:b/>
        </w:rPr>
        <w:t>Limitations / caution:</w:t>
      </w:r>
      <w:r>
        <w:t xml:space="preserve"> HCPCS is not a full replacement for CPT, but it is much easier to use in an academic prototype.</w:t>
      </w:r>
    </w:p>
    <w:p>
      <w:r>
        <w:rPr>
          <w:b/>
        </w:rPr>
        <w:t>Suggested preprocessing:</w:t>
      </w:r>
      <w:r>
        <w:t xml:space="preserve"> Use HCPCS/ICD combinations for auditable synthetic denial rules.</w:t>
      </w:r>
    </w:p>
    <w:p/>
    <w:p>
      <w:pPr>
        <w:pStyle w:val="EntryTitle"/>
        <w:keepNext/>
      </w:pPr>
      <w:r>
        <w:t>14. NPPES / NPI downloadable files</w:t>
      </w:r>
    </w:p>
    <w:p>
      <w:pPr>
        <w:spacing w:after="20"/>
      </w:pPr>
      <w:r>
        <w:rPr>
          <w:b/>
        </w:rPr>
        <w:t xml:space="preserve">Type: </w:t>
      </w:r>
      <w:r>
        <w:t>Provider directory dataset</w:t>
      </w:r>
      <w:r>
        <w:t xml:space="preserve">   |   </w:t>
      </w:r>
      <w:r>
        <w:rPr>
          <w:b/>
        </w:rPr>
        <w:t xml:space="preserve">Priority: </w:t>
      </w:r>
      <w:r>
        <w:t>Core reference</w:t>
      </w:r>
    </w:p>
    <w:p>
      <w:pPr>
        <w:spacing w:after="40"/>
      </w:pPr>
      <w:r>
        <w:rPr>
          <w:b/>
        </w:rPr>
        <w:t xml:space="preserve">Links: </w:t>
      </w:r>
      <w:hyperlink r:id="rId30">
        <w:r>
          <w:rPr>
            <w:color w:val="0563C1"/>
            <w:u w:val="single"/>
          </w:rPr>
          <w:t>Link</w:t>
        </w:r>
      </w:hyperlink>
      <w:r>
        <w:t xml:space="preserve"> (https://download.cms.gov/nppes/NPI_Files.html)</w:t>
      </w:r>
    </w:p>
    <w:p>
      <w:r>
        <w:rPr>
          <w:b/>
        </w:rPr>
        <w:t>Why it matters for AuthSignal:</w:t>
      </w:r>
      <w:r>
        <w:t xml:space="preserve"> Useful for resolving provider NPIs, specialties, locations, organizations, and submitter fields inside prior-auth submissions and claims workflows.</w:t>
      </w:r>
    </w:p>
    <w:p>
      <w:r>
        <w:rPr>
          <w:b/>
        </w:rPr>
        <w:t>Access notes:</w:t>
      </w:r>
      <w:r>
        <w:t xml:space="preserve"> Open CMS download page; large monthly files.</w:t>
      </w:r>
    </w:p>
    <w:p>
      <w:r>
        <w:rPr>
          <w:b/>
        </w:rPr>
        <w:t>Best module fit:</w:t>
      </w:r>
      <w:r>
        <w:t xml:space="preserve"> Provider metadata, routing, submitter details, provider specialty features.</w:t>
      </w:r>
    </w:p>
    <w:p>
      <w:r>
        <w:rPr>
          <w:b/>
        </w:rPr>
        <w:t>Limitations / caution:</w:t>
      </w:r>
      <w:r>
        <w:t xml:space="preserve"> Large files; choose relevant columns only.</w:t>
      </w:r>
    </w:p>
    <w:p>
      <w:r>
        <w:rPr>
          <w:b/>
        </w:rPr>
        <w:t>Suggested preprocessing:</w:t>
      </w:r>
      <w:r>
        <w:t xml:space="preserve"> Filter by NPI, taxonomy, state, specialty, and organization names.</w:t>
      </w:r>
    </w:p>
    <w:p/>
    <w:p>
      <w:pPr>
        <w:pStyle w:val="EntryTitle"/>
        <w:keepNext/>
      </w:pPr>
      <w:r>
        <w:t>15. NPPES NPI Registry API</w:t>
      </w:r>
    </w:p>
    <w:p>
      <w:pPr>
        <w:spacing w:after="20"/>
      </w:pPr>
      <w:r>
        <w:rPr>
          <w:b/>
        </w:rPr>
        <w:t xml:space="preserve">Type: </w:t>
      </w:r>
      <w:r>
        <w:t>Provider identity API</w:t>
      </w:r>
      <w:r>
        <w:t xml:space="preserve">   |   </w:t>
      </w:r>
      <w:r>
        <w:rPr>
          <w:b/>
        </w:rPr>
        <w:t xml:space="preserve">Priority: </w:t>
      </w:r>
      <w:r>
        <w:t>Useful</w:t>
      </w:r>
    </w:p>
    <w:p>
      <w:pPr>
        <w:spacing w:after="40"/>
      </w:pPr>
      <w:r>
        <w:rPr>
          <w:b/>
        </w:rPr>
        <w:t xml:space="preserve">Links: </w:t>
      </w:r>
      <w:hyperlink r:id="rId31">
        <w:r>
          <w:rPr>
            <w:color w:val="0563C1"/>
            <w:u w:val="single"/>
          </w:rPr>
          <w:t>Link</w:t>
        </w:r>
      </w:hyperlink>
      <w:r>
        <w:t xml:space="preserve"> (https://npiregistry.cms.hhs.gov/api-page)</w:t>
      </w:r>
    </w:p>
    <w:p>
      <w:r>
        <w:rPr>
          <w:b/>
        </w:rPr>
        <w:t>Why it matters for AuthSignal:</w:t>
      </w:r>
      <w:r>
        <w:t xml:space="preserve"> Real-time alternative to downloadable NPI files. Useful for lookup-based demos or enriching a single case.</w:t>
      </w:r>
    </w:p>
    <w:p>
      <w:r>
        <w:rPr>
          <w:b/>
        </w:rPr>
        <w:t>Access notes:</w:t>
      </w:r>
      <w:r>
        <w:t xml:space="preserve"> Open API page.</w:t>
      </w:r>
    </w:p>
    <w:p>
      <w:r>
        <w:rPr>
          <w:b/>
        </w:rPr>
        <w:t>Best module fit:</w:t>
      </w:r>
      <w:r>
        <w:t xml:space="preserve"> Provider lookup, demo enrichment, endpoint metadata.</w:t>
      </w:r>
    </w:p>
    <w:p>
      <w:r>
        <w:rPr>
          <w:b/>
        </w:rPr>
        <w:t>Limitations / caution:</w:t>
      </w:r>
      <w:r>
        <w:t xml:space="preserve"> Live API dependency can reduce reproducibility.</w:t>
      </w:r>
    </w:p>
    <w:p>
      <w:r>
        <w:rPr>
          <w:b/>
        </w:rPr>
        <w:t>Suggested preprocessing:</w:t>
      </w:r>
      <w:r>
        <w:t xml:space="preserve"> Cache API responses used in experiments.</w:t>
      </w:r>
    </w:p>
    <w:p/>
    <w:p>
      <w:pPr>
        <w:pStyle w:val="EntryTitle"/>
        <w:keepNext/>
      </w:pPr>
      <w:r>
        <w:t>16. CMS Integrated Denial Notice / NDMCP instructions</w:t>
      </w:r>
    </w:p>
    <w:p>
      <w:pPr>
        <w:spacing w:after="20"/>
      </w:pPr>
      <w:r>
        <w:rPr>
          <w:b/>
        </w:rPr>
        <w:t xml:space="preserve">Type: </w:t>
      </w:r>
      <w:r>
        <w:t>Official standardized denial notice instructions</w:t>
      </w:r>
      <w:r>
        <w:t xml:space="preserve">   |   </w:t>
      </w:r>
      <w:r>
        <w:rPr>
          <w:b/>
        </w:rPr>
        <w:t xml:space="preserve">Priority: </w:t>
      </w:r>
      <w:r>
        <w:t>Core template</w:t>
      </w:r>
    </w:p>
    <w:p>
      <w:pPr>
        <w:spacing w:after="40"/>
      </w:pPr>
      <w:r>
        <w:rPr>
          <w:b/>
        </w:rPr>
        <w:t xml:space="preserve">Links: </w:t>
      </w:r>
      <w:hyperlink r:id="rId32">
        <w:r>
          <w:rPr>
            <w:color w:val="0563C1"/>
            <w:u w:val="single"/>
          </w:rPr>
          <w:t>Link 1</w:t>
        </w:r>
      </w:hyperlink>
      <w:r>
        <w:t xml:space="preserve"> (https://www.cms.gov/medicare/appeals-grievances/managed-care/notices-forms)</w:t>
      </w:r>
      <w:r>
        <w:t xml:space="preserve"> | </w:t>
      </w:r>
      <w:hyperlink r:id="rId33">
        <w:r>
          <w:rPr>
            <w:color w:val="0563C1"/>
            <w:u w:val="single"/>
          </w:rPr>
          <w:t>Link 2</w:t>
        </w:r>
      </w:hyperlink>
      <w:r>
        <w:t xml:space="preserve"> (https://www.cms.gov/medicare/medicare-general-information/bni/downloads/integrated-denial-notice-instructions-cms-10003.pdf)</w:t>
      </w:r>
    </w:p>
    <w:p>
      <w:r>
        <w:rPr>
          <w:b/>
        </w:rPr>
        <w:t>Why it matters for AuthSignal:</w:t>
      </w:r>
      <w:r>
        <w:t xml:space="preserve"> Provides official denial notice structure and required fields. Useful for denial-letter extraction and template-constrained generation.</w:t>
      </w:r>
    </w:p>
    <w:p>
      <w:r>
        <w:rPr>
          <w:b/>
        </w:rPr>
        <w:t>Access notes:</w:t>
      </w:r>
      <w:r>
        <w:t xml:space="preserve"> Open CMS forms and instructions.</w:t>
      </w:r>
    </w:p>
    <w:p>
      <w:r>
        <w:rPr>
          <w:b/>
        </w:rPr>
        <w:t>Best module fit:</w:t>
      </w:r>
      <w:r>
        <w:t xml:space="preserve"> Denial letter structure, field extraction, generation/evaluation template.</w:t>
      </w:r>
    </w:p>
    <w:p>
      <w:r>
        <w:rPr>
          <w:b/>
        </w:rPr>
        <w:t>Limitations / caution:</w:t>
      </w:r>
      <w:r>
        <w:t xml:space="preserve"> Template/instructions, not a labeled dataset.</w:t>
      </w:r>
    </w:p>
    <w:p>
      <w:r>
        <w:rPr>
          <w:b/>
        </w:rPr>
        <w:t>Suggested preprocessing:</w:t>
      </w:r>
      <w:r>
        <w:t xml:space="preserve"> Convert PDF instructions into JSON slots such as denial reason, appeal rights, evidence summary, and service details.</w:t>
      </w:r>
    </w:p>
    <w:p/>
    <w:p>
      <w:pPr>
        <w:pStyle w:val="EntryTitle"/>
        <w:keepNext/>
      </w:pPr>
      <w:r>
        <w:t>17. CMS standardized Part D denial notice</w:t>
      </w:r>
    </w:p>
    <w:p>
      <w:pPr>
        <w:spacing w:after="20"/>
      </w:pPr>
      <w:r>
        <w:rPr>
          <w:b/>
        </w:rPr>
        <w:t xml:space="preserve">Type: </w:t>
      </w:r>
      <w:r>
        <w:t>Official Part D denial notice template</w:t>
      </w:r>
      <w:r>
        <w:t xml:space="preserve">   |   </w:t>
      </w:r>
      <w:r>
        <w:rPr>
          <w:b/>
        </w:rPr>
        <w:t xml:space="preserve">Priority: </w:t>
      </w:r>
      <w:r>
        <w:t>Core for drug PA</w:t>
      </w:r>
    </w:p>
    <w:p>
      <w:pPr>
        <w:spacing w:after="40"/>
      </w:pPr>
      <w:r>
        <w:rPr>
          <w:b/>
        </w:rPr>
        <w:t xml:space="preserve">Links: </w:t>
      </w:r>
      <w:hyperlink r:id="rId34">
        <w:r>
          <w:rPr>
            <w:color w:val="0563C1"/>
            <w:u w:val="single"/>
          </w:rPr>
          <w:t>Link 1</w:t>
        </w:r>
      </w:hyperlink>
      <w:r>
        <w:t xml:space="preserve"> (https://www.cms.gov/medicare/appeals-grievances/prescription-drug/plan-sponsor-notices-documents)</w:t>
      </w:r>
      <w:r>
        <w:t xml:space="preserve"> | </w:t>
      </w:r>
      <w:hyperlink r:id="rId35">
        <w:r>
          <w:rPr>
            <w:color w:val="0563C1"/>
            <w:u w:val="single"/>
          </w:rPr>
          <w:t>Link 2</w:t>
        </w:r>
      </w:hyperlink>
      <w:r>
        <w:t xml:space="preserve"> (https://www.cms.gov/files/document/notice-denial-presc-drug-cvgcms101462017fillablev508pdf)</w:t>
      </w:r>
      <w:r>
        <w:t xml:space="preserve"> | </w:t>
      </w:r>
      <w:hyperlink r:id="rId36">
        <w:r>
          <w:rPr>
            <w:color w:val="0563C1"/>
            <w:u w:val="single"/>
          </w:rPr>
          <w:t>Link 3</w:t>
        </w:r>
      </w:hyperlink>
      <w:r>
        <w:t xml:space="preserve"> (https://www.reginfo.gov/public/do/DownloadDocument?objectID=136672601)</w:t>
      </w:r>
    </w:p>
    <w:p>
      <w:r>
        <w:rPr>
          <w:b/>
        </w:rPr>
        <w:t>Why it matters for AuthSignal:</w:t>
      </w:r>
      <w:r>
        <w:t xml:space="preserve"> Best official template for drug-denial notices and appeal-slot extraction.</w:t>
      </w:r>
    </w:p>
    <w:p>
      <w:r>
        <w:rPr>
          <w:b/>
        </w:rPr>
        <w:t>Access notes:</w:t>
      </w:r>
      <w:r>
        <w:t xml:space="preserve"> Open CMS page and associated PDF/document resources.</w:t>
      </w:r>
    </w:p>
    <w:p>
      <w:r>
        <w:rPr>
          <w:b/>
        </w:rPr>
        <w:t>Best module fit:</w:t>
      </w:r>
      <w:r>
        <w:t xml:space="preserve"> Drug denial generation, denial-letter parsing, appeal structure.</w:t>
      </w:r>
    </w:p>
    <w:p>
      <w:r>
        <w:rPr>
          <w:b/>
        </w:rPr>
        <w:t>Limitations / caution:</w:t>
      </w:r>
      <w:r>
        <w:t xml:space="preserve"> Template, not a large corpus.</w:t>
      </w:r>
    </w:p>
    <w:p>
      <w:r>
        <w:rPr>
          <w:b/>
        </w:rPr>
        <w:t>Suggested preprocessing:</w:t>
      </w:r>
      <w:r>
        <w:t xml:space="preserve"> Extract standard sections and fill with synthetic patient/request data.</w:t>
      </w:r>
    </w:p>
    <w:p/>
    <w:p>
      <w:pPr>
        <w:pStyle w:val="EntryTitle"/>
        <w:keepNext/>
      </w:pPr>
      <w:r>
        <w:t>18. Patient Advocate Foundation sample pre-authorization denial appeal letter</w:t>
      </w:r>
    </w:p>
    <w:p>
      <w:pPr>
        <w:spacing w:after="20"/>
      </w:pPr>
      <w:r>
        <w:rPr>
          <w:b/>
        </w:rPr>
        <w:t xml:space="preserve">Type: </w:t>
      </w:r>
      <w:r>
        <w:t>Appeal example / template</w:t>
      </w:r>
      <w:r>
        <w:t xml:space="preserve">   |   </w:t>
      </w:r>
      <w:r>
        <w:rPr>
          <w:b/>
        </w:rPr>
        <w:t xml:space="preserve">Priority: </w:t>
      </w:r>
      <w:r>
        <w:t>Useful</w:t>
      </w:r>
    </w:p>
    <w:p>
      <w:pPr>
        <w:spacing w:after="40"/>
      </w:pPr>
      <w:r>
        <w:rPr>
          <w:b/>
        </w:rPr>
        <w:t xml:space="preserve">Links: </w:t>
      </w:r>
      <w:hyperlink r:id="rId37">
        <w:r>
          <w:rPr>
            <w:color w:val="0563C1"/>
            <w:u w:val="single"/>
          </w:rPr>
          <w:t>Link</w:t>
        </w:r>
      </w:hyperlink>
      <w:r>
        <w:t xml:space="preserve"> (https://www.patientadvocate.org/wp-content/uploads/Migraine-Sample-Pre-Authorization-Denial-Letter.pdf)</w:t>
      </w:r>
    </w:p>
    <w:p>
      <w:r>
        <w:rPr>
          <w:b/>
        </w:rPr>
        <w:t>Why it matters for AuthSignal:</w:t>
      </w:r>
      <w:r>
        <w:t xml:space="preserve"> Provides patient/clinician-style appeal framing and tone for pre-authorization denials.</w:t>
      </w:r>
    </w:p>
    <w:p>
      <w:r>
        <w:rPr>
          <w:b/>
        </w:rPr>
        <w:t>Access notes:</w:t>
      </w:r>
      <w:r>
        <w:t xml:space="preserve"> Open PDF.</w:t>
      </w:r>
    </w:p>
    <w:p>
      <w:r>
        <w:rPr>
          <w:b/>
        </w:rPr>
        <w:t>Best module fit:</w:t>
      </w:r>
      <w:r>
        <w:t xml:space="preserve"> Appeal drafting examples, argument structure, tone, weak supervision.</w:t>
      </w:r>
    </w:p>
    <w:p>
      <w:r>
        <w:rPr>
          <w:b/>
        </w:rPr>
        <w:t>Limitations / caution:</w:t>
      </w:r>
      <w:r>
        <w:t xml:space="preserve"> Not official payer data; use as style guidance only.</w:t>
      </w:r>
    </w:p>
    <w:p>
      <w:r>
        <w:rPr>
          <w:b/>
        </w:rPr>
        <w:t>Suggested preprocessing:</w:t>
      </w:r>
      <w:r>
        <w:t xml:space="preserve"> Extract reusable sections such as diagnosis, failed therapies, denial quote, and medical necessity argument.</w:t>
      </w:r>
    </w:p>
    <w:p/>
    <w:p>
      <w:pPr>
        <w:pStyle w:val="EntryTitle"/>
        <w:keepNext/>
      </w:pPr>
      <w:r>
        <w:t>19. Patient Advocate Foundation sample claim denial letter</w:t>
      </w:r>
    </w:p>
    <w:p>
      <w:pPr>
        <w:spacing w:after="20"/>
      </w:pPr>
      <w:r>
        <w:rPr>
          <w:b/>
        </w:rPr>
        <w:t xml:space="preserve">Type: </w:t>
      </w:r>
      <w:r>
        <w:t>Appeal example / template</w:t>
      </w:r>
      <w:r>
        <w:t xml:space="preserve">   |   </w:t>
      </w:r>
      <w:r>
        <w:rPr>
          <w:b/>
        </w:rPr>
        <w:t xml:space="preserve">Priority: </w:t>
      </w:r>
      <w:r>
        <w:t>Useful</w:t>
      </w:r>
    </w:p>
    <w:p>
      <w:pPr>
        <w:spacing w:after="40"/>
      </w:pPr>
      <w:r>
        <w:rPr>
          <w:b/>
        </w:rPr>
        <w:t xml:space="preserve">Links: </w:t>
      </w:r>
      <w:hyperlink r:id="rId38">
        <w:r>
          <w:rPr>
            <w:color w:val="0563C1"/>
            <w:u w:val="single"/>
          </w:rPr>
          <w:t>Link</w:t>
        </w:r>
      </w:hyperlink>
      <w:r>
        <w:t xml:space="preserve"> (https://www.patientadvocate.org/wp-content/uploads/Migraine-Sample-Claim-Denial-Letter.pdf)</w:t>
      </w:r>
    </w:p>
    <w:p>
      <w:r>
        <w:rPr>
          <w:b/>
        </w:rPr>
        <w:t>Why it matters for AuthSignal:</w:t>
      </w:r>
      <w:r>
        <w:t xml:space="preserve"> Useful for claim denial appeal style and contrast with pre-authorization appeal framing.</w:t>
      </w:r>
    </w:p>
    <w:p>
      <w:r>
        <w:rPr>
          <w:b/>
        </w:rPr>
        <w:t>Access notes:</w:t>
      </w:r>
      <w:r>
        <w:t xml:space="preserve"> Open PDF.</w:t>
      </w:r>
    </w:p>
    <w:p>
      <w:r>
        <w:rPr>
          <w:b/>
        </w:rPr>
        <w:t>Best module fit:</w:t>
      </w:r>
      <w:r>
        <w:t xml:space="preserve"> Appeal drafting examples, denial reason quoting, evidence checklist.</w:t>
      </w:r>
    </w:p>
    <w:p>
      <w:r>
        <w:rPr>
          <w:b/>
        </w:rPr>
        <w:t>Limitations / caution:</w:t>
      </w:r>
      <w:r>
        <w:t xml:space="preserve"> Not a dataset; one sample letter.</w:t>
      </w:r>
    </w:p>
    <w:p>
      <w:r>
        <w:rPr>
          <w:b/>
        </w:rPr>
        <w:t>Suggested preprocessing:</w:t>
      </w:r>
      <w:r>
        <w:t xml:space="preserve"> Use as template pattern, not model training alone.</w:t>
      </w:r>
    </w:p>
    <w:p/>
    <w:p>
      <w:pPr>
        <w:pStyle w:val="EntryTitle"/>
        <w:keepNext/>
      </w:pPr>
      <w:r>
        <w:t>20. ACOG prior authorization denial appeal letter template</w:t>
      </w:r>
    </w:p>
    <w:p>
      <w:pPr>
        <w:spacing w:after="20"/>
      </w:pPr>
      <w:r>
        <w:rPr>
          <w:b/>
        </w:rPr>
        <w:t xml:space="preserve">Type: </w:t>
      </w:r>
      <w:r>
        <w:t>Clinician specialty appeal template</w:t>
      </w:r>
      <w:r>
        <w:t xml:space="preserve">   |   </w:t>
      </w:r>
      <w:r>
        <w:rPr>
          <w:b/>
        </w:rPr>
        <w:t xml:space="preserve">Priority: </w:t>
      </w:r>
      <w:r>
        <w:t>Useful</w:t>
      </w:r>
    </w:p>
    <w:p>
      <w:pPr>
        <w:spacing w:after="40"/>
      </w:pPr>
      <w:r>
        <w:rPr>
          <w:b/>
        </w:rPr>
        <w:t xml:space="preserve">Links: </w:t>
      </w:r>
      <w:hyperlink r:id="rId39">
        <w:r>
          <w:rPr>
            <w:color w:val="0563C1"/>
            <w:u w:val="single"/>
          </w:rPr>
          <w:t>Link</w:t>
        </w:r>
      </w:hyperlink>
      <w:r>
        <w:t xml:space="preserve"> (https://www.acog.org/advocacy/policy-priorities/non-invasive-prenatal-testing/prior-authorization/prior-authorization-denial-appeal-letter)</w:t>
      </w:r>
    </w:p>
    <w:p>
      <w:r>
        <w:rPr>
          <w:b/>
        </w:rPr>
        <w:t>Why it matters for AuthSignal:</w:t>
      </w:r>
      <w:r>
        <w:t xml:space="preserve"> Provides clinician-oriented appeal language and specialty-specific structure.</w:t>
      </w:r>
    </w:p>
    <w:p>
      <w:r>
        <w:rPr>
          <w:b/>
        </w:rPr>
        <w:t>Access notes:</w:t>
      </w:r>
      <w:r>
        <w:t xml:space="preserve"> Open web page.</w:t>
      </w:r>
    </w:p>
    <w:p>
      <w:r>
        <w:rPr>
          <w:b/>
        </w:rPr>
        <w:t>Best module fit:</w:t>
      </w:r>
      <w:r>
        <w:t xml:space="preserve"> Appeal drafting, clinician tone, medical necessity explanation.</w:t>
      </w:r>
    </w:p>
    <w:p>
      <w:r>
        <w:rPr>
          <w:b/>
        </w:rPr>
        <w:t>Limitations / caution:</w:t>
      </w:r>
      <w:r>
        <w:t xml:space="preserve"> Specialty-specific; not general for all requests.</w:t>
      </w:r>
    </w:p>
    <w:p>
      <w:r>
        <w:rPr>
          <w:b/>
        </w:rPr>
        <w:t>Suggested preprocessing:</w:t>
      </w:r>
      <w:r>
        <w:t xml:space="preserve"> Use for structure and wording patterns only.</w:t>
      </w:r>
    </w:p>
    <w:p/>
    <w:p>
      <w:pPr>
        <w:pStyle w:val="EntryTitle"/>
        <w:keepNext/>
      </w:pPr>
      <w:r>
        <w:t>21. Bimzelx letter of appeal example</w:t>
      </w:r>
    </w:p>
    <w:p>
      <w:pPr>
        <w:spacing w:after="20"/>
      </w:pPr>
      <w:r>
        <w:rPr>
          <w:b/>
        </w:rPr>
        <w:t xml:space="preserve">Type: </w:t>
      </w:r>
      <w:r>
        <w:t>Appeal example / manufacturer support document</w:t>
      </w:r>
      <w:r>
        <w:t xml:space="preserve">   |   </w:t>
      </w:r>
      <w:r>
        <w:rPr>
          <w:b/>
        </w:rPr>
        <w:t xml:space="preserve">Priority: </w:t>
      </w:r>
      <w:r>
        <w:t>Optional</w:t>
      </w:r>
    </w:p>
    <w:p>
      <w:pPr>
        <w:spacing w:after="40"/>
      </w:pPr>
      <w:r>
        <w:rPr>
          <w:b/>
        </w:rPr>
        <w:t xml:space="preserve">Links: </w:t>
      </w:r>
      <w:hyperlink r:id="rId40">
        <w:r>
          <w:rPr>
            <w:color w:val="0563C1"/>
            <w:u w:val="single"/>
          </w:rPr>
          <w:t>Link</w:t>
        </w:r>
      </w:hyperlink>
      <w:r>
        <w:t xml:space="preserve"> (https://www.bimzelxhcp.com/sites/default/files/2024-04/Letter%20of%20Appeal.pdf)</w:t>
      </w:r>
    </w:p>
    <w:p>
      <w:r>
        <w:rPr>
          <w:b/>
        </w:rPr>
        <w:t>Why it matters for AuthSignal:</w:t>
      </w:r>
      <w:r>
        <w:t xml:space="preserve"> A useful additional appeal-letter example for format compliance and field coverage.</w:t>
      </w:r>
    </w:p>
    <w:p>
      <w:r>
        <w:rPr>
          <w:b/>
        </w:rPr>
        <w:t>Access notes:</w:t>
      </w:r>
      <w:r>
        <w:t xml:space="preserve"> Open PDF in source inventory references.</w:t>
      </w:r>
    </w:p>
    <w:p>
      <w:r>
        <w:rPr>
          <w:b/>
        </w:rPr>
        <w:t>Best module fit:</w:t>
      </w:r>
      <w:r>
        <w:t xml:space="preserve"> Appeal template comparison and completeness checks.</w:t>
      </w:r>
    </w:p>
    <w:p>
      <w:r>
        <w:rPr>
          <w:b/>
        </w:rPr>
        <w:t>Limitations / caution:</w:t>
      </w:r>
      <w:r>
        <w:t xml:space="preserve"> Product-specific, so avoid overfitting to its wording.</w:t>
      </w:r>
    </w:p>
    <w:p>
      <w:r>
        <w:rPr>
          <w:b/>
        </w:rPr>
        <w:t>Suggested preprocessing:</w:t>
      </w:r>
      <w:r>
        <w:t xml:space="preserve"> Use only to compare appeal sections and attachments.</w:t>
      </w:r>
    </w:p>
    <w:p/>
    <w:p>
      <w:pPr>
        <w:pStyle w:val="Heading1"/>
      </w:pPr>
      <w:r>
        <w:t>Restricted clinical / real-world records and benchmark datasets</w:t>
      </w:r>
    </w:p>
    <w:p>
      <w:r>
        <w:t>These sources are useful for real clinical text, clinical reasoning, and benchmark evaluation, but most require credentialing, CITI training, DUAs, or dataset-specific approval.</w:t>
      </w:r>
    </w:p>
    <w:p>
      <w:pPr>
        <w:pStyle w:val="EntryTitle"/>
        <w:keepNext/>
      </w:pPr>
      <w:r>
        <w:t>22. MIMIC-IV</w:t>
      </w:r>
    </w:p>
    <w:p>
      <w:pPr>
        <w:spacing w:after="20"/>
      </w:pPr>
      <w:r>
        <w:rPr>
          <w:b/>
        </w:rPr>
        <w:t xml:space="preserve">Type: </w:t>
      </w:r>
      <w:r>
        <w:t>Restricted de-identified clinical database</w:t>
      </w:r>
      <w:r>
        <w:t xml:space="preserve">   |   </w:t>
      </w:r>
      <w:r>
        <w:rPr>
          <w:b/>
        </w:rPr>
        <w:t xml:space="preserve">Priority: </w:t>
      </w:r>
      <w:r>
        <w:t>Core research source</w:t>
      </w:r>
    </w:p>
    <w:p>
      <w:pPr>
        <w:spacing w:after="40"/>
      </w:pPr>
      <w:r>
        <w:rPr>
          <w:b/>
        </w:rPr>
        <w:t xml:space="preserve">Links: </w:t>
      </w:r>
      <w:hyperlink r:id="rId41">
        <w:r>
          <w:rPr>
            <w:color w:val="0563C1"/>
            <w:u w:val="single"/>
          </w:rPr>
          <w:t>Link 1</w:t>
        </w:r>
      </w:hyperlink>
      <w:r>
        <w:t xml:space="preserve"> (https://physionet.org/content/mimiciv/)</w:t>
      </w:r>
      <w:r>
        <w:t xml:space="preserve"> | </w:t>
      </w:r>
      <w:hyperlink r:id="rId42">
        <w:r>
          <w:rPr>
            <w:color w:val="0563C1"/>
            <w:u w:val="single"/>
          </w:rPr>
          <w:t>Link 2</w:t>
        </w:r>
      </w:hyperlink>
      <w:r>
        <w:t xml:space="preserve"> (https://physionet.org/content/mimiciv/?utm_source=chatgpt.com)</w:t>
      </w:r>
    </w:p>
    <w:p>
      <w:r>
        <w:rPr>
          <w:b/>
        </w:rPr>
        <w:t>Why it matters for AuthSignal:</w:t>
      </w:r>
      <w:r>
        <w:t xml:space="preserve"> Large real-world structured hospital data useful for clinical context, synthetic case construction, and feature engineering.</w:t>
      </w:r>
    </w:p>
    <w:p>
      <w:r>
        <w:rPr>
          <w:b/>
        </w:rPr>
        <w:t>Access notes:</w:t>
      </w:r>
      <w:r>
        <w:t xml:space="preserve"> Credentialed PhysioNet access; CITI training and DUA required.</w:t>
      </w:r>
    </w:p>
    <w:p>
      <w:r>
        <w:rPr>
          <w:b/>
        </w:rPr>
        <w:t>Best module fit:</w:t>
      </w:r>
      <w:r>
        <w:t xml:space="preserve"> Structured EHR features, clinical grounding, feature engineering.</w:t>
      </w:r>
    </w:p>
    <w:p>
      <w:r>
        <w:rPr>
          <w:b/>
        </w:rPr>
        <w:t>Limitations / caution:</w:t>
      </w:r>
      <w:r>
        <w:t xml:space="preserve"> Hospital/ICU/ED-oriented; not a prior-auth dataset by itself.</w:t>
      </w:r>
    </w:p>
    <w:p>
      <w:r>
        <w:rPr>
          <w:b/>
        </w:rPr>
        <w:t>Suggested preprocessing:</w:t>
      </w:r>
      <w:r>
        <w:t xml:space="preserve"> Use structured tables to enrich synthetic case packages.</w:t>
      </w:r>
    </w:p>
    <w:p/>
    <w:p>
      <w:pPr>
        <w:pStyle w:val="EntryTitle"/>
        <w:keepNext/>
      </w:pPr>
      <w:r>
        <w:t>23. MIMIC-IV-Note</w:t>
      </w:r>
    </w:p>
    <w:p>
      <w:pPr>
        <w:spacing w:after="20"/>
      </w:pPr>
      <w:r>
        <w:rPr>
          <w:b/>
        </w:rPr>
        <w:t xml:space="preserve">Type: </w:t>
      </w:r>
      <w:r>
        <w:t>Restricted de-identified clinical notes dataset</w:t>
      </w:r>
      <w:r>
        <w:t xml:space="preserve">   |   </w:t>
      </w:r>
      <w:r>
        <w:rPr>
          <w:b/>
        </w:rPr>
        <w:t xml:space="preserve">Priority: </w:t>
      </w:r>
      <w:r>
        <w:t>Core research source</w:t>
      </w:r>
    </w:p>
    <w:p>
      <w:pPr>
        <w:spacing w:after="40"/>
      </w:pPr>
      <w:r>
        <w:rPr>
          <w:b/>
        </w:rPr>
        <w:t xml:space="preserve">Links: </w:t>
      </w:r>
      <w:hyperlink r:id="rId43">
        <w:r>
          <w:rPr>
            <w:color w:val="0563C1"/>
            <w:u w:val="single"/>
          </w:rPr>
          <w:t>Link 1</w:t>
        </w:r>
      </w:hyperlink>
      <w:r>
        <w:t xml:space="preserve"> (https://physionet.org/content/mimic-iv-note/2.2/)</w:t>
      </w:r>
      <w:r>
        <w:t xml:space="preserve"> | </w:t>
      </w:r>
      <w:hyperlink r:id="rId44">
        <w:r>
          <w:rPr>
            <w:color w:val="0563C1"/>
            <w:u w:val="single"/>
          </w:rPr>
          <w:t>Link 2</w:t>
        </w:r>
      </w:hyperlink>
      <w:r>
        <w:t xml:space="preserve"> (https://www.physionet.org/content/mimic-iv-note/2.2/)</w:t>
      </w:r>
    </w:p>
    <w:p>
      <w:r>
        <w:rPr>
          <w:b/>
        </w:rPr>
        <w:t>Why it matters for AuthSignal:</w:t>
      </w:r>
      <w:r>
        <w:t xml:space="preserve"> Strongest source in these files for note understanding, evidence extraction, summarization, and appeal-support text pipelines.</w:t>
      </w:r>
    </w:p>
    <w:p>
      <w:r>
        <w:rPr>
          <w:b/>
        </w:rPr>
        <w:t>Access notes:</w:t>
      </w:r>
      <w:r>
        <w:t xml:space="preserve"> Credentialed PhysioNet access; training and signed DUA required.</w:t>
      </w:r>
    </w:p>
    <w:p>
      <w:r>
        <w:rPr>
          <w:b/>
        </w:rPr>
        <w:t>Best module fit:</w:t>
      </w:r>
      <w:r>
        <w:t xml:space="preserve"> Information extraction, clinical NER, evidence snippets, generation context.</w:t>
      </w:r>
    </w:p>
    <w:p>
      <w:r>
        <w:rPr>
          <w:b/>
        </w:rPr>
        <w:t>Limitations / caution:</w:t>
      </w:r>
      <w:r>
        <w:t xml:space="preserve"> Single health-system context; de-identified notes still require strict handling and no re-identification.</w:t>
      </w:r>
    </w:p>
    <w:p>
      <w:r>
        <w:rPr>
          <w:b/>
        </w:rPr>
        <w:t>Suggested preprocessing:</w:t>
      </w:r>
      <w:r>
        <w:t xml:space="preserve"> Sentence segmentation tuned for clinical text; medication normalization via RxNorm; ICD linkage where possible; PHI sanity checks before sharing outputs.</w:t>
      </w:r>
    </w:p>
    <w:p/>
    <w:p>
      <w:pPr>
        <w:pStyle w:val="EntryTitle"/>
        <w:keepNext/>
      </w:pPr>
      <w:r>
        <w:t>24. MIMIC-IV-ED</w:t>
      </w:r>
    </w:p>
    <w:p>
      <w:pPr>
        <w:spacing w:after="20"/>
      </w:pPr>
      <w:r>
        <w:rPr>
          <w:b/>
        </w:rPr>
        <w:t xml:space="preserve">Type: </w:t>
      </w:r>
      <w:r>
        <w:t>Restricted emergency department dataset</w:t>
      </w:r>
      <w:r>
        <w:t xml:space="preserve">   |   </w:t>
      </w:r>
      <w:r>
        <w:rPr>
          <w:b/>
        </w:rPr>
        <w:t xml:space="preserve">Priority: </w:t>
      </w:r>
      <w:r>
        <w:t>Useful</w:t>
      </w:r>
    </w:p>
    <w:p>
      <w:pPr>
        <w:spacing w:after="40"/>
      </w:pPr>
      <w:r>
        <w:rPr>
          <w:b/>
        </w:rPr>
        <w:t xml:space="preserve">Links: </w:t>
      </w:r>
      <w:hyperlink r:id="rId45">
        <w:r>
          <w:rPr>
            <w:color w:val="0563C1"/>
            <w:u w:val="single"/>
          </w:rPr>
          <w:t>Link</w:t>
        </w:r>
      </w:hyperlink>
      <w:r>
        <w:t xml:space="preserve"> (https://physionet.org/content/mimic-iv-ed/2.2/)</w:t>
      </w:r>
    </w:p>
    <w:p>
      <w:r>
        <w:rPr>
          <w:b/>
        </w:rPr>
        <w:t>Why it matters for AuthSignal:</w:t>
      </w:r>
      <w:r>
        <w:t xml:space="preserve"> Useful for urgent-care and acute-service cases that may connect to authorization decision flows.</w:t>
      </w:r>
    </w:p>
    <w:p>
      <w:r>
        <w:rPr>
          <w:b/>
        </w:rPr>
        <w:t>Access notes:</w:t>
      </w:r>
      <w:r>
        <w:t xml:space="preserve"> Credentialed PhysioNet access; CITI training and DUA required.</w:t>
      </w:r>
    </w:p>
    <w:p>
      <w:r>
        <w:rPr>
          <w:b/>
        </w:rPr>
        <w:t>Best module fit:</w:t>
      </w:r>
      <w:r>
        <w:t xml:space="preserve"> ED encounter context, urgent service cases, structured features.</w:t>
      </w:r>
    </w:p>
    <w:p>
      <w:r>
        <w:rPr>
          <w:b/>
        </w:rPr>
        <w:t>Limitations / caution:</w:t>
      </w:r>
      <w:r>
        <w:t xml:space="preserve"> ED setting may not match planned authorization workflows directly.</w:t>
      </w:r>
    </w:p>
    <w:p>
      <w:r>
        <w:rPr>
          <w:b/>
        </w:rPr>
        <w:t>Suggested preprocessing:</w:t>
      </w:r>
      <w:r>
        <w:t xml:space="preserve"> Use for encounter context rather than payer decision labels.</w:t>
      </w:r>
    </w:p>
    <w:p/>
    <w:p>
      <w:pPr>
        <w:pStyle w:val="EntryTitle"/>
        <w:keepNext/>
      </w:pPr>
      <w:r>
        <w:t>25. eICU Collaborative Research Database</w:t>
      </w:r>
    </w:p>
    <w:p>
      <w:pPr>
        <w:spacing w:after="20"/>
      </w:pPr>
      <w:r>
        <w:rPr>
          <w:b/>
        </w:rPr>
        <w:t xml:space="preserve">Type: </w:t>
      </w:r>
      <w:r>
        <w:t>Restricted multi-center ICU database</w:t>
      </w:r>
      <w:r>
        <w:t xml:space="preserve">   |   </w:t>
      </w:r>
      <w:r>
        <w:rPr>
          <w:b/>
        </w:rPr>
        <w:t xml:space="preserve">Priority: </w:t>
      </w:r>
      <w:r>
        <w:t>Useful</w:t>
      </w:r>
    </w:p>
    <w:p>
      <w:pPr>
        <w:spacing w:after="40"/>
      </w:pPr>
      <w:r>
        <w:rPr>
          <w:b/>
        </w:rPr>
        <w:t xml:space="preserve">Links: </w:t>
      </w:r>
      <w:hyperlink r:id="rId46">
        <w:r>
          <w:rPr>
            <w:color w:val="0563C1"/>
            <w:u w:val="single"/>
          </w:rPr>
          <w:t>Link 1</w:t>
        </w:r>
      </w:hyperlink>
      <w:r>
        <w:t xml:space="preserve"> (https://physionet.org/content/eicu-crd/2.0/)</w:t>
      </w:r>
      <w:r>
        <w:t xml:space="preserve"> | </w:t>
      </w:r>
      <w:hyperlink r:id="rId47">
        <w:r>
          <w:rPr>
            <w:color w:val="0563C1"/>
            <w:u w:val="single"/>
          </w:rPr>
          <w:t>Link 2</w:t>
        </w:r>
      </w:hyperlink>
      <w:r>
        <w:t xml:space="preserve"> (https://eicu-crd.mit.edu/)</w:t>
      </w:r>
      <w:r>
        <w:t xml:space="preserve"> | </w:t>
      </w:r>
      <w:hyperlink r:id="rId48">
        <w:r>
          <w:rPr>
            <w:color w:val="0563C1"/>
            <w:u w:val="single"/>
          </w:rPr>
          <w:t>Link 3</w:t>
        </w:r>
      </w:hyperlink>
      <w:r>
        <w:t xml:space="preserve"> (https://eicu-crd.mit.edu/eicutables/note/)</w:t>
      </w:r>
      <w:r>
        <w:t xml:space="preserve"> | </w:t>
      </w:r>
      <w:hyperlink r:id="rId49">
        <w:r>
          <w:rPr>
            <w:color w:val="0563C1"/>
            <w:u w:val="single"/>
          </w:rPr>
          <w:t>Link 4</w:t>
        </w:r>
      </w:hyperlink>
      <w:r>
        <w:t xml:space="preserve"> (https://eicu-crd.mit.edu/gettingstarted/access/)</w:t>
      </w:r>
    </w:p>
    <w:p>
      <w:r>
        <w:rPr>
          <w:b/>
        </w:rPr>
        <w:t>Why it matters for AuthSignal:</w:t>
      </w:r>
      <w:r>
        <w:t xml:space="preserve"> Good alternative or complement to MIMIC because it provides multi-center variation and note tables.</w:t>
      </w:r>
    </w:p>
    <w:p>
      <w:r>
        <w:rPr>
          <w:b/>
        </w:rPr>
        <w:t>Access notes:</w:t>
      </w:r>
      <w:r>
        <w:t xml:space="preserve"> Credentialed PhysioNet access; human-subjects training and DUA required.</w:t>
      </w:r>
    </w:p>
    <w:p>
      <w:r>
        <w:rPr>
          <w:b/>
        </w:rPr>
        <w:t>Best module fit:</w:t>
      </w:r>
      <w:r>
        <w:t xml:space="preserve"> IE generalization, ingestion pipelines, robustness testing.</w:t>
      </w:r>
    </w:p>
    <w:p>
      <w:r>
        <w:rPr>
          <w:b/>
        </w:rPr>
        <w:t>Limitations / caution:</w:t>
      </w:r>
      <w:r>
        <w:t xml:space="preserve"> ICU-focused; notes can be noisy and variable.</w:t>
      </w:r>
    </w:p>
    <w:p>
      <w:r>
        <w:rPr>
          <w:b/>
        </w:rPr>
        <w:t>Suggested preprocessing:</w:t>
      </w:r>
      <w:r>
        <w:t xml:space="preserve"> Use to test whether extraction logic generalizes across hospitals.</w:t>
      </w:r>
    </w:p>
    <w:p/>
    <w:p>
      <w:pPr>
        <w:pStyle w:val="EntryTitle"/>
        <w:keepNext/>
      </w:pPr>
      <w:r>
        <w:t>26. MIMIC-III</w:t>
      </w:r>
    </w:p>
    <w:p>
      <w:pPr>
        <w:spacing w:after="20"/>
      </w:pPr>
      <w:r>
        <w:rPr>
          <w:b/>
        </w:rPr>
        <w:t xml:space="preserve">Type: </w:t>
      </w:r>
      <w:r>
        <w:t>Restricted legacy clinical database</w:t>
      </w:r>
      <w:r>
        <w:t xml:space="preserve">   |   </w:t>
      </w:r>
      <w:r>
        <w:rPr>
          <w:b/>
        </w:rPr>
        <w:t xml:space="preserve">Priority: </w:t>
      </w:r>
      <w:r>
        <w:t>Useful</w:t>
      </w:r>
    </w:p>
    <w:p>
      <w:pPr>
        <w:spacing w:after="40"/>
      </w:pPr>
      <w:r>
        <w:rPr>
          <w:b/>
        </w:rPr>
        <w:t xml:space="preserve">Links: </w:t>
      </w:r>
      <w:hyperlink r:id="rId50">
        <w:r>
          <w:rPr>
            <w:color w:val="0563C1"/>
            <w:u w:val="single"/>
          </w:rPr>
          <w:t>Link 1</w:t>
        </w:r>
      </w:hyperlink>
      <w:r>
        <w:t xml:space="preserve"> (https://physionet.org/content/mimiciii/)</w:t>
      </w:r>
      <w:r>
        <w:t xml:space="preserve"> | </w:t>
      </w:r>
      <w:hyperlink r:id="rId51">
        <w:r>
          <w:rPr>
            <w:color w:val="0563C1"/>
            <w:u w:val="single"/>
          </w:rPr>
          <w:t>Link 2</w:t>
        </w:r>
      </w:hyperlink>
      <w:r>
        <w:t xml:space="preserve"> (https://physionet.org/content/mimiciii/view-required-training/1.4/)</w:t>
      </w:r>
      <w:r>
        <w:t xml:space="preserve"> | </w:t>
      </w:r>
      <w:hyperlink r:id="rId52">
        <w:r>
          <w:rPr>
            <w:color w:val="0563C1"/>
            <w:u w:val="single"/>
          </w:rPr>
          <w:t>Link 3</w:t>
        </w:r>
      </w:hyperlink>
      <w:r>
        <w:t xml:space="preserve"> (https://pmc.ncbi.nlm.nih.gov/articles/PMC4878278/)</w:t>
      </w:r>
    </w:p>
    <w:p>
      <w:r>
        <w:rPr>
          <w:b/>
        </w:rPr>
        <w:t>Why it matters for AuthSignal:</w:t>
      </w:r>
      <w:r>
        <w:t xml:space="preserve"> Older but widely used source for structured EHR and notes; useful when reusing existing clinical NLP code and baselines.</w:t>
      </w:r>
    </w:p>
    <w:p>
      <w:r>
        <w:rPr>
          <w:b/>
        </w:rPr>
        <w:t>Access notes:</w:t>
      </w:r>
      <w:r>
        <w:t xml:space="preserve"> Credentialed PhysioNet access; training and DUA required.</w:t>
      </w:r>
    </w:p>
    <w:p>
      <w:r>
        <w:rPr>
          <w:b/>
        </w:rPr>
        <w:t>Best module fit:</w:t>
      </w:r>
      <w:r>
        <w:t xml:space="preserve"> Clinical NLP baselines, de-identification, note extraction experiments.</w:t>
      </w:r>
    </w:p>
    <w:p>
      <w:r>
        <w:rPr>
          <w:b/>
        </w:rPr>
        <w:t>Limitations / caution:</w:t>
      </w:r>
      <w:r>
        <w:t xml:space="preserve"> Older care patterns and single-center origin.</w:t>
      </w:r>
    </w:p>
    <w:p>
      <w:r>
        <w:rPr>
          <w:b/>
        </w:rPr>
        <w:t>Suggested preprocessing:</w:t>
      </w:r>
      <w:r>
        <w:t xml:space="preserve"> Use as fallback if MIMIC-IV-Note access is delayed.</w:t>
      </w:r>
    </w:p>
    <w:p/>
    <w:p>
      <w:pPr>
        <w:pStyle w:val="EntryTitle"/>
        <w:keepNext/>
      </w:pPr>
      <w:r>
        <w:t>27. MedNLI</w:t>
      </w:r>
    </w:p>
    <w:p>
      <w:pPr>
        <w:spacing w:after="20"/>
      </w:pPr>
      <w:r>
        <w:rPr>
          <w:b/>
        </w:rPr>
        <w:t xml:space="preserve">Type: </w:t>
      </w:r>
      <w:r>
        <w:t>Clinical natural language inference dataset</w:t>
      </w:r>
      <w:r>
        <w:t xml:space="preserve">   |   </w:t>
      </w:r>
      <w:r>
        <w:rPr>
          <w:b/>
        </w:rPr>
        <w:t xml:space="preserve">Priority: </w:t>
      </w:r>
      <w:r>
        <w:t>Optional benchmark</w:t>
      </w:r>
    </w:p>
    <w:p>
      <w:pPr>
        <w:spacing w:after="40"/>
      </w:pPr>
      <w:r>
        <w:rPr>
          <w:b/>
        </w:rPr>
        <w:t xml:space="preserve">Links: </w:t>
      </w:r>
      <w:hyperlink r:id="rId53">
        <w:r>
          <w:rPr>
            <w:color w:val="0563C1"/>
            <w:u w:val="single"/>
          </w:rPr>
          <w:t>Link</w:t>
        </w:r>
      </w:hyperlink>
      <w:r>
        <w:t xml:space="preserve"> (https://physionet.org/content/mednli/1.0.0/)</w:t>
      </w:r>
    </w:p>
    <w:p>
      <w:r>
        <w:rPr>
          <w:b/>
        </w:rPr>
        <w:t>Why it matters for AuthSignal:</w:t>
      </w:r>
      <w:r>
        <w:t xml:space="preserve"> Not a prior-auth dataset, but useful for evaluating clinical textual reasoning components.</w:t>
      </w:r>
    </w:p>
    <w:p>
      <w:r>
        <w:rPr>
          <w:b/>
        </w:rPr>
        <w:t>Access notes:</w:t>
      </w:r>
      <w:r>
        <w:t xml:space="preserve"> Restricted PhysioNet credentialed access.</w:t>
      </w:r>
    </w:p>
    <w:p>
      <w:r>
        <w:rPr>
          <w:b/>
        </w:rPr>
        <w:t>Best module fit:</w:t>
      </w:r>
      <w:r>
        <w:t xml:space="preserve"> Clinical reasoning evaluation and NLI-style experiments.</w:t>
      </w:r>
    </w:p>
    <w:p>
      <w:r>
        <w:rPr>
          <w:b/>
        </w:rPr>
        <w:t>Limitations / caution:</w:t>
      </w:r>
      <w:r>
        <w:t xml:space="preserve"> Does not provide prior-auth labels.</w:t>
      </w:r>
    </w:p>
    <w:p>
      <w:r>
        <w:rPr>
          <w:b/>
        </w:rPr>
        <w:t>Suggested preprocessing:</w:t>
      </w:r>
      <w:r>
        <w:t xml:space="preserve"> Use only if the project includes clinical reasoning evaluation.</w:t>
      </w:r>
    </w:p>
    <w:p/>
    <w:p>
      <w:pPr>
        <w:pStyle w:val="EntryTitle"/>
        <w:keepNext/>
      </w:pPr>
      <w:r>
        <w:t>28. i2b2 2014 de-identification shared task</w:t>
      </w:r>
    </w:p>
    <w:p>
      <w:pPr>
        <w:spacing w:after="20"/>
      </w:pPr>
      <w:r>
        <w:rPr>
          <w:b/>
        </w:rPr>
        <w:t xml:space="preserve">Type: </w:t>
      </w:r>
      <w:r>
        <w:t>Benchmark de-identification / NER corpus</w:t>
      </w:r>
      <w:r>
        <w:t xml:space="preserve">   |   </w:t>
      </w:r>
      <w:r>
        <w:rPr>
          <w:b/>
        </w:rPr>
        <w:t xml:space="preserve">Priority: </w:t>
      </w:r>
      <w:r>
        <w:t>Useful benchmark</w:t>
      </w:r>
    </w:p>
    <w:p>
      <w:pPr>
        <w:spacing w:after="40"/>
      </w:pPr>
      <w:r>
        <w:rPr>
          <w:b/>
        </w:rPr>
        <w:t xml:space="preserve">Links: </w:t>
      </w:r>
      <w:hyperlink r:id="rId54">
        <w:r>
          <w:rPr>
            <w:color w:val="0563C1"/>
            <w:u w:val="single"/>
          </w:rPr>
          <w:t>Link 1</w:t>
        </w:r>
      </w:hyperlink>
      <w:r>
        <w:t xml:space="preserve"> (https://www.i2b2.org/NLP/HeartDisease/)</w:t>
      </w:r>
      <w:r>
        <w:t xml:space="preserve"> | </w:t>
      </w:r>
      <w:hyperlink r:id="rId55">
        <w:r>
          <w:rPr>
            <w:color w:val="0563C1"/>
            <w:u w:val="single"/>
          </w:rPr>
          <w:t>Link 2</w:t>
        </w:r>
      </w:hyperlink>
      <w:r>
        <w:t xml:space="preserve"> (https://www.i2b2.org/NLP/DataSets/AgreementAR.php)</w:t>
      </w:r>
      <w:r>
        <w:t xml:space="preserve"> | </w:t>
      </w:r>
      <w:hyperlink r:id="rId56">
        <w:r>
          <w:rPr>
            <w:color w:val="0563C1"/>
            <w:u w:val="single"/>
          </w:rPr>
          <w:t>Link 3</w:t>
        </w:r>
      </w:hyperlink>
      <w:r>
        <w:t xml:space="preserve"> (https://www.sciencedirect.com/science/article/pii/S1532046415001823)</w:t>
      </w:r>
    </w:p>
    <w:p>
      <w:r>
        <w:rPr>
          <w:b/>
        </w:rPr>
        <w:t>Why it matters for AuthSignal:</w:t>
      </w:r>
      <w:r>
        <w:t xml:space="preserve"> Useful for evaluating PHI stripping and robust clinical NER that supports safe downstream processing.</w:t>
      </w:r>
    </w:p>
    <w:p>
      <w:r>
        <w:rPr>
          <w:b/>
        </w:rPr>
        <w:t>Access notes:</w:t>
      </w:r>
      <w:r>
        <w:t xml:space="preserve"> Academic DUA; prohibits re-identification and redistribution.</w:t>
      </w:r>
    </w:p>
    <w:p>
      <w:r>
        <w:rPr>
          <w:b/>
        </w:rPr>
        <w:t>Best module fit:</w:t>
      </w:r>
      <w:r>
        <w:t xml:space="preserve"> PHI safety, de-identification, clinical entity extraction evaluation.</w:t>
      </w:r>
    </w:p>
    <w:p>
      <w:r>
        <w:rPr>
          <w:b/>
        </w:rPr>
        <w:t>Limitations / caution:</w:t>
      </w:r>
      <w:r>
        <w:t xml:space="preserve"> Access and redistribution restrictions apply.</w:t>
      </w:r>
    </w:p>
    <w:p>
      <w:r>
        <w:rPr>
          <w:b/>
        </w:rPr>
        <w:t>Suggested preprocessing:</w:t>
      </w:r>
      <w:r>
        <w:t xml:space="preserve"> Use entity-level F1 and strict span matching where allowed.</w:t>
      </w:r>
    </w:p>
    <w:p/>
    <w:p>
      <w:pPr>
        <w:pStyle w:val="EntryTitle"/>
        <w:keepNext/>
      </w:pPr>
      <w:r>
        <w:t>29. ShARe/CLEF eHealth 2013</w:t>
      </w:r>
    </w:p>
    <w:p>
      <w:pPr>
        <w:spacing w:after="20"/>
      </w:pPr>
      <w:r>
        <w:rPr>
          <w:b/>
        </w:rPr>
        <w:t xml:space="preserve">Type: </w:t>
      </w:r>
      <w:r>
        <w:t>Clinical disorder identification / normalization benchmark</w:t>
      </w:r>
      <w:r>
        <w:t xml:space="preserve">   |   </w:t>
      </w:r>
      <w:r>
        <w:rPr>
          <w:b/>
        </w:rPr>
        <w:t xml:space="preserve">Priority: </w:t>
      </w:r>
      <w:r>
        <w:t>Useful benchmark</w:t>
      </w:r>
    </w:p>
    <w:p>
      <w:pPr>
        <w:spacing w:after="40"/>
      </w:pPr>
      <w:r>
        <w:rPr>
          <w:b/>
        </w:rPr>
        <w:t xml:space="preserve">Links: </w:t>
      </w:r>
      <w:hyperlink r:id="rId57">
        <w:r>
          <w:rPr>
            <w:color w:val="0563C1"/>
            <w:u w:val="single"/>
          </w:rPr>
          <w:t>Link 1</w:t>
        </w:r>
      </w:hyperlink>
      <w:r>
        <w:t xml:space="preserve"> (https://physionet.org/content/shareclefehealth2013/1.0/)</w:t>
      </w:r>
      <w:r>
        <w:t xml:space="preserve"> | </w:t>
      </w:r>
      <w:hyperlink r:id="rId58">
        <w:r>
          <w:rPr>
            <w:color w:val="0563C1"/>
            <w:u w:val="single"/>
          </w:rPr>
          <w:t>Link 2</w:t>
        </w:r>
      </w:hyperlink>
      <w:r>
        <w:t xml:space="preserve"> (https://clefehealth.imag.fr/clefehealth.imag.fr/index3fd7.html?page_id=441)</w:t>
      </w:r>
      <w:r>
        <w:t xml:space="preserve"> | </w:t>
      </w:r>
      <w:hyperlink r:id="rId59">
        <w:r>
          <w:rPr>
            <w:color w:val="0563C1"/>
            <w:u w:val="single"/>
          </w:rPr>
          <w:t>Link 3</w:t>
        </w:r>
      </w:hyperlink>
      <w:r>
        <w:t xml:space="preserve"> (https://ceur-ws.org/Vol-1179/CLEF2013wn-CLEFeHealth-MoweryEt2013.pdf)</w:t>
      </w:r>
    </w:p>
    <w:p>
      <w:r>
        <w:rPr>
          <w:b/>
        </w:rPr>
        <w:t>Why it matters for AuthSignal:</w:t>
      </w:r>
      <w:r>
        <w:t xml:space="preserve"> Good benchmark for disorder extraction and normalization, which can feed prior-auth evidence extraction.</w:t>
      </w:r>
    </w:p>
    <w:p>
      <w:r>
        <w:rPr>
          <w:b/>
        </w:rPr>
        <w:t>Access notes:</w:t>
      </w:r>
      <w:r>
        <w:t xml:space="preserve"> PhysioNet/access terms apply.</w:t>
      </w:r>
    </w:p>
    <w:p>
      <w:r>
        <w:rPr>
          <w:b/>
        </w:rPr>
        <w:t>Best module fit:</w:t>
      </w:r>
      <w:r>
        <w:t xml:space="preserve"> Clinical entity extraction, disorder normalization, IE evaluation.</w:t>
      </w:r>
    </w:p>
    <w:p>
      <w:r>
        <w:rPr>
          <w:b/>
        </w:rPr>
        <w:t>Limitations / caution:</w:t>
      </w:r>
      <w:r>
        <w:t xml:space="preserve"> Small compared with MIMIC; not prior-auth specific.</w:t>
      </w:r>
    </w:p>
    <w:p>
      <w:r>
        <w:rPr>
          <w:b/>
        </w:rPr>
        <w:t>Suggested preprocessing:</w:t>
      </w:r>
      <w:r>
        <w:t xml:space="preserve"> Use for strict extraction evaluation.</w:t>
      </w:r>
    </w:p>
    <w:p/>
    <w:p>
      <w:pPr>
        <w:pStyle w:val="EntryTitle"/>
        <w:keepNext/>
      </w:pPr>
      <w:r>
        <w:t>30. MADE 1.0</w:t>
      </w:r>
    </w:p>
    <w:p>
      <w:pPr>
        <w:spacing w:after="20"/>
      </w:pPr>
      <w:r>
        <w:rPr>
          <w:b/>
        </w:rPr>
        <w:t xml:space="preserve">Type: </w:t>
      </w:r>
      <w:r>
        <w:t>Medication and adverse drug event EHR note benchmark</w:t>
      </w:r>
      <w:r>
        <w:t xml:space="preserve">   |   </w:t>
      </w:r>
      <w:r>
        <w:rPr>
          <w:b/>
        </w:rPr>
        <w:t xml:space="preserve">Priority: </w:t>
      </w:r>
      <w:r>
        <w:t>Useful for medication PA</w:t>
      </w:r>
    </w:p>
    <w:p>
      <w:pPr>
        <w:spacing w:after="40"/>
      </w:pPr>
      <w:r>
        <w:rPr>
          <w:b/>
        </w:rPr>
        <w:t xml:space="preserve">Links: </w:t>
      </w:r>
      <w:hyperlink r:id="rId60">
        <w:r>
          <w:rPr>
            <w:color w:val="0563C1"/>
            <w:u w:val="single"/>
          </w:rPr>
          <w:t>Link</w:t>
        </w:r>
      </w:hyperlink>
      <w:r>
        <w:t xml:space="preserve"> (https://pmc.ncbi.nlm.nih.gov/articles/PMC6288593/)</w:t>
      </w:r>
    </w:p>
    <w:p>
      <w:r>
        <w:rPr>
          <w:b/>
        </w:rPr>
        <w:t>Why it matters for AuthSignal:</w:t>
      </w:r>
      <w:r>
        <w:t xml:space="preserve"> Useful methodology and benchmark direction for medication extraction and contextual reasoning relevant to drug prior authorization.</w:t>
      </w:r>
    </w:p>
    <w:p>
      <w:r>
        <w:rPr>
          <w:b/>
        </w:rPr>
        <w:t>Access notes:</w:t>
      </w:r>
      <w:r>
        <w:t xml:space="preserve"> Access depends on dataset availability and terms described by the source; source inventory referenced the survey/evidence paper.</w:t>
      </w:r>
    </w:p>
    <w:p>
      <w:r>
        <w:rPr>
          <w:b/>
        </w:rPr>
        <w:t>Best module fit:</w:t>
      </w:r>
      <w:r>
        <w:t xml:space="preserve"> Medication entity extraction and attributes.</w:t>
      </w:r>
    </w:p>
    <w:p>
      <w:r>
        <w:rPr>
          <w:b/>
        </w:rPr>
        <w:t>Limitations / caution:</w:t>
      </w:r>
      <w:r>
        <w:t xml:space="preserve"> Not a general prior-auth dataset.</w:t>
      </w:r>
    </w:p>
    <w:p>
      <w:r>
        <w:rPr>
          <w:b/>
        </w:rPr>
        <w:t>Suggested preprocessing:</w:t>
      </w:r>
      <w:r>
        <w:t xml:space="preserve"> Use methods and labels as reference for medication-related extraction.</w:t>
      </w:r>
    </w:p>
    <w:p/>
    <w:p>
      <w:pPr>
        <w:pStyle w:val="EntryTitle"/>
        <w:keepNext/>
      </w:pPr>
      <w:r>
        <w:t>31. n2c2 clinical NLP datasets</w:t>
      </w:r>
    </w:p>
    <w:p>
      <w:pPr>
        <w:spacing w:after="20"/>
      </w:pPr>
      <w:r>
        <w:rPr>
          <w:b/>
        </w:rPr>
        <w:t xml:space="preserve">Type: </w:t>
      </w:r>
      <w:r>
        <w:t>Clinical NLP shared-task datasets</w:t>
      </w:r>
      <w:r>
        <w:t xml:space="preserve">   |   </w:t>
      </w:r>
      <w:r>
        <w:rPr>
          <w:b/>
        </w:rPr>
        <w:t xml:space="preserve">Priority: </w:t>
      </w:r>
      <w:r>
        <w:t>Useful benchmark</w:t>
      </w:r>
    </w:p>
    <w:p>
      <w:pPr>
        <w:spacing w:after="40"/>
      </w:pPr>
      <w:r>
        <w:rPr>
          <w:b/>
        </w:rPr>
        <w:t xml:space="preserve">Links: </w:t>
      </w:r>
      <w:hyperlink r:id="rId61">
        <w:r>
          <w:rPr>
            <w:color w:val="0563C1"/>
            <w:u w:val="single"/>
          </w:rPr>
          <w:t>Link 1</w:t>
        </w:r>
      </w:hyperlink>
      <w:r>
        <w:t xml:space="preserve"> (https://n2c2.dbmi.hms.harvard.edu/data-sets)</w:t>
      </w:r>
      <w:r>
        <w:t xml:space="preserve"> | </w:t>
      </w:r>
      <w:hyperlink r:id="rId62">
        <w:r>
          <w:rPr>
            <w:color w:val="0563C1"/>
            <w:u w:val="single"/>
          </w:rPr>
          <w:t>Link 2</w:t>
        </w:r>
      </w:hyperlink>
      <w:r>
        <w:t xml:space="preserve"> (https://academic.oup.com/jamia/article/26/11/1247/5568257)</w:t>
      </w:r>
    </w:p>
    <w:p>
      <w:r>
        <w:rPr>
          <w:b/>
        </w:rPr>
        <w:t>Why it matters for AuthSignal:</w:t>
      </w:r>
      <w:r>
        <w:t xml:space="preserve"> Controlled evaluation source for extraction and classification subtasks under DUA.</w:t>
      </w:r>
    </w:p>
    <w:p>
      <w:r>
        <w:rPr>
          <w:b/>
        </w:rPr>
        <w:t>Access notes:</w:t>
      </w:r>
      <w:r>
        <w:t xml:space="preserve"> Datasets are available under individual DUAs; each user must access data separately.</w:t>
      </w:r>
    </w:p>
    <w:p>
      <w:r>
        <w:rPr>
          <w:b/>
        </w:rPr>
        <w:t>Best module fit:</w:t>
      </w:r>
      <w:r>
        <w:t xml:space="preserve"> Extraction, classification, cohort selection, benchmark evaluation.</w:t>
      </w:r>
    </w:p>
    <w:p>
      <w:r>
        <w:rPr>
          <w:b/>
        </w:rPr>
        <w:t>Limitations / caution:</w:t>
      </w:r>
      <w:r>
        <w:t xml:space="preserve"> Task-specific sizes and access constraints vary.</w:t>
      </w:r>
    </w:p>
    <w:p>
      <w:r>
        <w:rPr>
          <w:b/>
        </w:rPr>
        <w:t>Suggested preprocessing:</w:t>
      </w:r>
      <w:r>
        <w:t xml:space="preserve"> Use for controlled evaluation if approval is obtained.</w:t>
      </w:r>
    </w:p>
    <w:p/>
    <w:p>
      <w:pPr>
        <w:pStyle w:val="Heading1"/>
      </w:pPr>
      <w:r>
        <w:t>Public policy / coverage / plan sources</w:t>
      </w:r>
    </w:p>
    <w:p>
      <w:r>
        <w:t>These are the best official coverage, plan, coding, PA-standard, and regulation sources for policy retrieval and realistic system design.</w:t>
      </w:r>
    </w:p>
    <w:p>
      <w:pPr>
        <w:pStyle w:val="EntryTitle"/>
        <w:keepNext/>
      </w:pPr>
      <w:r>
        <w:t>32. CMS Medicare Coverage Database downloads</w:t>
      </w:r>
    </w:p>
    <w:p>
      <w:pPr>
        <w:spacing w:after="20"/>
      </w:pPr>
      <w:r>
        <w:rPr>
          <w:b/>
        </w:rPr>
        <w:t xml:space="preserve">Type: </w:t>
      </w:r>
      <w:r>
        <w:t>Public LCD/NCD/Article dataset download page</w:t>
      </w:r>
      <w:r>
        <w:t xml:space="preserve">   |   </w:t>
      </w:r>
      <w:r>
        <w:rPr>
          <w:b/>
        </w:rPr>
        <w:t xml:space="preserve">Priority: </w:t>
      </w:r>
      <w:r>
        <w:t>Core</w:t>
      </w:r>
    </w:p>
    <w:p>
      <w:pPr>
        <w:spacing w:after="40"/>
      </w:pPr>
      <w:r>
        <w:rPr>
          <w:b/>
        </w:rPr>
        <w:t xml:space="preserve">Links: </w:t>
      </w:r>
      <w:hyperlink r:id="rId63">
        <w:r>
          <w:rPr>
            <w:color w:val="0563C1"/>
            <w:u w:val="single"/>
          </w:rPr>
          <w:t>Link 1</w:t>
        </w:r>
      </w:hyperlink>
      <w:r>
        <w:t xml:space="preserve"> (https://www.cms.gov/medicare-coverage-database/downloads/downloads.aspx)</w:t>
      </w:r>
      <w:r>
        <w:t xml:space="preserve"> | </w:t>
      </w:r>
      <w:hyperlink r:id="rId64">
        <w:r>
          <w:rPr>
            <w:color w:val="0563C1"/>
            <w:u w:val="single"/>
          </w:rPr>
          <w:t>Link 2</w:t>
        </w:r>
      </w:hyperlink>
      <w:r>
        <w:t xml:space="preserve"> (https://downloads.cms.gov/medicare-coverage-database/downloads/exports/all_data.zip)</w:t>
      </w:r>
    </w:p>
    <w:p>
      <w:r>
        <w:rPr>
          <w:b/>
        </w:rPr>
        <w:t>Why it matters for AuthSignal:</w:t>
      </w:r>
      <w:r>
        <w:t xml:space="preserve"> Best official source for downloadable Medicare coverage documents, including Local Coverage Determinations, National Coverage Determinations, Articles, and related dictionaries.</w:t>
      </w:r>
    </w:p>
    <w:p>
      <w:r>
        <w:rPr>
          <w:b/>
        </w:rPr>
        <w:t>Access notes:</w:t>
      </w:r>
      <w:r>
        <w:t xml:space="preserve"> Open CMS download page; some code content may involve license-related terms.</w:t>
      </w:r>
    </w:p>
    <w:p>
      <w:r>
        <w:rPr>
          <w:b/>
        </w:rPr>
        <w:t>Best module fit:</w:t>
      </w:r>
      <w:r>
        <w:t xml:space="preserve"> Policy retrieval, criteria extraction, code-policy joins, medical necessity reasoning.</w:t>
      </w:r>
    </w:p>
    <w:p>
      <w:r>
        <w:rPr>
          <w:b/>
        </w:rPr>
        <w:t>Limitations / caution:</w:t>
      </w:r>
      <w:r>
        <w:t xml:space="preserve"> Medicare coverage language is not identical to every commercial payer's utilization management criteria.</w:t>
      </w:r>
    </w:p>
    <w:p>
      <w:r>
        <w:rPr>
          <w:b/>
        </w:rPr>
        <w:t>Suggested preprocessing:</w:t>
      </w:r>
      <w:r>
        <w:t xml:space="preserve"> Index by document ID, section heading, HCPCS/ICD terms, jurisdiction, and current/retired status.</w:t>
      </w:r>
    </w:p>
    <w:p/>
    <w:p>
      <w:pPr>
        <w:pStyle w:val="EntryTitle"/>
        <w:keepNext/>
      </w:pPr>
      <w:r>
        <w:t>33. CMS Coverage API</w:t>
      </w:r>
    </w:p>
    <w:p>
      <w:pPr>
        <w:spacing w:after="20"/>
      </w:pPr>
      <w:r>
        <w:rPr>
          <w:b/>
        </w:rPr>
        <w:t xml:space="preserve">Type: </w:t>
      </w:r>
      <w:r>
        <w:t>Programmatic Medicare coverage API</w:t>
      </w:r>
      <w:r>
        <w:t xml:space="preserve">   |   </w:t>
      </w:r>
      <w:r>
        <w:rPr>
          <w:b/>
        </w:rPr>
        <w:t xml:space="preserve">Priority: </w:t>
      </w:r>
      <w:r>
        <w:t>Core</w:t>
      </w:r>
    </w:p>
    <w:p>
      <w:pPr>
        <w:spacing w:after="40"/>
      </w:pPr>
      <w:r>
        <w:rPr>
          <w:b/>
        </w:rPr>
        <w:t xml:space="preserve">Links: </w:t>
      </w:r>
      <w:hyperlink r:id="rId65">
        <w:r>
          <w:rPr>
            <w:color w:val="0563C1"/>
            <w:u w:val="single"/>
          </w:rPr>
          <w:t>Link</w:t>
        </w:r>
      </w:hyperlink>
      <w:r>
        <w:t xml:space="preserve"> (https://api.coverage.cms.gov/)</w:t>
      </w:r>
    </w:p>
    <w:p>
      <w:r>
        <w:rPr>
          <w:b/>
        </w:rPr>
        <w:t>Why it matters for AuthSignal:</w:t>
      </w:r>
      <w:r>
        <w:t xml:space="preserve"> Programmatic way to retrieve and refresh NCD/LCD-related coverage data and code-based search results.</w:t>
      </w:r>
    </w:p>
    <w:p>
      <w:r>
        <w:rPr>
          <w:b/>
        </w:rPr>
        <w:t>Access notes:</w:t>
      </w:r>
      <w:r>
        <w:t xml:space="preserve"> No general API key required according to source inventory notes, but some endpoints may require license agreement tokens and throttling applies.</w:t>
      </w:r>
    </w:p>
    <w:p>
      <w:r>
        <w:rPr>
          <w:b/>
        </w:rPr>
        <w:t>Best module fit:</w:t>
      </w:r>
      <w:r>
        <w:t xml:space="preserve"> Retrieval refresh, automated ingestion, code-based policy lookup.</w:t>
      </w:r>
    </w:p>
    <w:p>
      <w:r>
        <w:rPr>
          <w:b/>
        </w:rPr>
        <w:t>Limitations / caution:</w:t>
      </w:r>
      <w:r>
        <w:t xml:space="preserve"> Endpoint behavior and licensing tokens should be checked before automated use.</w:t>
      </w:r>
    </w:p>
    <w:p>
      <w:r>
        <w:rPr>
          <w:b/>
        </w:rPr>
        <w:t>Suggested preprocessing:</w:t>
      </w:r>
      <w:r>
        <w:t xml:space="preserve"> Use API for incremental updates and bulk downloads for stable offline indexing.</w:t>
      </w:r>
    </w:p>
    <w:p/>
    <w:p>
      <w:pPr>
        <w:pStyle w:val="EntryTitle"/>
        <w:keepNext/>
      </w:pPr>
      <w:r>
        <w:t>34. CMS Medicare Coverage Database search portal</w:t>
      </w:r>
    </w:p>
    <w:p>
      <w:pPr>
        <w:spacing w:after="20"/>
      </w:pPr>
      <w:r>
        <w:rPr>
          <w:b/>
        </w:rPr>
        <w:t xml:space="preserve">Type: </w:t>
      </w:r>
      <w:r>
        <w:t>Coverage search portal</w:t>
      </w:r>
      <w:r>
        <w:t xml:space="preserve">   |   </w:t>
      </w:r>
      <w:r>
        <w:rPr>
          <w:b/>
        </w:rPr>
        <w:t xml:space="preserve">Priority: </w:t>
      </w:r>
      <w:r>
        <w:t>Useful</w:t>
      </w:r>
    </w:p>
    <w:p>
      <w:pPr>
        <w:spacing w:after="40"/>
      </w:pPr>
      <w:r>
        <w:rPr>
          <w:b/>
        </w:rPr>
        <w:t xml:space="preserve">Links: </w:t>
      </w:r>
      <w:hyperlink r:id="rId66">
        <w:r>
          <w:rPr>
            <w:color w:val="0563C1"/>
            <w:u w:val="single"/>
          </w:rPr>
          <w:t>Link</w:t>
        </w:r>
      </w:hyperlink>
      <w:r>
        <w:t xml:space="preserve"> (https://www.cms.gov/medicare-coverage-database/search.aspx)</w:t>
      </w:r>
    </w:p>
    <w:p>
      <w:r>
        <w:rPr>
          <w:b/>
        </w:rPr>
        <w:t>Why it matters for AuthSignal:</w:t>
      </w:r>
      <w:r>
        <w:t xml:space="preserve"> Useful when manually validating code-based searches and checking how service/procedure codes relate to coverage documents.</w:t>
      </w:r>
    </w:p>
    <w:p>
      <w:r>
        <w:rPr>
          <w:b/>
        </w:rPr>
        <w:t>Access notes:</w:t>
      </w:r>
      <w:r>
        <w:t xml:space="preserve"> Open CMS portal.</w:t>
      </w:r>
    </w:p>
    <w:p>
      <w:r>
        <w:rPr>
          <w:b/>
        </w:rPr>
        <w:t>Best module fit:</w:t>
      </w:r>
      <w:r>
        <w:t xml:space="preserve"> Manual validation, policy lookup, synthetic denial rule design.</w:t>
      </w:r>
    </w:p>
    <w:p>
      <w:r>
        <w:rPr>
          <w:b/>
        </w:rPr>
        <w:t>Limitations / caution:</w:t>
      </w:r>
      <w:r>
        <w:t xml:space="preserve"> Search interface is not as convenient as bulk/API sources.</w:t>
      </w:r>
    </w:p>
    <w:p>
      <w:r>
        <w:rPr>
          <w:b/>
        </w:rPr>
        <w:t>Suggested preprocessing:</w:t>
      </w:r>
      <w:r>
        <w:t xml:space="preserve"> Use to confirm sample policy-to-code mappings.</w:t>
      </w:r>
    </w:p>
    <w:p/>
    <w:p>
      <w:pPr>
        <w:pStyle w:val="EntryTitle"/>
        <w:keepNext/>
      </w:pPr>
      <w:r>
        <w:t>35. CMS Local Coverage Determinations portal</w:t>
      </w:r>
    </w:p>
    <w:p>
      <w:pPr>
        <w:spacing w:after="20"/>
      </w:pPr>
      <w:r>
        <w:rPr>
          <w:b/>
        </w:rPr>
        <w:t xml:space="preserve">Type: </w:t>
      </w:r>
      <w:r>
        <w:t>Coverage policy portal</w:t>
      </w:r>
      <w:r>
        <w:t xml:space="preserve">   |   </w:t>
      </w:r>
      <w:r>
        <w:rPr>
          <w:b/>
        </w:rPr>
        <w:t xml:space="preserve">Priority: </w:t>
      </w:r>
      <w:r>
        <w:t>Core</w:t>
      </w:r>
    </w:p>
    <w:p>
      <w:pPr>
        <w:spacing w:after="40"/>
      </w:pPr>
      <w:r>
        <w:rPr>
          <w:b/>
        </w:rPr>
        <w:t xml:space="preserve">Links: </w:t>
      </w:r>
      <w:hyperlink r:id="rId67">
        <w:r>
          <w:rPr>
            <w:color w:val="0563C1"/>
            <w:u w:val="single"/>
          </w:rPr>
          <w:t>Link</w:t>
        </w:r>
      </w:hyperlink>
      <w:r>
        <w:t xml:space="preserve"> (https://www.cms.gov/medicare/coverage/determination-process/local)</w:t>
      </w:r>
    </w:p>
    <w:p>
      <w:r>
        <w:rPr>
          <w:b/>
        </w:rPr>
        <w:t>Why it matters for AuthSignal:</w:t>
      </w:r>
      <w:r>
        <w:t xml:space="preserve"> Useful for current LCD context, MAC jurisdictions, and background around local medical-necessity coverage decisions.</w:t>
      </w:r>
    </w:p>
    <w:p>
      <w:r>
        <w:rPr>
          <w:b/>
        </w:rPr>
        <w:t>Access notes:</w:t>
      </w:r>
      <w:r>
        <w:t xml:space="preserve"> Open CMS page.</w:t>
      </w:r>
    </w:p>
    <w:p>
      <w:r>
        <w:rPr>
          <w:b/>
        </w:rPr>
        <w:t>Best module fit:</w:t>
      </w:r>
      <w:r>
        <w:t xml:space="preserve"> LCD context, local coverage rule explanation, policy retrieval.</w:t>
      </w:r>
    </w:p>
    <w:p>
      <w:r>
        <w:rPr>
          <w:b/>
        </w:rPr>
        <w:t>Limitations / caution:</w:t>
      </w:r>
      <w:r>
        <w:t xml:space="preserve"> Portal context, not a clean training dataset.</w:t>
      </w:r>
    </w:p>
    <w:p>
      <w:r>
        <w:rPr>
          <w:b/>
        </w:rPr>
        <w:t>Suggested preprocessing:</w:t>
      </w:r>
      <w:r>
        <w:t xml:space="preserve"> Use as documentation around MCD sources.</w:t>
      </w:r>
    </w:p>
    <w:p/>
    <w:p>
      <w:pPr>
        <w:pStyle w:val="EntryTitle"/>
        <w:keepNext/>
      </w:pPr>
      <w:r>
        <w:t>36. CMS DMEPOS prior authorization process page</w:t>
      </w:r>
    </w:p>
    <w:p>
      <w:pPr>
        <w:spacing w:after="20"/>
      </w:pPr>
      <w:r>
        <w:rPr>
          <w:b/>
        </w:rPr>
        <w:t xml:space="preserve">Type: </w:t>
      </w:r>
      <w:r>
        <w:t>Program page with downloadable PA materials</w:t>
      </w:r>
      <w:r>
        <w:t xml:space="preserve">   |   </w:t>
      </w:r>
      <w:r>
        <w:rPr>
          <w:b/>
        </w:rPr>
        <w:t xml:space="preserve">Priority: </w:t>
      </w:r>
      <w:r>
        <w:t>Core for DME MVP</w:t>
      </w:r>
    </w:p>
    <w:p>
      <w:pPr>
        <w:spacing w:after="40"/>
      </w:pPr>
      <w:r>
        <w:rPr>
          <w:b/>
        </w:rPr>
        <w:t xml:space="preserve">Links: </w:t>
      </w:r>
      <w:hyperlink r:id="rId68">
        <w:r>
          <w:rPr>
            <w:color w:val="0563C1"/>
            <w:u w:val="single"/>
          </w:rPr>
          <w:t>Link</w:t>
        </w:r>
      </w:hyperlink>
      <w:r>
        <w:t xml:space="preserve"> (https://www.cms.gov/data-research/monitoring-programs/medicare-fee-service-compliance-programs/prior-authorization-and-pre-claim-review-initiatives/prior-authorization-process-certain-durable-medical-equipment-prosthetics-orthotics-and-supplies)</w:t>
      </w:r>
    </w:p>
    <w:p>
      <w:r>
        <w:rPr>
          <w:b/>
        </w:rPr>
        <w:t>Why it matters for AuthSignal:</w:t>
      </w:r>
      <w:r>
        <w:t xml:space="preserve"> Directly relevant if AuthSignal starts with DME or supply authorizations; includes Master List and related program materials.</w:t>
      </w:r>
    </w:p>
    <w:p>
      <w:r>
        <w:rPr>
          <w:b/>
        </w:rPr>
        <w:t>Access notes:</w:t>
      </w:r>
      <w:r>
        <w:t xml:space="preserve"> Open CMS page.</w:t>
      </w:r>
    </w:p>
    <w:p>
      <w:r>
        <w:rPr>
          <w:b/>
        </w:rPr>
        <w:t>Best module fit:</w:t>
      </w:r>
      <w:r>
        <w:t xml:space="preserve"> DME prior-auth requirement logic, service-requires-PA classification.</w:t>
      </w:r>
    </w:p>
    <w:p>
      <w:r>
        <w:rPr>
          <w:b/>
        </w:rPr>
        <w:t>Limitations / caution:</w:t>
      </w:r>
      <w:r>
        <w:t xml:space="preserve"> Limited to selected DMEPOS workflows.</w:t>
      </w:r>
    </w:p>
    <w:p>
      <w:r>
        <w:rPr>
          <w:b/>
        </w:rPr>
        <w:t>Suggested preprocessing:</w:t>
      </w:r>
      <w:r>
        <w:t xml:space="preserve"> Use for a focused DME authorization MVP.</w:t>
      </w:r>
    </w:p>
    <w:p/>
    <w:p>
      <w:pPr>
        <w:pStyle w:val="EntryTitle"/>
        <w:keepNext/>
      </w:pPr>
      <w:r>
        <w:t>37. CMS Formulary Guidance</w:t>
      </w:r>
    </w:p>
    <w:p>
      <w:pPr>
        <w:spacing w:after="20"/>
      </w:pPr>
      <w:r>
        <w:rPr>
          <w:b/>
        </w:rPr>
        <w:t xml:space="preserve">Type: </w:t>
      </w:r>
      <w:r>
        <w:t>Public reference-file and guidance portal</w:t>
      </w:r>
      <w:r>
        <w:t xml:space="preserve">   |   </w:t>
      </w:r>
      <w:r>
        <w:rPr>
          <w:b/>
        </w:rPr>
        <w:t xml:space="preserve">Priority: </w:t>
      </w:r>
      <w:r>
        <w:t>Core for medication PA</w:t>
      </w:r>
    </w:p>
    <w:p>
      <w:pPr>
        <w:spacing w:after="40"/>
      </w:pPr>
      <w:r>
        <w:rPr>
          <w:b/>
        </w:rPr>
        <w:t xml:space="preserve">Links: </w:t>
      </w:r>
      <w:hyperlink r:id="rId69">
        <w:r>
          <w:rPr>
            <w:color w:val="0563C1"/>
            <w:u w:val="single"/>
          </w:rPr>
          <w:t>Link</w:t>
        </w:r>
      </w:hyperlink>
      <w:r>
        <w:t xml:space="preserve"> (https://www.cms.gov/medicare/coverage/prescription-drug-coverage/formulary-guidance)</w:t>
      </w:r>
    </w:p>
    <w:p>
      <w:r>
        <w:rPr>
          <w:b/>
        </w:rPr>
        <w:t>Why it matters for AuthSignal:</w:t>
      </w:r>
      <w:r>
        <w:t xml:space="preserve"> Provides formulary reference files and policy guidance useful for building medication prior-auth logic.</w:t>
      </w:r>
    </w:p>
    <w:p>
      <w:r>
        <w:rPr>
          <w:b/>
        </w:rPr>
        <w:t>Access notes:</w:t>
      </w:r>
      <w:r>
        <w:t xml:space="preserve"> Open CMS page.</w:t>
      </w:r>
    </w:p>
    <w:p>
      <w:r>
        <w:rPr>
          <w:b/>
        </w:rPr>
        <w:t>Best module fit:</w:t>
      </w:r>
      <w:r>
        <w:t xml:space="preserve"> Drug policy guidance, formulary context, medication PA logic.</w:t>
      </w:r>
    </w:p>
    <w:p>
      <w:r>
        <w:rPr>
          <w:b/>
        </w:rPr>
        <w:t>Limitations / caution:</w:t>
      </w:r>
      <w:r>
        <w:t xml:space="preserve"> Guidance may need to be paired with plan-level files.</w:t>
      </w:r>
    </w:p>
    <w:p>
      <w:r>
        <w:rPr>
          <w:b/>
        </w:rPr>
        <w:t>Suggested preprocessing:</w:t>
      </w:r>
      <w:r>
        <w:t xml:space="preserve"> Use alongside Part D formulary/pricing files.</w:t>
      </w:r>
    </w:p>
    <w:p/>
    <w:p>
      <w:pPr>
        <w:pStyle w:val="EntryTitle"/>
        <w:keepNext/>
      </w:pPr>
      <w:r>
        <w:t>38. CMS Prescription Drug Plan Formulary, Pharmacy Network, and Pricing Information files</w:t>
      </w:r>
    </w:p>
    <w:p>
      <w:pPr>
        <w:spacing w:after="20"/>
      </w:pPr>
      <w:r>
        <w:rPr>
          <w:b/>
        </w:rPr>
        <w:t xml:space="preserve">Type: </w:t>
      </w:r>
      <w:r>
        <w:t>Public-use file portal</w:t>
      </w:r>
      <w:r>
        <w:t xml:space="preserve">   |   </w:t>
      </w:r>
      <w:r>
        <w:rPr>
          <w:b/>
        </w:rPr>
        <w:t xml:space="preserve">Priority: </w:t>
      </w:r>
      <w:r>
        <w:t>Core for medication PA</w:t>
      </w:r>
    </w:p>
    <w:p>
      <w:pPr>
        <w:spacing w:after="40"/>
      </w:pPr>
      <w:r>
        <w:rPr>
          <w:b/>
        </w:rPr>
        <w:t xml:space="preserve">Links: </w:t>
      </w:r>
      <w:hyperlink r:id="rId70">
        <w:r>
          <w:rPr>
            <w:color w:val="0563C1"/>
            <w:u w:val="single"/>
          </w:rPr>
          <w:t>Link 1</w:t>
        </w:r>
      </w:hyperlink>
      <w:r>
        <w:t xml:space="preserve"> (https://www.cms.gov/research-statistics-data-and-systems/files-for-order/nonidentifiabledatafiles/prescriptiondrugplanformularypharmacynetworkandpricinginformationfiles)</w:t>
      </w:r>
      <w:r>
        <w:t xml:space="preserve"> | </w:t>
      </w:r>
      <w:hyperlink r:id="rId71">
        <w:r>
          <w:rPr>
            <w:color w:val="0563C1"/>
            <w:u w:val="single"/>
          </w:rPr>
          <w:t>Link 2</w:t>
        </w:r>
      </w:hyperlink>
      <w:r>
        <w:t xml:space="preserve"> (https://www.cms.gov/Research-Statistics-Data-and-Systems/Files-for-Order/NonIdentifiableDataFiles/PrescriptionDrugPlanFormularyPharmacyNetworkandPricingInformationFiles.html)</w:t>
      </w:r>
    </w:p>
    <w:p>
      <w:r>
        <w:rPr>
          <w:b/>
        </w:rPr>
        <w:t>Why it matters for AuthSignal:</w:t>
      </w:r>
      <w:r>
        <w:t xml:space="preserve"> Critical Part D source containing formulary details, NDCs, tier, prior authorization indicators, step therapy, quantity limits, pharmacy network, and pricing tables.</w:t>
      </w:r>
    </w:p>
    <w:p>
      <w:r>
        <w:rPr>
          <w:b/>
        </w:rPr>
        <w:t>Access notes:</w:t>
      </w:r>
      <w:r>
        <w:t xml:space="preserve"> Current files are free downloads according to source notes; older files may have different ordering rules.</w:t>
      </w:r>
    </w:p>
    <w:p>
      <w:r>
        <w:rPr>
          <w:b/>
        </w:rPr>
        <w:t>Best module fit:</w:t>
      </w:r>
      <w:r>
        <w:t xml:space="preserve"> Drug PA rules, structured labels, denial reason heuristics, formulary feature engineering.</w:t>
      </w:r>
    </w:p>
    <w:p>
      <w:r>
        <w:rPr>
          <w:b/>
        </w:rPr>
        <w:t>Limitations / caution:</w:t>
      </w:r>
      <w:r>
        <w:t xml:space="preserve"> Large file size and monthly/quarterly versioning; plan-specific complexity.</w:t>
      </w:r>
    </w:p>
    <w:p>
      <w:r>
        <w:rPr>
          <w:b/>
        </w:rPr>
        <w:t>Suggested preprocessing:</w:t>
      </w:r>
      <w:r>
        <w:t xml:space="preserve"> Parse NDC, PA, ST, QL, tier, plan ID, and quantity fields; normalize NDCs and map to RxNorm.</w:t>
      </w:r>
    </w:p>
    <w:p/>
    <w:p>
      <w:pPr>
        <w:pStyle w:val="EntryTitle"/>
        <w:keepNext/>
      </w:pPr>
      <w:r>
        <w:t>39. CMS Part C Utilization Management Annual Data Submission</w:t>
      </w:r>
    </w:p>
    <w:p>
      <w:pPr>
        <w:spacing w:after="20"/>
      </w:pPr>
      <w:r>
        <w:rPr>
          <w:b/>
        </w:rPr>
        <w:t xml:space="preserve">Type: </w:t>
      </w:r>
      <w:r>
        <w:t>Emerging PA-related reporting source</w:t>
      </w:r>
      <w:r>
        <w:t xml:space="preserve">   |   </w:t>
      </w:r>
      <w:r>
        <w:rPr>
          <w:b/>
        </w:rPr>
        <w:t xml:space="preserve">Priority: </w:t>
      </w:r>
      <w:r>
        <w:t>Forward-looking</w:t>
      </w:r>
    </w:p>
    <w:p>
      <w:pPr>
        <w:spacing w:after="40"/>
      </w:pPr>
      <w:r>
        <w:rPr>
          <w:b/>
        </w:rPr>
        <w:t xml:space="preserve">Links: </w:t>
      </w:r>
      <w:hyperlink r:id="rId72">
        <w:r>
          <w:rPr>
            <w:color w:val="0563C1"/>
            <w:u w:val="single"/>
          </w:rPr>
          <w:t>Link</w:t>
        </w:r>
      </w:hyperlink>
      <w:r>
        <w:t xml:space="preserve"> (https://www.cms.gov/medicare/audits-compliance/part-c-part-d-compliance-audits/part-c-utilization-management-um-audits)</w:t>
      </w:r>
    </w:p>
    <w:p>
      <w:r>
        <w:rPr>
          <w:b/>
        </w:rPr>
        <w:t>Why it matters for AuthSignal:</w:t>
      </w:r>
      <w:r>
        <w:t xml:space="preserve"> Relevant because it points toward Medicare Advantage internal coverage criteria and utilization-management information reporting.</w:t>
      </w:r>
    </w:p>
    <w:p>
      <w:r>
        <w:rPr>
          <w:b/>
        </w:rPr>
        <w:t>Access notes:</w:t>
      </w:r>
      <w:r>
        <w:t xml:space="preserve"> Open CMS protocol/instructions page.</w:t>
      </w:r>
    </w:p>
    <w:p>
      <w:r>
        <w:rPr>
          <w:b/>
        </w:rPr>
        <w:t>Best module fit:</w:t>
      </w:r>
      <w:r>
        <w:t xml:space="preserve"> Future PA reporting, regulatory alignment, payer UM context.</w:t>
      </w:r>
    </w:p>
    <w:p>
      <w:r>
        <w:rPr>
          <w:b/>
        </w:rPr>
        <w:t>Limitations / caution:</w:t>
      </w:r>
      <w:r>
        <w:t xml:space="preserve"> Not a finished public dataset in the source notes.</w:t>
      </w:r>
    </w:p>
    <w:p>
      <w:r>
        <w:rPr>
          <w:b/>
        </w:rPr>
        <w:t>Suggested preprocessing:</w:t>
      </w:r>
      <w:r>
        <w:t xml:space="preserve"> Track for future AuthSignal data expansion.</w:t>
      </w:r>
    </w:p>
    <w:p/>
    <w:p>
      <w:pPr>
        <w:pStyle w:val="EntryTitle"/>
        <w:keepNext/>
      </w:pPr>
      <w:r>
        <w:t>40. Medicare Appeals Council decisions corpus</w:t>
      </w:r>
    </w:p>
    <w:p>
      <w:pPr>
        <w:spacing w:after="20"/>
      </w:pPr>
      <w:r>
        <w:rPr>
          <w:b/>
        </w:rPr>
        <w:t xml:space="preserve">Type: </w:t>
      </w:r>
      <w:r>
        <w:t>Public coverage/payment decisions text</w:t>
      </w:r>
      <w:r>
        <w:t xml:space="preserve">   |   </w:t>
      </w:r>
      <w:r>
        <w:rPr>
          <w:b/>
        </w:rPr>
        <w:t xml:space="preserve">Priority: </w:t>
      </w:r>
      <w:r>
        <w:t>Useful</w:t>
      </w:r>
    </w:p>
    <w:p>
      <w:pPr>
        <w:spacing w:after="40"/>
      </w:pPr>
      <w:r>
        <w:rPr>
          <w:b/>
        </w:rPr>
        <w:t xml:space="preserve">Links: </w:t>
      </w:r>
      <w:hyperlink r:id="rId73">
        <w:r>
          <w:rPr>
            <w:color w:val="0563C1"/>
            <w:u w:val="single"/>
          </w:rPr>
          <w:t>Link 1</w:t>
        </w:r>
      </w:hyperlink>
      <w:r>
        <w:t xml:space="preserve"> (https://catalog.data.gov/dataset/medicare-appeals-council-decisions)</w:t>
      </w:r>
      <w:r>
        <w:t xml:space="preserve"> | </w:t>
      </w:r>
      <w:hyperlink r:id="rId74">
        <w:r>
          <w:rPr>
            <w:color w:val="0563C1"/>
            <w:u w:val="single"/>
          </w:rPr>
          <w:t>Link 2</w:t>
        </w:r>
      </w:hyperlink>
      <w:r>
        <w:t xml:space="preserve"> (https://catalog.data.gov/dataset/medicare-appeals-council-decisions-14f26)</w:t>
      </w:r>
      <w:r>
        <w:t xml:space="preserve"> | </w:t>
      </w:r>
      <w:hyperlink r:id="rId75">
        <w:r>
          <w:rPr>
            <w:color w:val="0563C1"/>
            <w:u w:val="single"/>
          </w:rPr>
          <w:t>Link 3</w:t>
        </w:r>
      </w:hyperlink>
      <w:r>
        <w:t xml:space="preserve"> (https://www.hhs.gov/about/agencies/dab/decisions/council-decisions/index.html)</w:t>
      </w:r>
    </w:p>
    <w:p>
      <w:r>
        <w:rPr>
          <w:b/>
        </w:rPr>
        <w:t>Why it matters for AuthSignal:</w:t>
      </w:r>
      <w:r>
        <w:t xml:space="preserve"> Useful for appeal reasoning, policy citation behavior, and case-law-like coverage/payment decision patterns.</w:t>
      </w:r>
    </w:p>
    <w:p>
      <w:r>
        <w:rPr>
          <w:b/>
        </w:rPr>
        <w:t>Access notes:</w:t>
      </w:r>
      <w:r>
        <w:t xml:space="preserve"> Public access; check dataset license on catalog listing.</w:t>
      </w:r>
    </w:p>
    <w:p>
      <w:r>
        <w:rPr>
          <w:b/>
        </w:rPr>
        <w:t>Best module fit:</w:t>
      </w:r>
      <w:r>
        <w:t xml:space="preserve"> Appeal drafting, reasoning examples, citation grounding, evaluation corpus.</w:t>
      </w:r>
    </w:p>
    <w:p>
      <w:r>
        <w:rPr>
          <w:b/>
        </w:rPr>
        <w:t>Limitations / caution:</w:t>
      </w:r>
      <w:r>
        <w:t xml:space="preserve"> Not prior authorization decisions exactly, but still relevant to coverage and documentation reasoning.</w:t>
      </w:r>
    </w:p>
    <w:p>
      <w:r>
        <w:rPr>
          <w:b/>
        </w:rPr>
        <w:t>Suggested preprocessing:</w:t>
      </w:r>
      <w:r>
        <w:t xml:space="preserve"> Scrape or download a curated subset of decisions for retrieval and argument pattern analysis.</w:t>
      </w:r>
    </w:p>
    <w:p/>
    <w:p>
      <w:pPr>
        <w:pStyle w:val="EntryTitle"/>
        <w:keepNext/>
      </w:pPr>
      <w:r>
        <w:t>41. CMS Parts C and D IRE reconsideration process data</w:t>
      </w:r>
    </w:p>
    <w:p>
      <w:pPr>
        <w:spacing w:after="20"/>
      </w:pPr>
      <w:r>
        <w:rPr>
          <w:b/>
        </w:rPr>
        <w:t xml:space="preserve">Type: </w:t>
      </w:r>
      <w:r>
        <w:t>Appeals/reconsideration process source</w:t>
      </w:r>
      <w:r>
        <w:t xml:space="preserve">   |   </w:t>
      </w:r>
      <w:r>
        <w:rPr>
          <w:b/>
        </w:rPr>
        <w:t xml:space="preserve">Priority: </w:t>
      </w:r>
      <w:r>
        <w:t>Useful</w:t>
      </w:r>
    </w:p>
    <w:p>
      <w:pPr>
        <w:spacing w:after="40"/>
      </w:pPr>
      <w:r>
        <w:rPr>
          <w:b/>
        </w:rPr>
        <w:t xml:space="preserve">Links: </w:t>
      </w:r>
      <w:hyperlink r:id="rId76">
        <w:r>
          <w:rPr>
            <w:color w:val="0563C1"/>
            <w:u w:val="single"/>
          </w:rPr>
          <w:t>Link</w:t>
        </w:r>
      </w:hyperlink>
      <w:r>
        <w:t xml:space="preserve"> (https://www.cms.gov/medicare/appeals-grievances/prescription-drug/reconsiderations)</w:t>
      </w:r>
    </w:p>
    <w:p>
      <w:r>
        <w:rPr>
          <w:b/>
        </w:rPr>
        <w:t>Why it matters for AuthSignal:</w:t>
      </w:r>
      <w:r>
        <w:t xml:space="preserve"> Provides process rules and links/pointers to decision database material for Part D IRE reconsiderations.</w:t>
      </w:r>
    </w:p>
    <w:p>
      <w:r>
        <w:rPr>
          <w:b/>
        </w:rPr>
        <w:t>Access notes:</w:t>
      </w:r>
      <w:r>
        <w:t xml:space="preserve"> Public guidance; decision database availability may depend on site functionality.</w:t>
      </w:r>
    </w:p>
    <w:p>
      <w:r>
        <w:rPr>
          <w:b/>
        </w:rPr>
        <w:t>Best module fit:</w:t>
      </w:r>
      <w:r>
        <w:t xml:space="preserve"> Appeal process context, possible small decision/outcome corpus.</w:t>
      </w:r>
    </w:p>
    <w:p>
      <w:r>
        <w:rPr>
          <w:b/>
        </w:rPr>
        <w:t>Limitations / caution:</w:t>
      </w:r>
      <w:r>
        <w:t xml:space="preserve"> May be search-interface driven and not easy to bulk download.</w:t>
      </w:r>
    </w:p>
    <w:p>
      <w:r>
        <w:rPr>
          <w:b/>
        </w:rPr>
        <w:t>Suggested preprocessing:</w:t>
      </w:r>
      <w:r>
        <w:t xml:space="preserve"> Use as validation source for appeal workflow terminology.</w:t>
      </w:r>
    </w:p>
    <w:p/>
    <w:p>
      <w:pPr>
        <w:pStyle w:val="EntryTitle"/>
        <w:keepNext/>
      </w:pPr>
      <w:r>
        <w:t>42. HL7 Da Vinci Prior Authorization Support (PAS) Implementation Guide</w:t>
      </w:r>
    </w:p>
    <w:p>
      <w:pPr>
        <w:spacing w:after="20"/>
      </w:pPr>
      <w:r>
        <w:rPr>
          <w:b/>
        </w:rPr>
        <w:t xml:space="preserve">Type: </w:t>
      </w:r>
      <w:r>
        <w:t>FHIR/ePA implementation guide</w:t>
      </w:r>
      <w:r>
        <w:t xml:space="preserve">   |   </w:t>
      </w:r>
      <w:r>
        <w:rPr>
          <w:b/>
        </w:rPr>
        <w:t xml:space="preserve">Priority: </w:t>
      </w:r>
      <w:r>
        <w:t>Core architecture reference</w:t>
      </w:r>
    </w:p>
    <w:p>
      <w:pPr>
        <w:spacing w:after="40"/>
      </w:pPr>
      <w:r>
        <w:rPr>
          <w:b/>
        </w:rPr>
        <w:t xml:space="preserve">Links: </w:t>
      </w:r>
      <w:hyperlink r:id="rId77">
        <w:r>
          <w:rPr>
            <w:color w:val="0563C1"/>
            <w:u w:val="single"/>
          </w:rPr>
          <w:t>Link</w:t>
        </w:r>
      </w:hyperlink>
      <w:r>
        <w:t xml:space="preserve"> (https://build.fhir.org/ig/HL7/davinci-pas/)</w:t>
      </w:r>
    </w:p>
    <w:p>
      <w:r>
        <w:rPr>
          <w:b/>
        </w:rPr>
        <w:t>Why it matters for AuthSignal:</w:t>
      </w:r>
      <w:r>
        <w:t xml:space="preserve"> Defines real-world direction for electronic prior authorization request packages and payer-provider exchange.</w:t>
      </w:r>
    </w:p>
    <w:p>
      <w:r>
        <w:rPr>
          <w:b/>
        </w:rPr>
        <w:t>Access notes:</w:t>
      </w:r>
      <w:r>
        <w:t xml:space="preserve"> Public implementation guide.</w:t>
      </w:r>
    </w:p>
    <w:p>
      <w:r>
        <w:rPr>
          <w:b/>
        </w:rPr>
        <w:t>Best module fit:</w:t>
      </w:r>
      <w:r>
        <w:t xml:space="preserve"> FHIR-aligned PA request schema, interoperability design, evaluation harness.</w:t>
      </w:r>
    </w:p>
    <w:p>
      <w:r>
        <w:rPr>
          <w:b/>
        </w:rPr>
        <w:t>Limitations / caution:</w:t>
      </w:r>
      <w:r>
        <w:t xml:space="preserve"> Implementation guides evolve; check version when building.</w:t>
      </w:r>
    </w:p>
    <w:p>
      <w:r>
        <w:rPr>
          <w:b/>
        </w:rPr>
        <w:t>Suggested preprocessing:</w:t>
      </w:r>
      <w:r>
        <w:t xml:space="preserve"> Use to design AuthSignal's future PA request data structure.</w:t>
      </w:r>
    </w:p>
    <w:p/>
    <w:p>
      <w:pPr>
        <w:pStyle w:val="EntryTitle"/>
        <w:keepNext/>
      </w:pPr>
      <w:r>
        <w:t>43. HL7 Da Vinci Documentation Templates and Rules (DTR) Implementation Guide</w:t>
      </w:r>
    </w:p>
    <w:p>
      <w:pPr>
        <w:spacing w:after="20"/>
      </w:pPr>
      <w:r>
        <w:rPr>
          <w:b/>
        </w:rPr>
        <w:t xml:space="preserve">Type: </w:t>
      </w:r>
      <w:r>
        <w:t>FHIR/ePA documentation guide</w:t>
      </w:r>
      <w:r>
        <w:t xml:space="preserve">   |   </w:t>
      </w:r>
      <w:r>
        <w:rPr>
          <w:b/>
        </w:rPr>
        <w:t xml:space="preserve">Priority: </w:t>
      </w:r>
      <w:r>
        <w:t>Core architecture reference</w:t>
      </w:r>
    </w:p>
    <w:p>
      <w:pPr>
        <w:spacing w:after="40"/>
      </w:pPr>
      <w:r>
        <w:rPr>
          <w:b/>
        </w:rPr>
        <w:t xml:space="preserve">Links: </w:t>
      </w:r>
      <w:hyperlink r:id="rId78">
        <w:r>
          <w:rPr>
            <w:color w:val="0563C1"/>
            <w:u w:val="single"/>
          </w:rPr>
          <w:t>Link</w:t>
        </w:r>
      </w:hyperlink>
      <w:r>
        <w:t xml:space="preserve"> (https://build.fhir.org/ig/HL7/davinci-dtr/)</w:t>
      </w:r>
    </w:p>
    <w:p>
      <w:r>
        <w:rPr>
          <w:b/>
        </w:rPr>
        <w:t>Why it matters for AuthSignal:</w:t>
      </w:r>
      <w:r>
        <w:t xml:space="preserve"> Useful for documentation requirements and rules-driven completion of payer-required forms/templates.</w:t>
      </w:r>
    </w:p>
    <w:p>
      <w:r>
        <w:rPr>
          <w:b/>
        </w:rPr>
        <w:t>Access notes:</w:t>
      </w:r>
      <w:r>
        <w:t xml:space="preserve"> Public implementation guide.</w:t>
      </w:r>
    </w:p>
    <w:p>
      <w:r>
        <w:rPr>
          <w:b/>
        </w:rPr>
        <w:t>Best module fit:</w:t>
      </w:r>
      <w:r>
        <w:t xml:space="preserve"> Document completeness, missing-evidence logic, PA package requirements.</w:t>
      </w:r>
    </w:p>
    <w:p>
      <w:r>
        <w:rPr>
          <w:b/>
        </w:rPr>
        <w:t>Limitations / caution:</w:t>
      </w:r>
      <w:r>
        <w:t xml:space="preserve"> Versioning and implementation maturity must be checked.</w:t>
      </w:r>
    </w:p>
    <w:p>
      <w:r>
        <w:rPr>
          <w:b/>
        </w:rPr>
        <w:t>Suggested preprocessing:</w:t>
      </w:r>
      <w:r>
        <w:t xml:space="preserve"> Use as a design reference for document completeness prediction.</w:t>
      </w:r>
    </w:p>
    <w:p/>
    <w:p>
      <w:pPr>
        <w:pStyle w:val="EntryTitle"/>
        <w:keepNext/>
      </w:pPr>
      <w:r>
        <w:t>44. CMS Interoperability and Prior Authorization final rule resources</w:t>
      </w:r>
    </w:p>
    <w:p>
      <w:pPr>
        <w:spacing w:after="20"/>
      </w:pPr>
      <w:r>
        <w:rPr>
          <w:b/>
        </w:rPr>
        <w:t xml:space="preserve">Type: </w:t>
      </w:r>
      <w:r>
        <w:t>Regulatory context</w:t>
      </w:r>
      <w:r>
        <w:t xml:space="preserve">   |   </w:t>
      </w:r>
      <w:r>
        <w:rPr>
          <w:b/>
        </w:rPr>
        <w:t xml:space="preserve">Priority: </w:t>
      </w:r>
      <w:r>
        <w:t>Core context</w:t>
      </w:r>
    </w:p>
    <w:p>
      <w:pPr>
        <w:spacing w:after="40"/>
      </w:pPr>
      <w:r>
        <w:rPr>
          <w:b/>
        </w:rPr>
        <w:t xml:space="preserve">Links: </w:t>
      </w:r>
      <w:hyperlink r:id="rId79">
        <w:r>
          <w:rPr>
            <w:color w:val="0563C1"/>
            <w:u w:val="single"/>
          </w:rPr>
          <w:t>Link 1</w:t>
        </w:r>
      </w:hyperlink>
      <w:r>
        <w:t xml:space="preserve"> (https://www.cms.gov/priorities/burden-reduction/overview/interoperability/policies-regulations/cms-interoperability-prior-authorization-final-rule-cms-0057-f)</w:t>
      </w:r>
      <w:r>
        <w:t xml:space="preserve"> | </w:t>
      </w:r>
      <w:hyperlink r:id="rId80">
        <w:r>
          <w:rPr>
            <w:color w:val="0563C1"/>
            <w:u w:val="single"/>
          </w:rPr>
          <w:t>Link 2</w:t>
        </w:r>
      </w:hyperlink>
      <w:r>
        <w:t xml:space="preserve"> (https://www.cms.gov/newsroom/fact-sheets/cms-interoperability-prior-authorization-final-rule-cms-0057-f)</w:t>
      </w:r>
    </w:p>
    <w:p>
      <w:r>
        <w:rPr>
          <w:b/>
        </w:rPr>
        <w:t>Why it matters for AuthSignal:</w:t>
      </w:r>
      <w:r>
        <w:t xml:space="preserve"> Justifies AuthSignal's focus on electronic prior authorization, data exchange, and workflow burden reduction.</w:t>
      </w:r>
    </w:p>
    <w:p>
      <w:r>
        <w:rPr>
          <w:b/>
        </w:rPr>
        <w:t>Access notes:</w:t>
      </w:r>
      <w:r>
        <w:t xml:space="preserve"> Open CMS pages.</w:t>
      </w:r>
    </w:p>
    <w:p>
      <w:r>
        <w:rPr>
          <w:b/>
        </w:rPr>
        <w:t>Best module fit:</w:t>
      </w:r>
      <w:r>
        <w:t xml:space="preserve"> Project justification, architecture rationale, interoperability context.</w:t>
      </w:r>
    </w:p>
    <w:p>
      <w:r>
        <w:rPr>
          <w:b/>
        </w:rPr>
        <w:t>Limitations / caution:</w:t>
      </w:r>
      <w:r>
        <w:t xml:space="preserve"> Regulatory source, not training data.</w:t>
      </w:r>
    </w:p>
    <w:p>
      <w:r>
        <w:rPr>
          <w:b/>
        </w:rPr>
        <w:t>Suggested preprocessing:</w:t>
      </w:r>
      <w:r>
        <w:t xml:space="preserve"> Use in report background and design motivation.</w:t>
      </w:r>
    </w:p>
    <w:p/>
    <w:p>
      <w:pPr>
        <w:pStyle w:val="EntryTitle"/>
        <w:keepNext/>
      </w:pPr>
      <w:r>
        <w:t>45. CMS APIs and relevant standards / implementation guides page</w:t>
      </w:r>
    </w:p>
    <w:p>
      <w:pPr>
        <w:spacing w:after="20"/>
      </w:pPr>
      <w:r>
        <w:rPr>
          <w:b/>
        </w:rPr>
        <w:t xml:space="preserve">Type: </w:t>
      </w:r>
      <w:r>
        <w:t>Standards and implementation guide index</w:t>
      </w:r>
      <w:r>
        <w:t xml:space="preserve">   |   </w:t>
      </w:r>
      <w:r>
        <w:rPr>
          <w:b/>
        </w:rPr>
        <w:t xml:space="preserve">Priority: </w:t>
      </w:r>
      <w:r>
        <w:t>Useful</w:t>
      </w:r>
    </w:p>
    <w:p>
      <w:pPr>
        <w:spacing w:after="40"/>
      </w:pPr>
      <w:r>
        <w:rPr>
          <w:b/>
        </w:rPr>
        <w:t xml:space="preserve">Links: </w:t>
      </w:r>
      <w:hyperlink r:id="rId81">
        <w:r>
          <w:rPr>
            <w:color w:val="0563C1"/>
            <w:u w:val="single"/>
          </w:rPr>
          <w:t>Link</w:t>
        </w:r>
      </w:hyperlink>
      <w:r>
        <w:t xml:space="preserve"> (https://www.cms.gov/priorities/burden-reduction/overview/interoperability/implementation-guides-standards/application-programming-interfaces-apis-relevant-standards-implementation-guides-igs)</w:t>
      </w:r>
    </w:p>
    <w:p>
      <w:r>
        <w:rPr>
          <w:b/>
        </w:rPr>
        <w:t>Why it matters for AuthSignal:</w:t>
      </w:r>
      <w:r>
        <w:t xml:space="preserve"> Summarizes technical standards and implementation guide expectations related to CMS interoperability rules.</w:t>
      </w:r>
    </w:p>
    <w:p>
      <w:r>
        <w:rPr>
          <w:b/>
        </w:rPr>
        <w:t>Access notes:</w:t>
      </w:r>
      <w:r>
        <w:t xml:space="preserve"> Open CMS page.</w:t>
      </w:r>
    </w:p>
    <w:p>
      <w:r>
        <w:rPr>
          <w:b/>
        </w:rPr>
        <w:t>Best module fit:</w:t>
      </w:r>
      <w:r>
        <w:t xml:space="preserve"> Standards alignment, FHIR API justification.</w:t>
      </w:r>
    </w:p>
    <w:p>
      <w:r>
        <w:rPr>
          <w:b/>
        </w:rPr>
        <w:t>Limitations / caution:</w:t>
      </w:r>
      <w:r>
        <w:t xml:space="preserve"> Context source, not model data.</w:t>
      </w:r>
    </w:p>
    <w:p>
      <w:r>
        <w:rPr>
          <w:b/>
        </w:rPr>
        <w:t>Suggested preprocessing:</w:t>
      </w:r>
      <w:r>
        <w:t xml:space="preserve"> Use to cite API and IG alignment in architecture.</w:t>
      </w:r>
    </w:p>
    <w:p/>
    <w:p>
      <w:pPr>
        <w:pStyle w:val="Heading1"/>
      </w:pPr>
      <w:r>
        <w:t>Restricted claims / encounter / plan data from ResDAC/CMS</w:t>
      </w:r>
    </w:p>
    <w:p>
      <w:r>
        <w:t>These are high-value Medicare research files. They are powerful but not instant student downloads. They usually require application, approval, and possibly fees or restricted-use agreements.</w:t>
      </w:r>
    </w:p>
    <w:p>
      <w:pPr>
        <w:pStyle w:val="EntryTitle"/>
        <w:keepNext/>
      </w:pPr>
      <w:r>
        <w:t>46. ResDAC Part D Event (PDE)</w:t>
      </w:r>
    </w:p>
    <w:p>
      <w:pPr>
        <w:spacing w:after="20"/>
      </w:pPr>
      <w:r>
        <w:rPr>
          <w:b/>
        </w:rPr>
        <w:t xml:space="preserve">Type: </w:t>
      </w:r>
      <w:r>
        <w:t>Restricted prescription drug claims/event data</w:t>
      </w:r>
      <w:r>
        <w:t xml:space="preserve">   |   </w:t>
      </w:r>
      <w:r>
        <w:rPr>
          <w:b/>
        </w:rPr>
        <w:t xml:space="preserve">Priority: </w:t>
      </w:r>
      <w:r>
        <w:t>High-value / enterprise</w:t>
      </w:r>
    </w:p>
    <w:p>
      <w:pPr>
        <w:spacing w:after="40"/>
      </w:pPr>
      <w:r>
        <w:rPr>
          <w:b/>
        </w:rPr>
        <w:t xml:space="preserve">Links: </w:t>
      </w:r>
      <w:hyperlink r:id="rId82">
        <w:r>
          <w:rPr>
            <w:color w:val="0563C1"/>
            <w:u w:val="single"/>
          </w:rPr>
          <w:t>Link</w:t>
        </w:r>
      </w:hyperlink>
      <w:r>
        <w:t xml:space="preserve"> (https://resdac.org/cms-data/files/pde)</w:t>
      </w:r>
    </w:p>
    <w:p>
      <w:r>
        <w:rPr>
          <w:b/>
        </w:rPr>
        <w:t>Why it matters for AuthSignal:</w:t>
      </w:r>
      <w:r>
        <w:t xml:space="preserve"> Strong real-world medication-use backbone that can link into formulary, drug, prescriber, and plan files.</w:t>
      </w:r>
    </w:p>
    <w:p>
      <w:r>
        <w:rPr>
          <w:b/>
        </w:rPr>
        <w:t>Access notes:</w:t>
      </w:r>
      <w:r>
        <w:t xml:space="preserve"> CMS Research Identifiable File; application required.</w:t>
      </w:r>
    </w:p>
    <w:p>
      <w:r>
        <w:rPr>
          <w:b/>
        </w:rPr>
        <w:t>Best module fit:</w:t>
      </w:r>
      <w:r>
        <w:t xml:space="preserve"> Medication PA research, drug history features, claims linkage.</w:t>
      </w:r>
    </w:p>
    <w:p>
      <w:r>
        <w:rPr>
          <w:b/>
        </w:rPr>
        <w:t>Limitations / caution:</w:t>
      </w:r>
      <w:r>
        <w:t xml:space="preserve"> Not appropriate for a quick class MVP unless access already exists.</w:t>
      </w:r>
    </w:p>
    <w:p>
      <w:r>
        <w:rPr>
          <w:b/>
        </w:rPr>
        <w:t>Suggested preprocessing:</w:t>
      </w:r>
      <w:r>
        <w:t xml:space="preserve"> Use only for serious medication PA research.</w:t>
      </w:r>
    </w:p>
    <w:p/>
    <w:p>
      <w:pPr>
        <w:pStyle w:val="EntryTitle"/>
        <w:keepNext/>
      </w:pPr>
      <w:r>
        <w:t>47. ResDAC Part D Formulary file</w:t>
      </w:r>
    </w:p>
    <w:p>
      <w:pPr>
        <w:spacing w:after="20"/>
      </w:pPr>
      <w:r>
        <w:rPr>
          <w:b/>
        </w:rPr>
        <w:t xml:space="preserve">Type: </w:t>
      </w:r>
      <w:r>
        <w:t>Restricted formulary / utilization-management file</w:t>
      </w:r>
      <w:r>
        <w:t xml:space="preserve">   |   </w:t>
      </w:r>
      <w:r>
        <w:rPr>
          <w:b/>
        </w:rPr>
        <w:t xml:space="preserve">Priority: </w:t>
      </w:r>
      <w:r>
        <w:t>High-value / enterprise</w:t>
      </w:r>
    </w:p>
    <w:p>
      <w:pPr>
        <w:spacing w:after="40"/>
      </w:pPr>
      <w:r>
        <w:rPr>
          <w:b/>
        </w:rPr>
        <w:t xml:space="preserve">Links: </w:t>
      </w:r>
      <w:hyperlink r:id="rId83">
        <w:r>
          <w:rPr>
            <w:color w:val="0563C1"/>
            <w:u w:val="single"/>
          </w:rPr>
          <w:t>Link</w:t>
        </w:r>
      </w:hyperlink>
      <w:r>
        <w:t xml:space="preserve"> (https://resdac.org/cms-data/files/part-d-formulary-file)</w:t>
      </w:r>
    </w:p>
    <w:p>
      <w:r>
        <w:rPr>
          <w:b/>
        </w:rPr>
        <w:t>Why it matters for AuthSignal:</w:t>
      </w:r>
      <w:r>
        <w:t xml:space="preserve"> Includes tier, step therapy, quantity limit, and prior-authorization indicators. Extremely relevant to AuthSignal medication workflows.</w:t>
      </w:r>
    </w:p>
    <w:p>
      <w:r>
        <w:rPr>
          <w:b/>
        </w:rPr>
        <w:t>Access notes:</w:t>
      </w:r>
      <w:r>
        <w:t xml:space="preserve"> CMS Research Identifiable File; application required.</w:t>
      </w:r>
    </w:p>
    <w:p>
      <w:r>
        <w:rPr>
          <w:b/>
        </w:rPr>
        <w:t>Best module fit:</w:t>
      </w:r>
      <w:r>
        <w:t xml:space="preserve"> Medication PA rules, formulary-linked denial features.</w:t>
      </w:r>
    </w:p>
    <w:p>
      <w:r>
        <w:rPr>
          <w:b/>
        </w:rPr>
        <w:t>Limitations / caution:</w:t>
      </w:r>
      <w:r>
        <w:t xml:space="preserve"> Restricted access; may duplicate some public-use formulary concepts with stronger research linkage.</w:t>
      </w:r>
    </w:p>
    <w:p>
      <w:r>
        <w:rPr>
          <w:b/>
        </w:rPr>
        <w:t>Suggested preprocessing:</w:t>
      </w:r>
      <w:r>
        <w:t xml:space="preserve"> Join with PDE, NDC, and plan data.</w:t>
      </w:r>
    </w:p>
    <w:p/>
    <w:p>
      <w:pPr>
        <w:pStyle w:val="EntryTitle"/>
        <w:keepNext/>
      </w:pPr>
      <w:r>
        <w:t>48. ResDAC Part D Drug Characteristics</w:t>
      </w:r>
    </w:p>
    <w:p>
      <w:pPr>
        <w:spacing w:after="20"/>
      </w:pPr>
      <w:r>
        <w:rPr>
          <w:b/>
        </w:rPr>
        <w:t xml:space="preserve">Type: </w:t>
      </w:r>
      <w:r>
        <w:t>Restricted appended drug reference file</w:t>
      </w:r>
      <w:r>
        <w:t xml:space="preserve">   |   </w:t>
      </w:r>
      <w:r>
        <w:rPr>
          <w:b/>
        </w:rPr>
        <w:t xml:space="preserve">Priority: </w:t>
      </w:r>
      <w:r>
        <w:t>Useful</w:t>
      </w:r>
    </w:p>
    <w:p>
      <w:pPr>
        <w:spacing w:after="40"/>
      </w:pPr>
      <w:r>
        <w:rPr>
          <w:b/>
        </w:rPr>
        <w:t xml:space="preserve">Links: </w:t>
      </w:r>
      <w:hyperlink r:id="rId84">
        <w:r>
          <w:rPr>
            <w:color w:val="0563C1"/>
            <w:u w:val="single"/>
          </w:rPr>
          <w:t>Link</w:t>
        </w:r>
      </w:hyperlink>
      <w:r>
        <w:t xml:space="preserve"> (https://resdac.org/cms-data/files/part-d-drug-characteristics-file)</w:t>
      </w:r>
    </w:p>
    <w:p>
      <w:r>
        <w:rPr>
          <w:b/>
        </w:rPr>
        <w:t>Why it matters for AuthSignal:</w:t>
      </w:r>
      <w:r>
        <w:t xml:space="preserve"> Adds NDC-linked drug metadata such as brand, generic, strength, and form to PDE records.</w:t>
      </w:r>
    </w:p>
    <w:p>
      <w:r>
        <w:rPr>
          <w:b/>
        </w:rPr>
        <w:t>Access notes:</w:t>
      </w:r>
      <w:r>
        <w:t xml:space="preserve"> Requested with PDE; CMS approval required.</w:t>
      </w:r>
    </w:p>
    <w:p>
      <w:r>
        <w:rPr>
          <w:b/>
        </w:rPr>
        <w:t>Best module fit:</w:t>
      </w:r>
      <w:r>
        <w:t xml:space="preserve"> Drug enrichment, medication normalization, formulary analysis.</w:t>
      </w:r>
    </w:p>
    <w:p>
      <w:r>
        <w:rPr>
          <w:b/>
        </w:rPr>
        <w:t>Limitations / caution:</w:t>
      </w:r>
      <w:r>
        <w:t xml:space="preserve"> Restricted; not needed for first MVP.</w:t>
      </w:r>
    </w:p>
    <w:p>
      <w:r>
        <w:rPr>
          <w:b/>
        </w:rPr>
        <w:t>Suggested preprocessing:</w:t>
      </w:r>
      <w:r>
        <w:t xml:space="preserve"> Use to enrich PDE/Part D records.</w:t>
      </w:r>
    </w:p>
    <w:p/>
    <w:p>
      <w:pPr>
        <w:pStyle w:val="EntryTitle"/>
        <w:keepNext/>
      </w:pPr>
      <w:r>
        <w:t>49. ResDAC Part D Prescriber Characteristics</w:t>
      </w:r>
    </w:p>
    <w:p>
      <w:pPr>
        <w:spacing w:after="20"/>
      </w:pPr>
      <w:r>
        <w:rPr>
          <w:b/>
        </w:rPr>
        <w:t xml:space="preserve">Type: </w:t>
      </w:r>
      <w:r>
        <w:t>Restricted prescriber characteristics file</w:t>
      </w:r>
      <w:r>
        <w:t xml:space="preserve">   |   </w:t>
      </w:r>
      <w:r>
        <w:rPr>
          <w:b/>
        </w:rPr>
        <w:t xml:space="preserve">Priority: </w:t>
      </w:r>
      <w:r>
        <w:t>Useful</w:t>
      </w:r>
    </w:p>
    <w:p>
      <w:pPr>
        <w:spacing w:after="40"/>
      </w:pPr>
      <w:r>
        <w:rPr>
          <w:b/>
        </w:rPr>
        <w:t xml:space="preserve">Links: </w:t>
      </w:r>
      <w:hyperlink r:id="rId85">
        <w:r>
          <w:rPr>
            <w:color w:val="0563C1"/>
            <w:u w:val="single"/>
          </w:rPr>
          <w:t>Link</w:t>
        </w:r>
      </w:hyperlink>
      <w:r>
        <w:t xml:space="preserve"> (https://resdac.org/cms-data/files/part-d-prescriber-characteristics)</w:t>
      </w:r>
    </w:p>
    <w:p>
      <w:r>
        <w:rPr>
          <w:b/>
        </w:rPr>
        <w:t>Why it matters for AuthSignal:</w:t>
      </w:r>
      <w:r>
        <w:t xml:space="preserve"> Adds prescriber taxonomy, credentials, and state to PDE-linked analyses.</w:t>
      </w:r>
    </w:p>
    <w:p>
      <w:r>
        <w:rPr>
          <w:b/>
        </w:rPr>
        <w:t>Access notes:</w:t>
      </w:r>
      <w:r>
        <w:t xml:space="preserve"> CMS Research Identifiable File; application required.</w:t>
      </w:r>
    </w:p>
    <w:p>
      <w:r>
        <w:rPr>
          <w:b/>
        </w:rPr>
        <w:t>Best module fit:</w:t>
      </w:r>
      <w:r>
        <w:t xml:space="preserve"> Prescriber features, provider specialty modeling.</w:t>
      </w:r>
    </w:p>
    <w:p>
      <w:r>
        <w:rPr>
          <w:b/>
        </w:rPr>
        <w:t>Limitations / caution:</w:t>
      </w:r>
      <w:r>
        <w:t xml:space="preserve"> Restricted; not central to core denial reason classifier.</w:t>
      </w:r>
    </w:p>
    <w:p>
      <w:r>
        <w:rPr>
          <w:b/>
        </w:rPr>
        <w:t>Suggested preprocessing:</w:t>
      </w:r>
      <w:r>
        <w:t xml:space="preserve"> Use for provider-level features.</w:t>
      </w:r>
    </w:p>
    <w:p/>
    <w:p>
      <w:pPr>
        <w:pStyle w:val="EntryTitle"/>
        <w:keepNext/>
      </w:pPr>
      <w:r>
        <w:t>50. ResDAC Plan Characteristics</w:t>
      </w:r>
    </w:p>
    <w:p>
      <w:pPr>
        <w:spacing w:after="20"/>
      </w:pPr>
      <w:r>
        <w:rPr>
          <w:b/>
        </w:rPr>
        <w:t xml:space="preserve">Type: </w:t>
      </w:r>
      <w:r>
        <w:t>Restricted MA / Part D plan metadata</w:t>
      </w:r>
      <w:r>
        <w:t xml:space="preserve">   |   </w:t>
      </w:r>
      <w:r>
        <w:rPr>
          <w:b/>
        </w:rPr>
        <w:t xml:space="preserve">Priority: </w:t>
      </w:r>
      <w:r>
        <w:t>Useful</w:t>
      </w:r>
    </w:p>
    <w:p>
      <w:pPr>
        <w:spacing w:after="40"/>
      </w:pPr>
      <w:r>
        <w:rPr>
          <w:b/>
        </w:rPr>
        <w:t xml:space="preserve">Links: </w:t>
      </w:r>
      <w:hyperlink r:id="rId86">
        <w:r>
          <w:rPr>
            <w:color w:val="0563C1"/>
            <w:u w:val="single"/>
          </w:rPr>
          <w:t>Link</w:t>
        </w:r>
      </w:hyperlink>
      <w:r>
        <w:t xml:space="preserve"> (https://resdac.org/cms-data/files/plan-characteristics)</w:t>
      </w:r>
    </w:p>
    <w:p>
      <w:r>
        <w:rPr>
          <w:b/>
        </w:rPr>
        <w:t>Why it matters for AuthSignal:</w:t>
      </w:r>
      <w:r>
        <w:t xml:space="preserve"> Helps understand plan benefits, service areas, premiums, tiers, and linkages across Part D and Medicare Advantage analyses.</w:t>
      </w:r>
    </w:p>
    <w:p>
      <w:r>
        <w:rPr>
          <w:b/>
        </w:rPr>
        <w:t>Access notes:</w:t>
      </w:r>
      <w:r>
        <w:t xml:space="preserve"> CMS Research Identifiable File; application required.</w:t>
      </w:r>
    </w:p>
    <w:p>
      <w:r>
        <w:rPr>
          <w:b/>
        </w:rPr>
        <w:t>Best module fit:</w:t>
      </w:r>
      <w:r>
        <w:t xml:space="preserve"> Plan features, payer/plan-level analysis.</w:t>
      </w:r>
    </w:p>
    <w:p>
      <w:r>
        <w:rPr>
          <w:b/>
        </w:rPr>
        <w:t>Limitations / caution:</w:t>
      </w:r>
      <w:r>
        <w:t xml:space="preserve"> Restricted and more advanced.</w:t>
      </w:r>
    </w:p>
    <w:p>
      <w:r>
        <w:rPr>
          <w:b/>
        </w:rPr>
        <w:t>Suggested preprocessing:</w:t>
      </w:r>
      <w:r>
        <w:t xml:space="preserve"> Join plan IDs across Part D and MA data.</w:t>
      </w:r>
    </w:p>
    <w:p/>
    <w:p>
      <w:pPr>
        <w:pStyle w:val="EntryTitle"/>
        <w:keepNext/>
      </w:pPr>
      <w:r>
        <w:t>51. ResDAC Carrier Encounter</w:t>
      </w:r>
    </w:p>
    <w:p>
      <w:pPr>
        <w:spacing w:after="20"/>
      </w:pPr>
      <w:r>
        <w:rPr>
          <w:b/>
        </w:rPr>
        <w:t xml:space="preserve">Type: </w:t>
      </w:r>
      <w:r>
        <w:t>Restricted Medicare Advantage professional encounter data</w:t>
      </w:r>
      <w:r>
        <w:t xml:space="preserve">   |   </w:t>
      </w:r>
      <w:r>
        <w:rPr>
          <w:b/>
        </w:rPr>
        <w:t xml:space="preserve">Priority: </w:t>
      </w:r>
      <w:r>
        <w:t>High-value / enterprise</w:t>
      </w:r>
    </w:p>
    <w:p>
      <w:pPr>
        <w:spacing w:after="40"/>
      </w:pPr>
      <w:r>
        <w:rPr>
          <w:b/>
        </w:rPr>
        <w:t xml:space="preserve">Links: </w:t>
      </w:r>
      <w:hyperlink r:id="rId87">
        <w:r>
          <w:rPr>
            <w:color w:val="0563C1"/>
            <w:u w:val="single"/>
          </w:rPr>
          <w:t>Link</w:t>
        </w:r>
      </w:hyperlink>
      <w:r>
        <w:t xml:space="preserve"> (https://resdac.org/cms-data/files/carrier-encounter)</w:t>
      </w:r>
    </w:p>
    <w:p>
      <w:r>
        <w:rPr>
          <w:b/>
        </w:rPr>
        <w:t>Why it matters for AuthSignal:</w:t>
      </w:r>
      <w:r>
        <w:t xml:space="preserve"> Useful for professional services with diagnosis, HCPCS, and rendering NPI; relevant for procedure/service-level PA modeling.</w:t>
      </w:r>
    </w:p>
    <w:p>
      <w:r>
        <w:rPr>
          <w:b/>
        </w:rPr>
        <w:t>Access notes:</w:t>
      </w:r>
      <w:r>
        <w:t xml:space="preserve"> CMS Research Identifiable File; application required.</w:t>
      </w:r>
    </w:p>
    <w:p>
      <w:r>
        <w:rPr>
          <w:b/>
        </w:rPr>
        <w:t>Best module fit:</w:t>
      </w:r>
      <w:r>
        <w:t xml:space="preserve"> Service-level PA modeling, diagnosis/procedure features, rendering provider context.</w:t>
      </w:r>
    </w:p>
    <w:p>
      <w:r>
        <w:rPr>
          <w:b/>
        </w:rPr>
        <w:t>Limitations / caution:</w:t>
      </w:r>
      <w:r>
        <w:t xml:space="preserve"> Restricted and not instant-access.</w:t>
      </w:r>
    </w:p>
    <w:p>
      <w:r>
        <w:rPr>
          <w:b/>
        </w:rPr>
        <w:t>Suggested preprocessing:</w:t>
      </w:r>
      <w:r>
        <w:t xml:space="preserve"> Normalize diagnosis, HCPCS, NPI, and service dates.</w:t>
      </w:r>
    </w:p>
    <w:p/>
    <w:p>
      <w:pPr>
        <w:pStyle w:val="EntryTitle"/>
        <w:keepNext/>
      </w:pPr>
      <w:r>
        <w:t>52. ResDAC Outpatient Encounter</w:t>
      </w:r>
    </w:p>
    <w:p>
      <w:pPr>
        <w:spacing w:after="20"/>
      </w:pPr>
      <w:r>
        <w:rPr>
          <w:b/>
        </w:rPr>
        <w:t xml:space="preserve">Type: </w:t>
      </w:r>
      <w:r>
        <w:t>Restricted Medicare Advantage outpatient encounter data</w:t>
      </w:r>
      <w:r>
        <w:t xml:space="preserve">   |   </w:t>
      </w:r>
      <w:r>
        <w:rPr>
          <w:b/>
        </w:rPr>
        <w:t xml:space="preserve">Priority: </w:t>
      </w:r>
      <w:r>
        <w:t>High-value / enterprise</w:t>
      </w:r>
    </w:p>
    <w:p>
      <w:pPr>
        <w:spacing w:after="40"/>
      </w:pPr>
      <w:r>
        <w:rPr>
          <w:b/>
        </w:rPr>
        <w:t xml:space="preserve">Links: </w:t>
      </w:r>
      <w:hyperlink r:id="rId88">
        <w:r>
          <w:rPr>
            <w:color w:val="0563C1"/>
            <w:u w:val="single"/>
          </w:rPr>
          <w:t>Link</w:t>
        </w:r>
      </w:hyperlink>
      <w:r>
        <w:t xml:space="preserve"> (https://resdac.org/cms-data/files/op-encounter)</w:t>
      </w:r>
    </w:p>
    <w:p>
      <w:r>
        <w:rPr>
          <w:b/>
        </w:rPr>
        <w:t>Why it matters for AuthSignal:</w:t>
      </w:r>
      <w:r>
        <w:t xml:space="preserve"> Useful for outpatient institutional services with diagnosis, HCPCS, and revenue center details.</w:t>
      </w:r>
    </w:p>
    <w:p>
      <w:r>
        <w:rPr>
          <w:b/>
        </w:rPr>
        <w:t>Access notes:</w:t>
      </w:r>
      <w:r>
        <w:t xml:space="preserve"> CMS Research Identifiable File; application required.</w:t>
      </w:r>
    </w:p>
    <w:p>
      <w:r>
        <w:rPr>
          <w:b/>
        </w:rPr>
        <w:t>Best module fit:</w:t>
      </w:r>
      <w:r>
        <w:t xml:space="preserve"> Outpatient service authorization modeling.</w:t>
      </w:r>
    </w:p>
    <w:p>
      <w:r>
        <w:rPr>
          <w:b/>
        </w:rPr>
        <w:t>Limitations / caution:</w:t>
      </w:r>
      <w:r>
        <w:t xml:space="preserve"> Restricted; requires careful claims understanding.</w:t>
      </w:r>
    </w:p>
    <w:p>
      <w:r>
        <w:rPr>
          <w:b/>
        </w:rPr>
        <w:t>Suggested preprocessing:</w:t>
      </w:r>
      <w:r>
        <w:t xml:space="preserve"> Extract revenue center, diagnosis, procedure, and service type features.</w:t>
      </w:r>
    </w:p>
    <w:p/>
    <w:p>
      <w:pPr>
        <w:pStyle w:val="EntryTitle"/>
        <w:keepNext/>
      </w:pPr>
      <w:r>
        <w:t>53. ResDAC Inpatient Encounter</w:t>
      </w:r>
    </w:p>
    <w:p>
      <w:pPr>
        <w:spacing w:after="20"/>
      </w:pPr>
      <w:r>
        <w:rPr>
          <w:b/>
        </w:rPr>
        <w:t xml:space="preserve">Type: </w:t>
      </w:r>
      <w:r>
        <w:t>Restricted Medicare Advantage inpatient encounter data</w:t>
      </w:r>
      <w:r>
        <w:t xml:space="preserve">   |   </w:t>
      </w:r>
      <w:r>
        <w:rPr>
          <w:b/>
        </w:rPr>
        <w:t xml:space="preserve">Priority: </w:t>
      </w:r>
      <w:r>
        <w:t>Useful</w:t>
      </w:r>
    </w:p>
    <w:p>
      <w:pPr>
        <w:spacing w:after="40"/>
      </w:pPr>
      <w:r>
        <w:rPr>
          <w:b/>
        </w:rPr>
        <w:t xml:space="preserve">Links: </w:t>
      </w:r>
      <w:hyperlink r:id="rId89">
        <w:r>
          <w:rPr>
            <w:color w:val="0563C1"/>
            <w:u w:val="single"/>
          </w:rPr>
          <w:t>Link</w:t>
        </w:r>
      </w:hyperlink>
      <w:r>
        <w:t xml:space="preserve"> (https://resdac.org/cms-data/files/ip-encounter)</w:t>
      </w:r>
    </w:p>
    <w:p>
      <w:r>
        <w:rPr>
          <w:b/>
        </w:rPr>
        <w:t>Why it matters for AuthSignal:</w:t>
      </w:r>
      <w:r>
        <w:t xml:space="preserve"> Useful for admissions, DRGs, procedures, and complex service histories that can inform medical necessity narratives.</w:t>
      </w:r>
    </w:p>
    <w:p>
      <w:r>
        <w:rPr>
          <w:b/>
        </w:rPr>
        <w:t>Access notes:</w:t>
      </w:r>
      <w:r>
        <w:t xml:space="preserve"> CMS Research Identifiable File; application required.</w:t>
      </w:r>
    </w:p>
    <w:p>
      <w:r>
        <w:rPr>
          <w:b/>
        </w:rPr>
        <w:t>Best module fit:</w:t>
      </w:r>
      <w:r>
        <w:t xml:space="preserve"> Complex history features and medical necessity context.</w:t>
      </w:r>
    </w:p>
    <w:p>
      <w:r>
        <w:rPr>
          <w:b/>
        </w:rPr>
        <w:t>Limitations / caution:</w:t>
      </w:r>
      <w:r>
        <w:t xml:space="preserve"> Less directly matched to routine PA paperwork.</w:t>
      </w:r>
    </w:p>
    <w:p>
      <w:r>
        <w:rPr>
          <w:b/>
        </w:rPr>
        <w:t>Suggested preprocessing:</w:t>
      </w:r>
      <w:r>
        <w:t xml:space="preserve"> Use for historical context and severity features.</w:t>
      </w:r>
    </w:p>
    <w:p/>
    <w:p>
      <w:pPr>
        <w:pStyle w:val="EntryTitle"/>
        <w:keepNext/>
      </w:pPr>
      <w:r>
        <w:t>54. ResDAC Durable Medical Equipment Encounter</w:t>
      </w:r>
    </w:p>
    <w:p>
      <w:pPr>
        <w:spacing w:after="20"/>
      </w:pPr>
      <w:r>
        <w:rPr>
          <w:b/>
        </w:rPr>
        <w:t xml:space="preserve">Type: </w:t>
      </w:r>
      <w:r>
        <w:t>Restricted Medicare Advantage DME encounter data</w:t>
      </w:r>
      <w:r>
        <w:t xml:space="preserve">   |   </w:t>
      </w:r>
      <w:r>
        <w:rPr>
          <w:b/>
        </w:rPr>
        <w:t xml:space="preserve">Priority: </w:t>
      </w:r>
      <w:r>
        <w:t>Useful</w:t>
      </w:r>
    </w:p>
    <w:p>
      <w:pPr>
        <w:spacing w:after="40"/>
      </w:pPr>
      <w:r>
        <w:rPr>
          <w:b/>
        </w:rPr>
        <w:t xml:space="preserve">Links: </w:t>
      </w:r>
      <w:hyperlink r:id="rId90">
        <w:r>
          <w:rPr>
            <w:color w:val="0563C1"/>
            <w:u w:val="single"/>
          </w:rPr>
          <w:t>Link</w:t>
        </w:r>
      </w:hyperlink>
      <w:r>
        <w:t xml:space="preserve"> (https://resdac.org/cms-data/files/dme-encounter)</w:t>
      </w:r>
    </w:p>
    <w:p>
      <w:r>
        <w:rPr>
          <w:b/>
        </w:rPr>
        <w:t>Why it matters for AuthSignal:</w:t>
      </w:r>
      <w:r>
        <w:t xml:space="preserve"> Very relevant if AuthSignal specializes around DME, supplies, prosthetics, orthotics, or Medicare equipment workflows.</w:t>
      </w:r>
    </w:p>
    <w:p>
      <w:r>
        <w:rPr>
          <w:b/>
        </w:rPr>
        <w:t>Access notes:</w:t>
      </w:r>
      <w:r>
        <w:t xml:space="preserve"> CMS Research Identifiable File; application required.</w:t>
      </w:r>
    </w:p>
    <w:p>
      <w:r>
        <w:rPr>
          <w:b/>
        </w:rPr>
        <w:t>Best module fit:</w:t>
      </w:r>
      <w:r>
        <w:t xml:space="preserve"> DME authorization modeling and supply/service-level features.</w:t>
      </w:r>
    </w:p>
    <w:p>
      <w:r>
        <w:rPr>
          <w:b/>
        </w:rPr>
        <w:t>Limitations / caution:</w:t>
      </w:r>
      <w:r>
        <w:t xml:space="preserve"> Restricted; DME-specific.</w:t>
      </w:r>
    </w:p>
    <w:p>
      <w:r>
        <w:rPr>
          <w:b/>
        </w:rPr>
        <w:t>Suggested preprocessing:</w:t>
      </w:r>
      <w:r>
        <w:t xml:space="preserve"> Use with CMS DMEPOS PA sources and HCPCS.</w:t>
      </w:r>
    </w:p>
    <w:p/>
    <w:p>
      <w:pPr>
        <w:pStyle w:val="EntryTitle"/>
        <w:keepNext/>
      </w:pPr>
      <w:r>
        <w:t>55. ResDAC Fee-for-Service Carrier</w:t>
      </w:r>
    </w:p>
    <w:p>
      <w:pPr>
        <w:spacing w:after="20"/>
      </w:pPr>
      <w:r>
        <w:rPr>
          <w:b/>
        </w:rPr>
        <w:t xml:space="preserve">Type: </w:t>
      </w:r>
      <w:r>
        <w:t>Restricted fee-for-service Part B claims file</w:t>
      </w:r>
      <w:r>
        <w:t xml:space="preserve">   |   </w:t>
      </w:r>
      <w:r>
        <w:rPr>
          <w:b/>
        </w:rPr>
        <w:t xml:space="preserve">Priority: </w:t>
      </w:r>
      <w:r>
        <w:t>Optional</w:t>
      </w:r>
    </w:p>
    <w:p>
      <w:pPr>
        <w:spacing w:after="40"/>
      </w:pPr>
      <w:r>
        <w:rPr>
          <w:b/>
        </w:rPr>
        <w:t xml:space="preserve">Links: </w:t>
      </w:r>
      <w:hyperlink r:id="rId91">
        <w:r>
          <w:rPr>
            <w:color w:val="0563C1"/>
            <w:u w:val="single"/>
          </w:rPr>
          <w:t>Link</w:t>
        </w:r>
      </w:hyperlink>
      <w:r>
        <w:t xml:space="preserve"> (https://resdac.org/cms-data/files/carrier-ffs)</w:t>
      </w:r>
    </w:p>
    <w:p>
      <w:r>
        <w:rPr>
          <w:b/>
        </w:rPr>
        <w:t>Why it matters for AuthSignal:</w:t>
      </w:r>
      <w:r>
        <w:t xml:space="preserve"> Useful for broader claims-pattern baselines and professional claim structures, though less PA-specific than encounter/formulary stacks.</w:t>
      </w:r>
    </w:p>
    <w:p>
      <w:r>
        <w:rPr>
          <w:b/>
        </w:rPr>
        <w:t>Access notes:</w:t>
      </w:r>
      <w:r>
        <w:t xml:space="preserve"> CMS Research Identifiable File / LDS pathways; application required.</w:t>
      </w:r>
    </w:p>
    <w:p>
      <w:r>
        <w:rPr>
          <w:b/>
        </w:rPr>
        <w:t>Best module fit:</w:t>
      </w:r>
      <w:r>
        <w:t xml:space="preserve"> Baseline claims feature engineering and professional-service patterns.</w:t>
      </w:r>
    </w:p>
    <w:p>
      <w:r>
        <w:rPr>
          <w:b/>
        </w:rPr>
        <w:t>Limitations / caution:</w:t>
      </w:r>
      <w:r>
        <w:t xml:space="preserve"> Not directly prior-auth labeled.</w:t>
      </w:r>
    </w:p>
    <w:p>
      <w:r>
        <w:rPr>
          <w:b/>
        </w:rPr>
        <w:t>Suggested preprocessing:</w:t>
      </w:r>
      <w:r>
        <w:t xml:space="preserve"> Use as supporting claims structure source.</w:t>
      </w:r>
    </w:p>
    <w:p/>
    <w:p>
      <w:pPr>
        <w:pStyle w:val="Heading1"/>
      </w:pPr>
      <w:r>
        <w:t>Commercial payer policy libraries</w:t>
      </w:r>
    </w:p>
    <w:p>
      <w:r>
        <w:t>These are not neat CSV datasets. They are public-facing policy portals or PDFs useful for commercial-payer policy retrieval. Use them carefully, respect robots.txt, website terms, and restrictions on copying or redistributing content.</w:t>
      </w:r>
    </w:p>
    <w:p>
      <w:pPr>
        <w:pStyle w:val="EntryTitle"/>
        <w:keepNext/>
      </w:pPr>
      <w:r>
        <w:t>56. Aetna Clinical Policy Bulletins</w:t>
      </w:r>
    </w:p>
    <w:p>
      <w:pPr>
        <w:spacing w:after="20"/>
      </w:pPr>
      <w:r>
        <w:rPr>
          <w:b/>
        </w:rPr>
        <w:t xml:space="preserve">Type: </w:t>
      </w:r>
      <w:r>
        <w:t>Commercial payer policy portal</w:t>
      </w:r>
      <w:r>
        <w:t xml:space="preserve">   |   </w:t>
      </w:r>
      <w:r>
        <w:rPr>
          <w:b/>
        </w:rPr>
        <w:t xml:space="preserve">Priority: </w:t>
      </w:r>
      <w:r>
        <w:t>Core for commercial-payer product</w:t>
      </w:r>
    </w:p>
    <w:p>
      <w:pPr>
        <w:spacing w:after="40"/>
      </w:pPr>
      <w:r>
        <w:rPr>
          <w:b/>
        </w:rPr>
        <w:t xml:space="preserve">Links: </w:t>
      </w:r>
      <w:hyperlink r:id="rId92">
        <w:r>
          <w:rPr>
            <w:color w:val="0563C1"/>
            <w:u w:val="single"/>
          </w:rPr>
          <w:t>Link 1</w:t>
        </w:r>
      </w:hyperlink>
      <w:r>
        <w:t xml:space="preserve"> (https://www.aetna.com/health-care-professionals/clinical-policy-bulletins.html)</w:t>
      </w:r>
      <w:r>
        <w:t xml:space="preserve"> | </w:t>
      </w:r>
      <w:hyperlink r:id="rId93">
        <w:r>
          <w:rPr>
            <w:color w:val="0563C1"/>
            <w:u w:val="single"/>
          </w:rPr>
          <w:t>Link 2</w:t>
        </w:r>
      </w:hyperlink>
      <w:r>
        <w:t xml:space="preserve"> (https://www.aetna.com/health-care-professionals/clinical-policy-bulletins/medical-clinical-policy-bulletins.html)</w:t>
      </w:r>
    </w:p>
    <w:p>
      <w:r>
        <w:rPr>
          <w:b/>
        </w:rPr>
        <w:t>Why it matters for AuthSignal:</w:t>
      </w:r>
      <w:r>
        <w:t xml:space="preserve"> Public-facing medical and pharmacy policy bulletins useful for payer-specific criteria extraction and retrieval.</w:t>
      </w:r>
    </w:p>
    <w:p>
      <w:r>
        <w:rPr>
          <w:b/>
        </w:rPr>
        <w:t>Access notes:</w:t>
      </w:r>
      <w:r>
        <w:t xml:space="preserve"> Open website with click-through terms; some CPT-related content may involve AMA copyright context.</w:t>
      </w:r>
    </w:p>
    <w:p>
      <w:r>
        <w:rPr>
          <w:b/>
        </w:rPr>
        <w:t>Best module fit:</w:t>
      </w:r>
      <w:r>
        <w:t xml:space="preserve"> Commercial policy retrieval, criteria extraction, medical necessity language.</w:t>
      </w:r>
    </w:p>
    <w:p>
      <w:r>
        <w:rPr>
          <w:b/>
        </w:rPr>
        <w:t>Limitations / caution:</w:t>
      </w:r>
      <w:r>
        <w:t xml:space="preserve"> Respect terms and avoid redistributing restricted content.</w:t>
      </w:r>
    </w:p>
    <w:p>
      <w:r>
        <w:rPr>
          <w:b/>
        </w:rPr>
        <w:t>Suggested preprocessing:</w:t>
      </w:r>
      <w:r>
        <w:t xml:space="preserve"> Manual curation or low-rate compliant harvesting; store metadata and links.</w:t>
      </w:r>
    </w:p>
    <w:p/>
    <w:p>
      <w:pPr>
        <w:pStyle w:val="EntryTitle"/>
        <w:keepNext/>
      </w:pPr>
      <w:r>
        <w:t>57. Anthem Clinical UM Guidelines</w:t>
      </w:r>
    </w:p>
    <w:p>
      <w:pPr>
        <w:spacing w:after="20"/>
      </w:pPr>
      <w:r>
        <w:rPr>
          <w:b/>
        </w:rPr>
        <w:t xml:space="preserve">Type: </w:t>
      </w:r>
      <w:r>
        <w:t>Commercial payer policy portal</w:t>
      </w:r>
      <w:r>
        <w:t xml:space="preserve">   |   </w:t>
      </w:r>
      <w:r>
        <w:rPr>
          <w:b/>
        </w:rPr>
        <w:t xml:space="preserve">Priority: </w:t>
      </w:r>
      <w:r>
        <w:t>Core for commercial-payer product</w:t>
      </w:r>
    </w:p>
    <w:p>
      <w:pPr>
        <w:spacing w:after="40"/>
      </w:pPr>
      <w:r>
        <w:rPr>
          <w:b/>
        </w:rPr>
        <w:t xml:space="preserve">Links: </w:t>
      </w:r>
      <w:hyperlink r:id="rId94">
        <w:r>
          <w:rPr>
            <w:color w:val="0563C1"/>
            <w:u w:val="single"/>
          </w:rPr>
          <w:t>Link</w:t>
        </w:r>
      </w:hyperlink>
      <w:r>
        <w:t xml:space="preserve"> (https://www.anthem.com/provider/policies/clinical-guidelines/)</w:t>
      </w:r>
    </w:p>
    <w:p>
      <w:r>
        <w:rPr>
          <w:b/>
        </w:rPr>
        <w:t>Why it matters for AuthSignal:</w:t>
      </w:r>
      <w:r>
        <w:t xml:space="preserve"> Public utilization-management guideline library useful for policy retrieval and policy-diff comparisons.</w:t>
      </w:r>
    </w:p>
    <w:p>
      <w:r>
        <w:rPr>
          <w:b/>
        </w:rPr>
        <w:t>Access notes:</w:t>
      </w:r>
      <w:r>
        <w:t xml:space="preserve"> Open website.</w:t>
      </w:r>
    </w:p>
    <w:p>
      <w:r>
        <w:rPr>
          <w:b/>
        </w:rPr>
        <w:t>Best module fit:</w:t>
      </w:r>
      <w:r>
        <w:t xml:space="preserve"> UM guideline retrieval, payer-specific criteria, commercial policy variation.</w:t>
      </w:r>
    </w:p>
    <w:p>
      <w:r>
        <w:rPr>
          <w:b/>
        </w:rPr>
        <w:t>Limitations / caution:</w:t>
      </w:r>
      <w:r>
        <w:t xml:space="preserve"> Portal structure can change.</w:t>
      </w:r>
    </w:p>
    <w:p>
      <w:r>
        <w:rPr>
          <w:b/>
        </w:rPr>
        <w:t>Suggested preprocessing:</w:t>
      </w:r>
      <w:r>
        <w:t xml:space="preserve"> Index guideline title, category, effective date, and criteria sections.</w:t>
      </w:r>
    </w:p>
    <w:p/>
    <w:p>
      <w:pPr>
        <w:pStyle w:val="EntryTitle"/>
        <w:keepNext/>
      </w:pPr>
      <w:r>
        <w:t>58. Cigna coverage policies for providers</w:t>
      </w:r>
    </w:p>
    <w:p>
      <w:pPr>
        <w:spacing w:after="20"/>
      </w:pPr>
      <w:r>
        <w:rPr>
          <w:b/>
        </w:rPr>
        <w:t xml:space="preserve">Type: </w:t>
      </w:r>
      <w:r>
        <w:t>Commercial payer coverage policy portal</w:t>
      </w:r>
      <w:r>
        <w:t xml:space="preserve">   |   </w:t>
      </w:r>
      <w:r>
        <w:rPr>
          <w:b/>
        </w:rPr>
        <w:t xml:space="preserve">Priority: </w:t>
      </w:r>
      <w:r>
        <w:t>Core for commercial-payer product</w:t>
      </w:r>
    </w:p>
    <w:p>
      <w:pPr>
        <w:spacing w:after="40"/>
      </w:pPr>
      <w:r>
        <w:rPr>
          <w:b/>
        </w:rPr>
        <w:t xml:space="preserve">Links: </w:t>
      </w:r>
      <w:hyperlink r:id="rId95">
        <w:r>
          <w:rPr>
            <w:color w:val="0563C1"/>
            <w:u w:val="single"/>
          </w:rPr>
          <w:t>Link</w:t>
        </w:r>
      </w:hyperlink>
      <w:r>
        <w:t xml:space="preserve"> (https://www.cigna.com/health-care-providers/coverage-and-claims/policies)</w:t>
      </w:r>
    </w:p>
    <w:p>
      <w:r>
        <w:rPr>
          <w:b/>
        </w:rPr>
        <w:t>Why it matters for AuthSignal:</w:t>
      </w:r>
      <w:r>
        <w:t xml:space="preserve"> Coverage-policy library that can feed retrieval even though it is not a packaged dataset.</w:t>
      </w:r>
    </w:p>
    <w:p>
      <w:r>
        <w:rPr>
          <w:b/>
        </w:rPr>
        <w:t>Access notes:</w:t>
      </w:r>
      <w:r>
        <w:t xml:space="preserve"> Open website; some content may require provider login.</w:t>
      </w:r>
    </w:p>
    <w:p>
      <w:r>
        <w:rPr>
          <w:b/>
        </w:rPr>
        <w:t>Best module fit:</w:t>
      </w:r>
      <w:r>
        <w:t xml:space="preserve"> Policy retrieval, criteria extraction, payer-specific policy text.</w:t>
      </w:r>
    </w:p>
    <w:p>
      <w:r>
        <w:rPr>
          <w:b/>
        </w:rPr>
        <w:t>Limitations / caution:</w:t>
      </w:r>
      <w:r>
        <w:t xml:space="preserve"> Some resources may be behind login or have terms restrictions.</w:t>
      </w:r>
    </w:p>
    <w:p>
      <w:r>
        <w:rPr>
          <w:b/>
        </w:rPr>
        <w:t>Suggested preprocessing:</w:t>
      </w:r>
      <w:r>
        <w:t xml:space="preserve"> Use manual download where needed; retain source URLs.</w:t>
      </w:r>
    </w:p>
    <w:p/>
    <w:p>
      <w:pPr>
        <w:pStyle w:val="EntryTitle"/>
        <w:keepNext/>
      </w:pPr>
      <w:r>
        <w:t>59. Cigna pharmacy and medical prior authorization example PDF</w:t>
      </w:r>
    </w:p>
    <w:p>
      <w:pPr>
        <w:spacing w:after="20"/>
      </w:pPr>
      <w:r>
        <w:rPr>
          <w:b/>
        </w:rPr>
        <w:t xml:space="preserve">Type: </w:t>
      </w:r>
      <w:r>
        <w:t>Commercial payer example policy PDF</w:t>
      </w:r>
      <w:r>
        <w:t xml:space="preserve">   |   </w:t>
      </w:r>
      <w:r>
        <w:rPr>
          <w:b/>
        </w:rPr>
        <w:t xml:space="preserve">Priority: </w:t>
      </w:r>
      <w:r>
        <w:t>Useful PDF parsing example</w:t>
      </w:r>
    </w:p>
    <w:p>
      <w:pPr>
        <w:spacing w:after="40"/>
      </w:pPr>
      <w:r>
        <w:rPr>
          <w:b/>
        </w:rPr>
        <w:t xml:space="preserve">Links: </w:t>
      </w:r>
      <w:hyperlink r:id="rId96">
        <w:r>
          <w:rPr>
            <w:color w:val="0563C1"/>
            <w:u w:val="single"/>
          </w:rPr>
          <w:t>Link</w:t>
        </w:r>
      </w:hyperlink>
      <w:r>
        <w:t xml:space="preserve"> (https://static.cigna.com/assets/chcp/pdf/coveragePolicies/pharmacy/ph_1407_coverageposition_pharmacy_prior_auth.pdf)</w:t>
      </w:r>
    </w:p>
    <w:p>
      <w:r>
        <w:rPr>
          <w:b/>
        </w:rPr>
        <w:t>Why it matters for AuthSignal:</w:t>
      </w:r>
      <w:r>
        <w:t xml:space="preserve"> Useful for PDF parsing practice and identifying sections such as instructions for use, criteria, and authorization caveats.</w:t>
      </w:r>
    </w:p>
    <w:p>
      <w:r>
        <w:rPr>
          <w:b/>
        </w:rPr>
        <w:t>Access notes:</w:t>
      </w:r>
      <w:r>
        <w:t xml:space="preserve"> Open PDF surfaced in source inventory.</w:t>
      </w:r>
    </w:p>
    <w:p>
      <w:r>
        <w:rPr>
          <w:b/>
        </w:rPr>
        <w:t>Best module fit:</w:t>
      </w:r>
      <w:r>
        <w:t xml:space="preserve"> PDF extraction, sectionization, criteria extraction.</w:t>
      </w:r>
    </w:p>
    <w:p>
      <w:r>
        <w:rPr>
          <w:b/>
        </w:rPr>
        <w:t>Limitations / caution:</w:t>
      </w:r>
      <w:r>
        <w:t xml:space="preserve"> Example policy may be plan-specific and change over time.</w:t>
      </w:r>
    </w:p>
    <w:p>
      <w:r>
        <w:rPr>
          <w:b/>
        </w:rPr>
        <w:t>Suggested preprocessing:</w:t>
      </w:r>
      <w:r>
        <w:t xml:space="preserve"> Use headings and layout extraction to build policy-chunking heuristics.</w:t>
      </w:r>
    </w:p>
    <w:p/>
    <w:p>
      <w:pPr>
        <w:pStyle w:val="EntryTitle"/>
        <w:keepNext/>
      </w:pPr>
      <w:r>
        <w:t>60. UnitedHealthcare prior authorization and notification resources</w:t>
      </w:r>
    </w:p>
    <w:p>
      <w:pPr>
        <w:spacing w:after="20"/>
      </w:pPr>
      <w:r>
        <w:rPr>
          <w:b/>
        </w:rPr>
        <w:t xml:space="preserve">Type: </w:t>
      </w:r>
      <w:r>
        <w:t>Commercial payer prior-auth portal</w:t>
      </w:r>
      <w:r>
        <w:t xml:space="preserve">   |   </w:t>
      </w:r>
      <w:r>
        <w:rPr>
          <w:b/>
        </w:rPr>
        <w:t xml:space="preserve">Priority: </w:t>
      </w:r>
      <w:r>
        <w:t>Core for commercial-payer product</w:t>
      </w:r>
    </w:p>
    <w:p>
      <w:pPr>
        <w:spacing w:after="40"/>
      </w:pPr>
      <w:r>
        <w:rPr>
          <w:b/>
        </w:rPr>
        <w:t xml:space="preserve">Links: </w:t>
      </w:r>
      <w:hyperlink r:id="rId97">
        <w:r>
          <w:rPr>
            <w:color w:val="0563C1"/>
            <w:u w:val="single"/>
          </w:rPr>
          <w:t>Link</w:t>
        </w:r>
      </w:hyperlink>
      <w:r>
        <w:t xml:space="preserve"> (https://www.uhcprovider.com/priorauth)</w:t>
      </w:r>
    </w:p>
    <w:p>
      <w:r>
        <w:rPr>
          <w:b/>
        </w:rPr>
        <w:t>Why it matters for AuthSignal:</w:t>
      </w:r>
      <w:r>
        <w:t xml:space="preserve"> Operational source for authorization requirements, specialty pages, APIs, and plan-specific prior-auth resources.</w:t>
      </w:r>
    </w:p>
    <w:p>
      <w:r>
        <w:rPr>
          <w:b/>
        </w:rPr>
        <w:t>Access notes:</w:t>
      </w:r>
      <w:r>
        <w:t xml:space="preserve"> Portal is public; some tools require provider login.</w:t>
      </w:r>
    </w:p>
    <w:p>
      <w:r>
        <w:rPr>
          <w:b/>
        </w:rPr>
        <w:t>Best module fit:</w:t>
      </w:r>
      <w:r>
        <w:t xml:space="preserve"> Service-requires-PA logic, commercial prior-auth workflows.</w:t>
      </w:r>
    </w:p>
    <w:p>
      <w:r>
        <w:rPr>
          <w:b/>
        </w:rPr>
        <w:t>Limitations / caution:</w:t>
      </w:r>
      <w:r>
        <w:t xml:space="preserve"> Some resources may require login or restricted access.</w:t>
      </w:r>
    </w:p>
    <w:p>
      <w:r>
        <w:rPr>
          <w:b/>
        </w:rPr>
        <w:t>Suggested preprocessing:</w:t>
      </w:r>
      <w:r>
        <w:t xml:space="preserve"> Use as a portal reference and manual curation source.</w:t>
      </w:r>
    </w:p>
    <w:p/>
    <w:p>
      <w:pPr>
        <w:pStyle w:val="EntryTitle"/>
        <w:keepNext/>
      </w:pPr>
      <w:r>
        <w:t>61. UnitedHealthcare commercial medical and drug policies</w:t>
      </w:r>
    </w:p>
    <w:p>
      <w:pPr>
        <w:spacing w:after="20"/>
      </w:pPr>
      <w:r>
        <w:rPr>
          <w:b/>
        </w:rPr>
        <w:t xml:space="preserve">Type: </w:t>
      </w:r>
      <w:r>
        <w:t>Commercial payer medical/drug policy portal</w:t>
      </w:r>
      <w:r>
        <w:t xml:space="preserve">   |   </w:t>
      </w:r>
      <w:r>
        <w:rPr>
          <w:b/>
        </w:rPr>
        <w:t xml:space="preserve">Priority: </w:t>
      </w:r>
      <w:r>
        <w:t>Useful but higher legal caution</w:t>
      </w:r>
    </w:p>
    <w:p>
      <w:pPr>
        <w:spacing w:after="40"/>
      </w:pPr>
      <w:r>
        <w:rPr>
          <w:b/>
        </w:rPr>
        <w:t xml:space="preserve">Links: </w:t>
      </w:r>
      <w:hyperlink r:id="rId98">
        <w:r>
          <w:rPr>
            <w:color w:val="0563C1"/>
            <w:u w:val="single"/>
          </w:rPr>
          <w:t>Link</w:t>
        </w:r>
      </w:hyperlink>
      <w:r>
        <w:t xml:space="preserve"> (https://www.uhcprovider.com/en/policies-protocols/commercial-policies/commercial-medical-drug-policies.html)</w:t>
      </w:r>
    </w:p>
    <w:p>
      <w:r>
        <w:rPr>
          <w:b/>
        </w:rPr>
        <w:t>Why it matters for AuthSignal:</w:t>
      </w:r>
      <w:r>
        <w:t xml:space="preserve"> Diverse criteria language and policy sections useful for retrieval and understanding evidence requirements.</w:t>
      </w:r>
    </w:p>
    <w:p>
      <w:r>
        <w:rPr>
          <w:b/>
        </w:rPr>
        <w:t>Access notes:</w:t>
      </w:r>
      <w:r>
        <w:t xml:space="preserve"> Source notes warn policies are payer property and copying/distribution may be restricted.</w:t>
      </w:r>
    </w:p>
    <w:p>
      <w:r>
        <w:rPr>
          <w:b/>
        </w:rPr>
        <w:t>Best module fit:</w:t>
      </w:r>
      <w:r>
        <w:t xml:space="preserve"> Policy retrieval, section extraction, evidence-signal design.</w:t>
      </w:r>
    </w:p>
    <w:p>
      <w:r>
        <w:rPr>
          <w:b/>
        </w:rPr>
        <w:t>Limitations / caution:</w:t>
      </w:r>
      <w:r>
        <w:t xml:space="preserve"> Higher legal risk; avoid bulk copying or redistributing content.</w:t>
      </w:r>
    </w:p>
    <w:p>
      <w:r>
        <w:rPr>
          <w:b/>
        </w:rPr>
        <w:t>Suggested preprocessing:</w:t>
      </w:r>
      <w:r>
        <w:t xml:space="preserve"> Use Medicare sources as backbone; treat UHC as small-scale manual reference if terms allow.</w:t>
      </w:r>
    </w:p>
    <w:p/>
    <w:p>
      <w:pPr>
        <w:pStyle w:val="EntryTitle"/>
        <w:keepNext/>
      </w:pPr>
      <w:r>
        <w:t>62. Humana prior authorization lists and guidance</w:t>
      </w:r>
    </w:p>
    <w:p>
      <w:pPr>
        <w:spacing w:after="20"/>
      </w:pPr>
      <w:r>
        <w:rPr>
          <w:b/>
        </w:rPr>
        <w:t xml:space="preserve">Type: </w:t>
      </w:r>
      <w:r>
        <w:t>Commercial payer prior-auth list portal</w:t>
      </w:r>
      <w:r>
        <w:t xml:space="preserve">   |   </w:t>
      </w:r>
      <w:r>
        <w:rPr>
          <w:b/>
        </w:rPr>
        <w:t xml:space="preserve">Priority: </w:t>
      </w:r>
      <w:r>
        <w:t>Useful</w:t>
      </w:r>
    </w:p>
    <w:p>
      <w:pPr>
        <w:spacing w:after="40"/>
      </w:pPr>
      <w:r>
        <w:rPr>
          <w:b/>
        </w:rPr>
        <w:t xml:space="preserve">Links: </w:t>
      </w:r>
      <w:hyperlink r:id="rId99">
        <w:r>
          <w:rPr>
            <w:color w:val="0563C1"/>
            <w:u w:val="single"/>
          </w:rPr>
          <w:t>Link</w:t>
        </w:r>
      </w:hyperlink>
      <w:r>
        <w:t xml:space="preserve"> (https://provider.humana.com/coverage-claims/prior-authorizations/prior-authorization-lists)</w:t>
      </w:r>
    </w:p>
    <w:p>
      <w:r>
        <w:rPr>
          <w:b/>
        </w:rPr>
        <w:t>Why it matters for AuthSignal:</w:t>
      </w:r>
      <w:r>
        <w:t xml:space="preserve"> List-driven authorization requirements useful for service-requires-PA classification and linking to code lists where available.</w:t>
      </w:r>
    </w:p>
    <w:p>
      <w:r>
        <w:rPr>
          <w:b/>
        </w:rPr>
        <w:t>Access notes:</w:t>
      </w:r>
      <w:r>
        <w:t xml:space="preserve"> Open provider page.</w:t>
      </w:r>
    </w:p>
    <w:p>
      <w:r>
        <w:rPr>
          <w:b/>
        </w:rPr>
        <w:t>Best module fit:</w:t>
      </w:r>
      <w:r>
        <w:t xml:space="preserve"> PA requirement classification, payer-specific rule patterns.</w:t>
      </w:r>
    </w:p>
    <w:p>
      <w:r>
        <w:rPr>
          <w:b/>
        </w:rPr>
        <w:t>Limitations / caution:</w:t>
      </w:r>
      <w:r>
        <w:t xml:space="preserve"> List formats may change and code usage may involve CPT licensing.</w:t>
      </w:r>
    </w:p>
    <w:p>
      <w:r>
        <w:rPr>
          <w:b/>
        </w:rPr>
        <w:t>Suggested preprocessing:</w:t>
      </w:r>
      <w:r>
        <w:t xml:space="preserve"> Use for manual examples and requirement logic.</w:t>
      </w:r>
    </w:p>
    <w:p/>
    <w:p>
      <w:pPr>
        <w:pStyle w:val="EntryTitle"/>
        <w:keepNext/>
      </w:pPr>
      <w:r>
        <w:t>63. Kaiser Permanente prior authorization requirement documents</w:t>
      </w:r>
    </w:p>
    <w:p>
      <w:pPr>
        <w:spacing w:after="20"/>
      </w:pPr>
      <w:r>
        <w:rPr>
          <w:b/>
        </w:rPr>
        <w:t xml:space="preserve">Type: </w:t>
      </w:r>
      <w:r>
        <w:t>Commercial/plan-specific drug PA document</w:t>
      </w:r>
      <w:r>
        <w:t xml:space="preserve">   |   </w:t>
      </w:r>
      <w:r>
        <w:rPr>
          <w:b/>
        </w:rPr>
        <w:t xml:space="preserve">Priority: </w:t>
      </w:r>
      <w:r>
        <w:t>Useful</w:t>
      </w:r>
    </w:p>
    <w:p>
      <w:pPr>
        <w:spacing w:after="40"/>
      </w:pPr>
      <w:r>
        <w:rPr>
          <w:b/>
        </w:rPr>
        <w:t xml:space="preserve">Links: </w:t>
      </w:r>
      <w:hyperlink r:id="rId100">
        <w:r>
          <w:rPr>
            <w:color w:val="0563C1"/>
            <w:u w:val="single"/>
          </w:rPr>
          <w:t>Link</w:t>
        </w:r>
      </w:hyperlink>
      <w:r>
        <w:t xml:space="preserve"> (https://healthy.kaiserpermanente.org/content/dam/kporg/final/documents/formularies/medicare/2026/prior-authorization-pdp-wa.pdf)</w:t>
      </w:r>
    </w:p>
    <w:p>
      <w:r>
        <w:rPr>
          <w:b/>
        </w:rPr>
        <w:t>Why it matters for AuthSignal:</w:t>
      </w:r>
      <w:r>
        <w:t xml:space="preserve"> Useful for medication prior-authorization criteria patterns, step-edit language, and PDF extraction.</w:t>
      </w:r>
    </w:p>
    <w:p>
      <w:r>
        <w:rPr>
          <w:b/>
        </w:rPr>
        <w:t>Access notes:</w:t>
      </w:r>
      <w:r>
        <w:t xml:space="preserve"> Open plan-specific PDF in source inventory.</w:t>
      </w:r>
    </w:p>
    <w:p>
      <w:r>
        <w:rPr>
          <w:b/>
        </w:rPr>
        <w:t>Best module fit:</w:t>
      </w:r>
      <w:r>
        <w:t xml:space="preserve"> Medication PA criteria, PDF parsing, step therapy language.</w:t>
      </w:r>
    </w:p>
    <w:p>
      <w:r>
        <w:rPr>
          <w:b/>
        </w:rPr>
        <w:t>Limitations / caution:</w:t>
      </w:r>
      <w:r>
        <w:t xml:space="preserve"> Plan/year-specific; should be versioned.</w:t>
      </w:r>
    </w:p>
    <w:p>
      <w:r>
        <w:rPr>
          <w:b/>
        </w:rPr>
        <w:t>Suggested preprocessing:</w:t>
      </w:r>
      <w:r>
        <w:t xml:space="preserve"> Extract plan year, drug, criteria, and step requirements.</w:t>
      </w:r>
    </w:p>
    <w:p/>
    <w:p>
      <w:pPr>
        <w:pStyle w:val="Heading1"/>
      </w:pPr>
      <w:r>
        <w:t>Proprietary / licensing constraints</w:t>
      </w:r>
    </w:p>
    <w:p>
      <w:pPr>
        <w:pStyle w:val="EntryTitle"/>
        <w:keepNext/>
      </w:pPr>
      <w:r>
        <w:t>64. AMA CPT licensing FAQ / CPT code set basics</w:t>
      </w:r>
    </w:p>
    <w:p>
      <w:pPr>
        <w:spacing w:after="20"/>
      </w:pPr>
      <w:r>
        <w:rPr>
          <w:b/>
        </w:rPr>
        <w:t xml:space="preserve">Type: </w:t>
      </w:r>
      <w:r>
        <w:t>Licensing / access note</w:t>
      </w:r>
      <w:r>
        <w:t xml:space="preserve">   |   </w:t>
      </w:r>
      <w:r>
        <w:rPr>
          <w:b/>
        </w:rPr>
        <w:t xml:space="preserve">Priority: </w:t>
      </w:r>
      <w:r>
        <w:t>Important gap</w:t>
      </w:r>
    </w:p>
    <w:p>
      <w:pPr>
        <w:spacing w:after="40"/>
      </w:pPr>
      <w:r>
        <w:rPr>
          <w:b/>
        </w:rPr>
        <w:t xml:space="preserve">Links: </w:t>
      </w:r>
      <w:hyperlink r:id="rId101">
        <w:r>
          <w:rPr>
            <w:color w:val="0563C1"/>
            <w:u w:val="single"/>
          </w:rPr>
          <w:t>Link</w:t>
        </w:r>
      </w:hyperlink>
      <w:r>
        <w:t xml:space="preserve"> (https://www.ama-assn.org/practice-management/cpt/cpt-licensing-frequently-asked-questions-faqs)</w:t>
      </w:r>
    </w:p>
    <w:p>
      <w:r>
        <w:rPr>
          <w:b/>
        </w:rPr>
        <w:t>Why it matters for AuthSignal:</w:t>
      </w:r>
      <w:r>
        <w:t xml:space="preserve"> CPT is central to real prior-auth workflows, but the full CPT content is proprietary and generally licensed rather than openly downloadable.</w:t>
      </w:r>
    </w:p>
    <w:p>
      <w:r>
        <w:rPr>
          <w:b/>
        </w:rPr>
        <w:t>Access notes:</w:t>
      </w:r>
      <w:r>
        <w:t xml:space="preserve"> Public FAQ page; CPT content itself is licensed.</w:t>
      </w:r>
    </w:p>
    <w:p>
      <w:r>
        <w:rPr>
          <w:b/>
        </w:rPr>
        <w:t>Best module fit:</w:t>
      </w:r>
      <w:r>
        <w:t xml:space="preserve"> Legal/compliance planning, code-system design decisions.</w:t>
      </w:r>
    </w:p>
    <w:p>
      <w:r>
        <w:rPr>
          <w:b/>
        </w:rPr>
        <w:t>Limitations / caution:</w:t>
      </w:r>
      <w:r>
        <w:t xml:space="preserve"> Do not embed or redistribute full CPT content unless properly licensed.</w:t>
      </w:r>
    </w:p>
    <w:p>
      <w:r>
        <w:rPr>
          <w:b/>
        </w:rPr>
        <w:t>Suggested preprocessing:</w:t>
      </w:r>
      <w:r>
        <w:t xml:space="preserve"> For an academic prototype, prefer ICD-10, HCPCS, NPI, NDC, and RxNorm first.</w:t>
      </w:r>
    </w:p>
    <w:p/>
    <w:p>
      <w:r>
        <w:br w:type="page"/>
      </w:r>
    </w:p>
    <w:p>
      <w:pPr>
        <w:pStyle w:val="Heading1"/>
      </w:pPr>
      <w:r>
        <w:t>Comparative scorecard of top sources</w:t>
      </w:r>
    </w:p>
    <w:p>
      <w:r>
        <w:t>Scoring is subjective but useful for prioritization: relevance and ease are 1-5 where higher is better; legal risk is qualitative.</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shd w:fill="0D525D"/>
          </w:tcPr>
          <w:p>
            <w:pPr>
              <w:spacing w:after="0" w:before="0"/>
            </w:pPr>
            <w:r/>
            <w:r>
              <w:rPr>
                <w:rFonts w:ascii="Aptos" w:hAnsi="Aptos"/>
                <w:b/>
                <w:color w:val="FFFFFF"/>
                <w:sz w:val="15"/>
              </w:rPr>
              <w:t>Source</w:t>
            </w:r>
          </w:p>
        </w:tc>
        <w:tc>
          <w:tcPr>
            <w:tcW w:type="dxa" w:w="1752"/>
            <w:shd w:fill="0D525D"/>
          </w:tcPr>
          <w:p>
            <w:pPr>
              <w:spacing w:after="0" w:before="0"/>
            </w:pPr>
            <w:r/>
            <w:r>
              <w:rPr>
                <w:rFonts w:ascii="Aptos" w:hAnsi="Aptos"/>
                <w:b/>
                <w:color w:val="FFFFFF"/>
                <w:sz w:val="15"/>
              </w:rPr>
              <w:t>What you get</w:t>
            </w:r>
          </w:p>
        </w:tc>
        <w:tc>
          <w:tcPr>
            <w:tcW w:type="dxa" w:w="1752"/>
            <w:shd w:fill="0D525D"/>
          </w:tcPr>
          <w:p>
            <w:pPr>
              <w:spacing w:after="0" w:before="0"/>
            </w:pPr>
            <w:r/>
            <w:r>
              <w:rPr>
                <w:rFonts w:ascii="Aptos" w:hAnsi="Aptos"/>
                <w:b/>
                <w:color w:val="FFFFFF"/>
                <w:sz w:val="15"/>
              </w:rPr>
              <w:t>Relevance</w:t>
            </w:r>
          </w:p>
        </w:tc>
        <w:tc>
          <w:tcPr>
            <w:tcW w:type="dxa" w:w="1752"/>
            <w:shd w:fill="0D525D"/>
          </w:tcPr>
          <w:p>
            <w:pPr>
              <w:spacing w:after="0" w:before="0"/>
            </w:pPr>
            <w:r/>
            <w:r>
              <w:rPr>
                <w:rFonts w:ascii="Aptos" w:hAnsi="Aptos"/>
                <w:b/>
                <w:color w:val="FFFFFF"/>
                <w:sz w:val="15"/>
              </w:rPr>
              <w:t>Ease</w:t>
            </w:r>
          </w:p>
        </w:tc>
        <w:tc>
          <w:tcPr>
            <w:tcW w:type="dxa" w:w="1752"/>
            <w:shd w:fill="0D525D"/>
          </w:tcPr>
          <w:p>
            <w:pPr>
              <w:spacing w:after="0" w:before="0"/>
            </w:pPr>
            <w:r/>
            <w:r>
              <w:rPr>
                <w:rFonts w:ascii="Aptos" w:hAnsi="Aptos"/>
                <w:b/>
                <w:color w:val="FFFFFF"/>
                <w:sz w:val="15"/>
              </w:rPr>
              <w:t>Legal risk</w:t>
            </w:r>
          </w:p>
        </w:tc>
        <w:tc>
          <w:tcPr>
            <w:tcW w:type="dxa" w:w="1752"/>
            <w:shd w:fill="0D525D"/>
          </w:tcPr>
          <w:p>
            <w:pPr>
              <w:spacing w:after="0" w:before="0"/>
            </w:pPr>
            <w:r/>
            <w:r>
              <w:rPr>
                <w:rFonts w:ascii="Aptos" w:hAnsi="Aptos"/>
                <w:b/>
                <w:color w:val="FFFFFF"/>
                <w:sz w:val="15"/>
              </w:rPr>
              <w:t>Best module fit</w:t>
            </w:r>
          </w:p>
        </w:tc>
      </w:tr>
      <w:tr>
        <w:tc>
          <w:tcPr>
            <w:tcW w:type="dxa" w:w="1752"/>
          </w:tcPr>
          <w:p>
            <w:pPr>
              <w:spacing w:after="0" w:before="0"/>
            </w:pPr>
            <w:r/>
            <w:r>
              <w:rPr>
                <w:rFonts w:ascii="Aptos" w:hAnsi="Aptos"/>
                <w:b w:val="0"/>
                <w:sz w:val="15"/>
              </w:rPr>
              <w:t>CMS DE-SynPUF</w:t>
            </w:r>
          </w:p>
        </w:tc>
        <w:tc>
          <w:tcPr>
            <w:tcW w:type="dxa" w:w="1752"/>
          </w:tcPr>
          <w:p>
            <w:pPr>
              <w:spacing w:after="0" w:before="0"/>
            </w:pPr>
            <w:r/>
            <w:r>
              <w:rPr>
                <w:rFonts w:ascii="Aptos" w:hAnsi="Aptos"/>
                <w:b w:val="0"/>
                <w:sz w:val="15"/>
              </w:rPr>
              <w:t>Synthetic claims + PDE across file types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Ingestion, classifier, feature engineering</w:t>
            </w:r>
          </w:p>
        </w:tc>
      </w:tr>
      <w:tr>
        <w:tc>
          <w:tcPr>
            <w:tcW w:type="dxa" w:w="1752"/>
          </w:tcPr>
          <w:p>
            <w:pPr>
              <w:spacing w:after="0" w:before="0"/>
            </w:pPr>
            <w:r/>
            <w:r>
              <w:rPr>
                <w:rFonts w:ascii="Aptos" w:hAnsi="Aptos"/>
                <w:b w:val="0"/>
                <w:sz w:val="15"/>
              </w:rPr>
              <w:t>CMS MCD Downloads</w:t>
            </w:r>
          </w:p>
        </w:tc>
        <w:tc>
          <w:tcPr>
            <w:tcW w:type="dxa" w:w="1752"/>
          </w:tcPr>
          <w:p>
            <w:pPr>
              <w:spacing w:after="0" w:before="0"/>
            </w:pPr>
            <w:r/>
            <w:r>
              <w:rPr>
                <w:rFonts w:ascii="Aptos" w:hAnsi="Aptos"/>
                <w:b w:val="0"/>
                <w:sz w:val="15"/>
              </w:rPr>
              <w:t>NCD/LCD/Articles corpus + dictionaries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Retrieval, IE, rule reasoning</w:t>
            </w:r>
          </w:p>
        </w:tc>
      </w:tr>
      <w:tr>
        <w:tc>
          <w:tcPr>
            <w:tcW w:type="dxa" w:w="1752"/>
          </w:tcPr>
          <w:p>
            <w:pPr>
              <w:spacing w:after="0" w:before="0"/>
            </w:pPr>
            <w:r/>
            <w:r>
              <w:rPr>
                <w:rFonts w:ascii="Aptos" w:hAnsi="Aptos"/>
                <w:b w:val="0"/>
                <w:sz w:val="15"/>
              </w:rPr>
              <w:t>CMS Coverage API</w:t>
            </w:r>
          </w:p>
        </w:tc>
        <w:tc>
          <w:tcPr>
            <w:tcW w:type="dxa" w:w="1752"/>
          </w:tcPr>
          <w:p>
            <w:pPr>
              <w:spacing w:after="0" w:before="0"/>
            </w:pPr>
            <w:r/>
            <w:r>
              <w:rPr>
                <w:rFonts w:ascii="Aptos" w:hAnsi="Aptos"/>
                <w:b w:val="0"/>
                <w:sz w:val="15"/>
              </w:rPr>
              <w:t>Programmatic NCD/LCD access</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Retrieval refresh, automated ingestion</w:t>
            </w:r>
          </w:p>
        </w:tc>
      </w:tr>
      <w:tr>
        <w:tc>
          <w:tcPr>
            <w:tcW w:type="dxa" w:w="1752"/>
          </w:tcPr>
          <w:p>
            <w:pPr>
              <w:spacing w:after="0" w:before="0"/>
            </w:pPr>
            <w:r/>
            <w:r>
              <w:rPr>
                <w:rFonts w:ascii="Aptos" w:hAnsi="Aptos"/>
                <w:b w:val="0"/>
                <w:sz w:val="15"/>
              </w:rPr>
              <w:t>CMS Part D formulary/pricing files</w:t>
            </w:r>
          </w:p>
        </w:tc>
        <w:tc>
          <w:tcPr>
            <w:tcW w:type="dxa" w:w="1752"/>
          </w:tcPr>
          <w:p>
            <w:pPr>
              <w:spacing w:after="0" w:before="0"/>
            </w:pPr>
            <w:r/>
            <w:r>
              <w:rPr>
                <w:rFonts w:ascii="Aptos" w:hAnsi="Aptos"/>
                <w:b w:val="0"/>
                <w:sz w:val="15"/>
              </w:rPr>
              <w:t>NDC-level PA, ST, QL, tiers, pricing</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Drug PA rules + structured labels</w:t>
            </w:r>
          </w:p>
        </w:tc>
      </w:tr>
      <w:tr>
        <w:tc>
          <w:tcPr>
            <w:tcW w:type="dxa" w:w="1752"/>
          </w:tcPr>
          <w:p>
            <w:pPr>
              <w:spacing w:after="0" w:before="0"/>
            </w:pPr>
            <w:r/>
            <w:r>
              <w:rPr>
                <w:rFonts w:ascii="Aptos" w:hAnsi="Aptos"/>
                <w:b w:val="0"/>
                <w:sz w:val="15"/>
              </w:rPr>
              <w:t>Blue Button 2.0 sandbox</w:t>
            </w:r>
          </w:p>
        </w:tc>
        <w:tc>
          <w:tcPr>
            <w:tcW w:type="dxa" w:w="1752"/>
          </w:tcPr>
          <w:p>
            <w:pPr>
              <w:spacing w:after="0" w:before="0"/>
            </w:pPr>
            <w:r/>
            <w:r>
              <w:rPr>
                <w:rFonts w:ascii="Aptos" w:hAnsi="Aptos"/>
                <w:b w:val="0"/>
                <w:sz w:val="15"/>
              </w:rPr>
              <w:t>FHIR claims ingestion with synthetic users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FHIR EOB ingestion demo</w:t>
            </w:r>
          </w:p>
        </w:tc>
      </w:tr>
      <w:tr>
        <w:tc>
          <w:tcPr>
            <w:tcW w:type="dxa" w:w="1752"/>
          </w:tcPr>
          <w:p>
            <w:pPr>
              <w:spacing w:after="0" w:before="0"/>
            </w:pPr>
            <w:r/>
            <w:r>
              <w:rPr>
                <w:rFonts w:ascii="Aptos" w:hAnsi="Aptos"/>
                <w:b w:val="0"/>
                <w:sz w:val="15"/>
              </w:rPr>
              <w:t>Synthea</w:t>
            </w:r>
          </w:p>
        </w:tc>
        <w:tc>
          <w:tcPr>
            <w:tcW w:type="dxa" w:w="1752"/>
          </w:tcPr>
          <w:p>
            <w:pPr>
              <w:spacing w:after="0" w:before="0"/>
            </w:pPr>
            <w:r/>
            <w:r>
              <w:rPr>
                <w:rFonts w:ascii="Aptos" w:hAnsi="Aptos"/>
                <w:b w:val="0"/>
                <w:sz w:val="15"/>
              </w:rPr>
              <w:t>Synthetic EHR generation</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Synthetic labeled pair generation</w:t>
            </w:r>
          </w:p>
        </w:tc>
      </w:tr>
      <w:tr>
        <w:tc>
          <w:tcPr>
            <w:tcW w:type="dxa" w:w="1752"/>
          </w:tcPr>
          <w:p>
            <w:pPr>
              <w:spacing w:after="0" w:before="0"/>
            </w:pPr>
            <w:r/>
            <w:r>
              <w:rPr>
                <w:rFonts w:ascii="Aptos" w:hAnsi="Aptos"/>
                <w:b w:val="0"/>
                <w:sz w:val="15"/>
              </w:rPr>
              <w:t>MIMIC-IV-Note</w:t>
            </w:r>
          </w:p>
        </w:tc>
        <w:tc>
          <w:tcPr>
            <w:tcW w:type="dxa" w:w="1752"/>
          </w:tcPr>
          <w:p>
            <w:pPr>
              <w:spacing w:after="0" w:before="0"/>
            </w:pPr>
            <w:r/>
            <w:r>
              <w:rPr>
                <w:rFonts w:ascii="Aptos" w:hAnsi="Aptos"/>
                <w:b w:val="0"/>
                <w:sz w:val="15"/>
              </w:rPr>
              <w:t>Large de-identified note corpus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IE and generation evidence snippets</w:t>
            </w:r>
          </w:p>
        </w:tc>
      </w:tr>
      <w:tr>
        <w:tc>
          <w:tcPr>
            <w:tcW w:type="dxa" w:w="1752"/>
          </w:tcPr>
          <w:p>
            <w:pPr>
              <w:spacing w:after="0" w:before="0"/>
            </w:pPr>
            <w:r/>
            <w:r>
              <w:rPr>
                <w:rFonts w:ascii="Aptos" w:hAnsi="Aptos"/>
                <w:b w:val="0"/>
                <w:sz w:val="15"/>
              </w:rPr>
              <w:t>eICU</w:t>
            </w:r>
          </w:p>
        </w:tc>
        <w:tc>
          <w:tcPr>
            <w:tcW w:type="dxa" w:w="1752"/>
          </w:tcPr>
          <w:p>
            <w:pPr>
              <w:spacing w:after="0" w:before="0"/>
            </w:pPr>
            <w:r/>
            <w:r>
              <w:rPr>
                <w:rFonts w:ascii="Aptos" w:hAnsi="Aptos"/>
                <w:b w:val="0"/>
                <w:sz w:val="15"/>
              </w:rPr>
              <w:t>Multi-center ICU EHR + notes</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Robustness and IE generalization</w:t>
            </w:r>
          </w:p>
        </w:tc>
      </w:tr>
      <w:tr>
        <w:tc>
          <w:tcPr>
            <w:tcW w:type="dxa" w:w="1752"/>
          </w:tcPr>
          <w:p>
            <w:pPr>
              <w:spacing w:after="0" w:before="0"/>
            </w:pPr>
            <w:r/>
            <w:r>
              <w:rPr>
                <w:rFonts w:ascii="Aptos" w:hAnsi="Aptos"/>
                <w:b w:val="0"/>
                <w:sz w:val="15"/>
              </w:rPr>
              <w:t>i2b2 2014 de-id</w:t>
            </w:r>
          </w:p>
        </w:tc>
        <w:tc>
          <w:tcPr>
            <w:tcW w:type="dxa" w:w="1752"/>
          </w:tcPr>
          <w:p>
            <w:pPr>
              <w:spacing w:after="0" w:before="0"/>
            </w:pPr>
            <w:r/>
            <w:r>
              <w:rPr>
                <w:rFonts w:ascii="Aptos" w:hAnsi="Aptos"/>
                <w:b w:val="0"/>
                <w:sz w:val="15"/>
              </w:rPr>
              <w:t>Benchmark de-id/NER task corpus</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2</w:t>
            </w:r>
          </w:p>
        </w:tc>
        <w:tc>
          <w:tcPr>
            <w:tcW w:type="dxa" w:w="1752"/>
          </w:tcPr>
          <w:p>
            <w:pPr>
              <w:spacing w:after="0" w:before="0"/>
            </w:pPr>
            <w:r/>
            <w:r>
              <w:rPr>
                <w:rFonts w:ascii="Aptos" w:hAnsi="Aptos"/>
                <w:b w:val="0"/>
                <w:sz w:val="15"/>
              </w:rPr>
              <w:t>Medium</w:t>
            </w:r>
          </w:p>
        </w:tc>
        <w:tc>
          <w:tcPr>
            <w:tcW w:type="dxa" w:w="1752"/>
          </w:tcPr>
          <w:p>
            <w:pPr>
              <w:spacing w:after="0" w:before="0"/>
            </w:pPr>
            <w:r/>
            <w:r>
              <w:rPr>
                <w:rFonts w:ascii="Aptos" w:hAnsi="Aptos"/>
                <w:b w:val="0"/>
                <w:sz w:val="15"/>
              </w:rPr>
              <w:t>IE evaluation and PHI safety</w:t>
            </w:r>
          </w:p>
        </w:tc>
      </w:tr>
      <w:tr>
        <w:tc>
          <w:tcPr>
            <w:tcW w:type="dxa" w:w="1752"/>
          </w:tcPr>
          <w:p>
            <w:pPr>
              <w:spacing w:after="0" w:before="0"/>
            </w:pPr>
            <w:r/>
            <w:r>
              <w:rPr>
                <w:rFonts w:ascii="Aptos" w:hAnsi="Aptos"/>
                <w:b w:val="0"/>
                <w:sz w:val="15"/>
              </w:rPr>
              <w:t>CMS denial notice templates</w:t>
            </w:r>
          </w:p>
        </w:tc>
        <w:tc>
          <w:tcPr>
            <w:tcW w:type="dxa" w:w="1752"/>
          </w:tcPr>
          <w:p>
            <w:pPr>
              <w:spacing w:after="0" w:before="0"/>
            </w:pPr>
            <w:r/>
            <w:r>
              <w:rPr>
                <w:rFonts w:ascii="Aptos" w:hAnsi="Aptos"/>
                <w:b w:val="0"/>
                <w:sz w:val="15"/>
              </w:rPr>
              <w:t>Official schemas for denial letters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5</w:t>
            </w:r>
          </w:p>
        </w:tc>
        <w:tc>
          <w:tcPr>
            <w:tcW w:type="dxa" w:w="1752"/>
          </w:tcPr>
          <w:p>
            <w:pPr>
              <w:spacing w:after="0" w:before="0"/>
            </w:pPr>
            <w:r/>
            <w:r>
              <w:rPr>
                <w:rFonts w:ascii="Aptos" w:hAnsi="Aptos"/>
                <w:b w:val="0"/>
                <w:sz w:val="15"/>
              </w:rPr>
              <w:t>Low</w:t>
            </w:r>
          </w:p>
        </w:tc>
        <w:tc>
          <w:tcPr>
            <w:tcW w:type="dxa" w:w="1752"/>
          </w:tcPr>
          <w:p>
            <w:pPr>
              <w:spacing w:after="0" w:before="0"/>
            </w:pPr>
            <w:r/>
            <w:r>
              <w:rPr>
                <w:rFonts w:ascii="Aptos" w:hAnsi="Aptos"/>
                <w:b w:val="0"/>
                <w:sz w:val="15"/>
              </w:rPr>
              <w:t>Generation and extraction targets</w:t>
            </w:r>
          </w:p>
        </w:tc>
      </w:tr>
      <w:tr>
        <w:tc>
          <w:tcPr>
            <w:tcW w:type="dxa" w:w="1752"/>
          </w:tcPr>
          <w:p>
            <w:pPr>
              <w:spacing w:after="0" w:before="0"/>
            </w:pPr>
            <w:r/>
            <w:r>
              <w:rPr>
                <w:rFonts w:ascii="Aptos" w:hAnsi="Aptos"/>
                <w:b w:val="0"/>
                <w:sz w:val="15"/>
              </w:rPr>
              <w:t>RxNorm + API</w:t>
            </w:r>
          </w:p>
        </w:tc>
        <w:tc>
          <w:tcPr>
            <w:tcW w:type="dxa" w:w="1752"/>
          </w:tcPr>
          <w:p>
            <w:pPr>
              <w:spacing w:after="0" w:before="0"/>
            </w:pPr>
            <w:r/>
            <w:r>
              <w:rPr>
                <w:rFonts w:ascii="Aptos" w:hAnsi="Aptos"/>
                <w:b w:val="0"/>
                <w:sz w:val="15"/>
              </w:rPr>
              <w:t>Drug normalization + mappings</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Low-Med</w:t>
            </w:r>
          </w:p>
        </w:tc>
        <w:tc>
          <w:tcPr>
            <w:tcW w:type="dxa" w:w="1752"/>
          </w:tcPr>
          <w:p>
            <w:pPr>
              <w:spacing w:after="0" w:before="0"/>
            </w:pPr>
            <w:r/>
            <w:r>
              <w:rPr>
                <w:rFonts w:ascii="Aptos" w:hAnsi="Aptos"/>
                <w:b w:val="0"/>
                <w:sz w:val="15"/>
              </w:rPr>
              <w:t>Normalization for all modules</w:t>
            </w:r>
          </w:p>
        </w:tc>
      </w:tr>
      <w:tr>
        <w:tc>
          <w:tcPr>
            <w:tcW w:type="dxa" w:w="1752"/>
          </w:tcPr>
          <w:p>
            <w:pPr>
              <w:spacing w:after="0" w:before="0"/>
            </w:pPr>
            <w:r/>
            <w:r>
              <w:rPr>
                <w:rFonts w:ascii="Aptos" w:hAnsi="Aptos"/>
                <w:b w:val="0"/>
                <w:sz w:val="15"/>
              </w:rPr>
              <w:t>Commercial payer policy libraries</w:t>
            </w:r>
          </w:p>
        </w:tc>
        <w:tc>
          <w:tcPr>
            <w:tcW w:type="dxa" w:w="1752"/>
          </w:tcPr>
          <w:p>
            <w:pPr>
              <w:spacing w:after="0" w:before="0"/>
            </w:pPr>
            <w:r/>
            <w:r>
              <w:rPr>
                <w:rFonts w:ascii="Aptos" w:hAnsi="Aptos"/>
                <w:b w:val="0"/>
                <w:sz w:val="15"/>
              </w:rPr>
              <w:t>Diverse UM policy language</w:t>
            </w:r>
          </w:p>
        </w:tc>
        <w:tc>
          <w:tcPr>
            <w:tcW w:type="dxa" w:w="1752"/>
          </w:tcPr>
          <w:p>
            <w:pPr>
              <w:spacing w:after="0" w:before="0"/>
            </w:pPr>
            <w:r/>
            <w:r>
              <w:rPr>
                <w:rFonts w:ascii="Aptos" w:hAnsi="Aptos"/>
                <w:b w:val="0"/>
                <w:sz w:val="15"/>
              </w:rPr>
              <w:t>4</w:t>
            </w:r>
          </w:p>
        </w:tc>
        <w:tc>
          <w:tcPr>
            <w:tcW w:type="dxa" w:w="1752"/>
          </w:tcPr>
          <w:p>
            <w:pPr>
              <w:spacing w:after="0" w:before="0"/>
            </w:pPr>
            <w:r/>
            <w:r>
              <w:rPr>
                <w:rFonts w:ascii="Aptos" w:hAnsi="Aptos"/>
                <w:b w:val="0"/>
                <w:sz w:val="15"/>
              </w:rPr>
              <w:t>3</w:t>
            </w:r>
          </w:p>
        </w:tc>
        <w:tc>
          <w:tcPr>
            <w:tcW w:type="dxa" w:w="1752"/>
          </w:tcPr>
          <w:p>
            <w:pPr>
              <w:spacing w:after="0" w:before="0"/>
            </w:pPr>
            <w:r/>
            <w:r>
              <w:rPr>
                <w:rFonts w:ascii="Aptos" w:hAnsi="Aptos"/>
                <w:b w:val="0"/>
                <w:sz w:val="15"/>
              </w:rPr>
              <w:t>High</w:t>
            </w:r>
          </w:p>
        </w:tc>
        <w:tc>
          <w:tcPr>
            <w:tcW w:type="dxa" w:w="1752"/>
          </w:tcPr>
          <w:p>
            <w:pPr>
              <w:spacing w:after="0" w:before="0"/>
            </w:pPr>
            <w:r/>
            <w:r>
              <w:rPr>
                <w:rFonts w:ascii="Aptos" w:hAnsi="Aptos"/>
                <w:b w:val="0"/>
                <w:sz w:val="15"/>
              </w:rPr>
              <w:t>Retrieval corpus, small-scale/manual</w:t>
            </w:r>
          </w:p>
        </w:tc>
      </w:tr>
    </w:tbl>
    <w:p/>
    <w:p>
      <w:pPr>
        <w:pStyle w:val="Heading1"/>
      </w:pPr>
      <w:r>
        <w:t>Recommended synthetic labeling strategy</w:t>
      </w:r>
    </w:p>
    <w:p>
      <w:r>
        <w:t>Because public datasets rarely contain true prior-authorization approved/denied labels at the encounter level, AuthSignal should use a policy-grounded synthetic supervision pipeline.</w:t>
      </w:r>
    </w:p>
    <w:p>
      <w:pPr>
        <w:pStyle w:val="Heading2"/>
      </w:pPr>
      <w:r>
        <w:t>Two principles</w:t>
      </w:r>
    </w:p>
    <w:p>
      <w:pPr>
        <w:pStyle w:val="ListNumber"/>
        <w:spacing w:after="20"/>
      </w:pPr>
      <w:r>
        <w:t>Ground-truth labels should come from deterministic rule evaluation against a policy corpus, not from the LLM.</w:t>
      </w:r>
    </w:p>
    <w:p>
      <w:pPr>
        <w:pStyle w:val="ListNumber"/>
        <w:spacing w:after="20"/>
      </w:pPr>
      <w:r>
        <w:t>The LLM, if used, should only create natural-language variation or draft text; labels and cited criteria must remain auditable.</w:t>
      </w:r>
    </w:p>
    <w:p>
      <w:pPr>
        <w:pStyle w:val="Heading2"/>
      </w:pPr>
      <w:r>
        <w:t>Policy-grounded synthetic pipeline</w:t>
      </w:r>
    </w:p>
    <w:p>
      <w:r>
        <w:rPr>
          <w:b/>
        </w:rPr>
        <w:t>Step A: Build the policy knowledge base.</w:t>
      </w:r>
      <w:r>
        <w:t xml:space="preserve"> Use CMS MCD as the primary medical-necessity corpus and index documents by HCPCS/ICD, section headings, jurisdiction, and version. For drugs, ingest CMS Part D formulary files to capture prior authorization, step therapy, and quantity limits at NDC level.</w:t>
      </w:r>
    </w:p>
    <w:p>
      <w:r>
        <w:rPr>
          <w:b/>
        </w:rPr>
        <w:t>Step B: Generate synthetic patient cases.</w:t>
      </w:r>
      <w:r>
        <w:t xml:space="preserve"> Use Synthea to generate FHIR/CSV patient histories, then attach notes-like artifacts and structured request fields.</w:t>
      </w:r>
    </w:p>
    <w:p>
      <w:r>
        <w:rPr>
          <w:b/>
        </w:rPr>
        <w:t>Step C: Define requested services and drugs.</w:t>
      </w:r>
      <w:r>
        <w:t xml:space="preserve"> Select about 50-200 target services and 200-1000 drugs, focusing on explicit coverage rules or PA indicators. Pair NDCs with RxNorm concepts for consistent modeling.</w:t>
      </w:r>
    </w:p>
    <w:p>
      <w:r>
        <w:rPr>
          <w:b/>
        </w:rPr>
        <w:t>Step D: Create rule-based labels and rationales.</w:t>
      </w:r>
      <w:r>
        <w:t xml:space="preserve"> Approve if the case satisfies inclusion criteria and does not violate exclusions. Deny if required criteria are missing or contradicted. Use typed denial reason categories.</w:t>
      </w:r>
    </w:p>
    <w:p>
      <w:r>
        <w:rPr>
          <w:b/>
        </w:rPr>
        <w:t>Step E: Generate denial letters and appeal drafts.</w:t>
      </w:r>
      <w:r>
        <w:t xml:space="preserve"> Use CMS standardized notices as the official schema. Fill them with synthetic patient identifiers, request details, denial rationale, and policy citations. For appeals, force inclusion of denial reason, medical history summary, evidence, alternative therapy failures, request, and urgency.</w:t>
      </w:r>
    </w:p>
    <w:p>
      <w:pPr>
        <w:pStyle w:val="Heading2"/>
      </w:pPr>
      <w:r>
        <w:t>Recommended denial label schema</w:t>
      </w:r>
    </w:p>
    <w:p>
      <w:pPr>
        <w:pStyle w:val="CodeBlock"/>
      </w:pPr>
      <w:r>
        <w:t>{</w:t>
      </w:r>
    </w:p>
    <w:p>
      <w:pPr>
        <w:pStyle w:val="CodeBlock"/>
      </w:pPr>
      <w:r>
        <w:t xml:space="preserve">  "case_id": "SYN-000123",</w:t>
      </w:r>
    </w:p>
    <w:p>
      <w:pPr>
        <w:pStyle w:val="CodeBlock"/>
      </w:pPr>
      <w:r>
        <w:t xml:space="preserve">  "request": {</w:t>
      </w:r>
    </w:p>
    <w:p>
      <w:pPr>
        <w:pStyle w:val="CodeBlock"/>
      </w:pPr>
      <w:r>
        <w:t xml:space="preserve">    "type": "drug|procedure|imaging|device",</w:t>
      </w:r>
    </w:p>
    <w:p>
      <w:pPr>
        <w:pStyle w:val="CodeBlock"/>
      </w:pPr>
      <w:r>
        <w:t xml:space="preserve">    "codes": {</w:t>
      </w:r>
    </w:p>
    <w:p>
      <w:pPr>
        <w:pStyle w:val="CodeBlock"/>
      </w:pPr>
      <w:r>
        <w:t xml:space="preserve">      "hcpcs": ["L1234"],</w:t>
      </w:r>
    </w:p>
    <w:p>
      <w:pPr>
        <w:pStyle w:val="CodeBlock"/>
      </w:pPr>
      <w:r>
        <w:t xml:space="preserve">      "icd10": ["G47.33"],</w:t>
      </w:r>
    </w:p>
    <w:p>
      <w:pPr>
        <w:pStyle w:val="CodeBlock"/>
      </w:pPr>
      <w:r>
        <w:t xml:space="preserve">      "ndc": ["00000-0000-00"]</w:t>
      </w:r>
    </w:p>
    <w:p>
      <w:pPr>
        <w:pStyle w:val="CodeBlock"/>
      </w:pPr>
      <w:r>
        <w:t xml:space="preserve">    },</w:t>
      </w:r>
    </w:p>
    <w:p>
      <w:pPr>
        <w:pStyle w:val="CodeBlock"/>
      </w:pPr>
      <w:r>
        <w:t xml:space="preserve">    "site_of_care": "outpatient",</w:t>
      </w:r>
    </w:p>
    <w:p>
      <w:pPr>
        <w:pStyle w:val="CodeBlock"/>
      </w:pPr>
      <w:r>
        <w:t xml:space="preserve">    "urgency": "standard|expedited"</w:t>
      </w:r>
    </w:p>
    <w:p>
      <w:pPr>
        <w:pStyle w:val="CodeBlock"/>
      </w:pPr>
      <w:r>
        <w:t xml:space="preserve">  },</w:t>
      </w:r>
    </w:p>
    <w:p>
      <w:pPr>
        <w:pStyle w:val="CodeBlock"/>
      </w:pPr>
      <w:r>
        <w:t xml:space="preserve">  "decision": "approve|deny",</w:t>
      </w:r>
    </w:p>
    <w:p>
      <w:pPr>
        <w:pStyle w:val="CodeBlock"/>
      </w:pPr>
      <w:r>
        <w:t xml:space="preserve">  "denial_reasons": [</w:t>
      </w:r>
    </w:p>
    <w:p>
      <w:pPr>
        <w:pStyle w:val="CodeBlock"/>
      </w:pPr>
      <w:r>
        <w:t xml:space="preserve">    {</w:t>
      </w:r>
    </w:p>
    <w:p>
      <w:pPr>
        <w:pStyle w:val="CodeBlock"/>
      </w:pPr>
      <w:r>
        <w:t xml:space="preserve">      "category": "step_therapy_not_met",</w:t>
      </w:r>
    </w:p>
    <w:p>
      <w:pPr>
        <w:pStyle w:val="CodeBlock"/>
      </w:pPr>
      <w:r>
        <w:t xml:space="preserve">      "evidence": ["missing trial of preferred agent"],</w:t>
      </w:r>
    </w:p>
    <w:p>
      <w:pPr>
        <w:pStyle w:val="CodeBlock"/>
      </w:pPr>
      <w:r>
        <w:t xml:space="preserve">      "policy_citation_ids": ["DOC123#sec2.1"]</w:t>
      </w:r>
    </w:p>
    <w:p>
      <w:pPr>
        <w:pStyle w:val="CodeBlock"/>
      </w:pPr>
      <w:r>
        <w:t xml:space="preserve">    },</w:t>
      </w:r>
    </w:p>
    <w:p>
      <w:pPr>
        <w:pStyle w:val="CodeBlock"/>
      </w:pPr>
      <w:r>
        <w:t xml:space="preserve">    {</w:t>
      </w:r>
    </w:p>
    <w:p>
      <w:pPr>
        <w:pStyle w:val="CodeBlock"/>
      </w:pPr>
      <w:r>
        <w:t xml:space="preserve">      "category": "documentation_missing",</w:t>
      </w:r>
    </w:p>
    <w:p>
      <w:pPr>
        <w:pStyle w:val="CodeBlock"/>
      </w:pPr>
      <w:r>
        <w:t xml:space="preserve">      "evidence": ["missing sleep study AHI"],</w:t>
      </w:r>
    </w:p>
    <w:p>
      <w:pPr>
        <w:pStyle w:val="CodeBlock"/>
      </w:pPr>
      <w:r>
        <w:t xml:space="preserve">      "policy_citation_ids": ["DOC123#sec3.2"]</w:t>
      </w:r>
    </w:p>
    <w:p>
      <w:pPr>
        <w:pStyle w:val="CodeBlock"/>
      </w:pPr>
      <w:r>
        <w:t xml:space="preserve">    }</w:t>
      </w:r>
    </w:p>
    <w:p>
      <w:pPr>
        <w:pStyle w:val="CodeBlock"/>
      </w:pPr>
      <w:r>
        <w:t xml:space="preserve">  ],</w:t>
      </w:r>
    </w:p>
    <w:p>
      <w:pPr>
        <w:pStyle w:val="CodeBlock"/>
      </w:pPr>
      <w:r>
        <w:t xml:space="preserve">  "policy_sources": [</w:t>
      </w:r>
    </w:p>
    <w:p>
      <w:pPr>
        <w:pStyle w:val="CodeBlock"/>
      </w:pPr>
      <w:r>
        <w:t xml:space="preserve">    {"source": "MCD|PartDFormulary|payer_pdf", "doc_id": "DOC123"}</w:t>
      </w:r>
    </w:p>
    <w:p>
      <w:pPr>
        <w:pStyle w:val="CodeBlock"/>
      </w:pPr>
      <w:r>
        <w:t xml:space="preserve">  ]</w:t>
      </w:r>
    </w:p>
    <w:p>
      <w:pPr>
        <w:pStyle w:val="CodeBlock"/>
      </w:pPr>
      <w:r>
        <w:t>}</w:t>
      </w:r>
    </w:p>
    <w:p>
      <w:pPr>
        <w:pStyle w:val="Heading2"/>
      </w:pPr>
      <w:r>
        <w:t>High-signal denial heuristics</w:t>
      </w:r>
    </w:p>
    <w:p>
      <w:pPr>
        <w:pStyle w:val="ListBullet"/>
        <w:spacing w:after="20"/>
      </w:pPr>
      <w:r>
        <w:t>Step therapy not met: deny if the formulary indicates step therapy and the patient's medication history lacks required tried-and-failed agents.</w:t>
      </w:r>
    </w:p>
    <w:p>
      <w:pPr>
        <w:pStyle w:val="ListBullet"/>
        <w:spacing w:after="20"/>
      </w:pPr>
      <w:r>
        <w:t>Quantity limit exceeded: deny if the requested quantity exceeds plan or formulary limits; appeal can argue medical necessity for higher dose/frequency.</w:t>
      </w:r>
    </w:p>
    <w:p>
      <w:pPr>
        <w:pStyle w:val="ListBullet"/>
        <w:spacing w:after="20"/>
      </w:pPr>
      <w:r>
        <w:t>Coverage criteria mismatch: deny if mandatory clinical thresholds in the policy are absent from the case package. Separate missing documentation from not medically necessary.</w:t>
      </w:r>
    </w:p>
    <w:p>
      <w:pPr>
        <w:pStyle w:val="ListBullet"/>
        <w:spacing w:after="20"/>
      </w:pPr>
      <w:r>
        <w:t>Diagnosis/procedure mismatch: deny if requested service codes and diagnosis codes do not align with policy requirements.</w:t>
      </w:r>
    </w:p>
    <w:p>
      <w:pPr>
        <w:pStyle w:val="ListBullet"/>
        <w:spacing w:after="20"/>
      </w:pPr>
      <w:r>
        <w:t>Prior authorization not obtained: classify as its own denial reason when the denial is administrative rather than clinical.</w:t>
      </w:r>
    </w:p>
    <w:p>
      <w:pPr>
        <w:pStyle w:val="ListBullet"/>
        <w:spacing w:after="20"/>
      </w:pPr>
      <w:r>
        <w:t>Wrong code set / CPT limitation: avoid embedding full CPT content in distributed datasets unless licensed; prefer HCPCS/ICD scenarios for academic prototypes.</w:t>
      </w:r>
    </w:p>
    <w:p>
      <w:pPr>
        <w:pStyle w:val="Heading2"/>
      </w:pPr>
      <w:r>
        <w:t>Suggested denial reason taxonomy</w:t>
      </w:r>
    </w:p>
    <w:p>
      <w:pPr>
        <w:pStyle w:val="ListBullet"/>
        <w:spacing w:after="20"/>
      </w:pPr>
      <w:r>
        <w:t>Missing documentation</w:t>
      </w:r>
    </w:p>
    <w:p>
      <w:pPr>
        <w:pStyle w:val="ListBullet"/>
        <w:spacing w:after="20"/>
      </w:pPr>
      <w:r>
        <w:t>Medical necessity not established</w:t>
      </w:r>
    </w:p>
    <w:p>
      <w:pPr>
        <w:pStyle w:val="ListBullet"/>
        <w:spacing w:after="20"/>
      </w:pPr>
      <w:r>
        <w:t>Step therapy not met</w:t>
      </w:r>
    </w:p>
    <w:p>
      <w:pPr>
        <w:pStyle w:val="ListBullet"/>
        <w:spacing w:after="20"/>
      </w:pPr>
      <w:r>
        <w:t>Quantity limit exceeded</w:t>
      </w:r>
    </w:p>
    <w:p>
      <w:pPr>
        <w:pStyle w:val="ListBullet"/>
        <w:spacing w:after="20"/>
      </w:pPr>
      <w:r>
        <w:t>Prior authorization not obtained</w:t>
      </w:r>
    </w:p>
    <w:p>
      <w:pPr>
        <w:pStyle w:val="ListBullet"/>
        <w:spacing w:after="20"/>
      </w:pPr>
      <w:r>
        <w:t>Non-covered service</w:t>
      </w:r>
    </w:p>
    <w:p>
      <w:pPr>
        <w:pStyle w:val="ListBullet"/>
        <w:spacing w:after="20"/>
      </w:pPr>
      <w:r>
        <w:t>Coding or billing issue</w:t>
      </w:r>
    </w:p>
    <w:p>
      <w:pPr>
        <w:pStyle w:val="ListBullet"/>
        <w:spacing w:after="20"/>
      </w:pPr>
      <w:r>
        <w:t>Duplicate request</w:t>
      </w:r>
    </w:p>
    <w:p>
      <w:pPr>
        <w:pStyle w:val="ListBullet"/>
        <w:spacing w:after="20"/>
      </w:pPr>
      <w:r>
        <w:t>Experimental / investigational / unproven</w:t>
      </w:r>
    </w:p>
    <w:p>
      <w:pPr>
        <w:pStyle w:val="ListBullet"/>
        <w:spacing w:after="20"/>
      </w:pPr>
      <w:r>
        <w:t>Other / miscellaneous</w:t>
      </w:r>
    </w:p>
    <w:p>
      <w:pPr>
        <w:pStyle w:val="Heading1"/>
      </w:pPr>
      <w:r>
        <w:t>Tooling, preprocessing, and evaluation</w:t>
      </w:r>
    </w:p>
    <w:p>
      <w:pPr>
        <w:pStyle w:val="Heading2"/>
      </w:pPr>
      <w:r>
        <w:t>Scraping and PDF section extraction tools</w:t>
      </w:r>
    </w:p>
    <w:p>
      <w:pPr>
        <w:pStyle w:val="ListBullet"/>
        <w:spacing w:after="20"/>
      </w:pPr>
      <w:r>
        <w:t>Scraping/crawling: scrapy for crawl control, requests for simple fetches, and playwright only when JavaScript rendering is required.</w:t>
      </w:r>
    </w:p>
    <w:p>
      <w:pPr>
        <w:pStyle w:val="ListBullet"/>
        <w:spacing w:after="20"/>
      </w:pPr>
      <w:r>
        <w:t>PDF text extraction: PyMuPDF for speed, pdfminer.six for detailed extraction, and layout-aware tools such as Unstructured when headings and sections matter.</w:t>
      </w:r>
    </w:p>
    <w:p>
      <w:pPr>
        <w:pStyle w:val="ListBullet"/>
        <w:spacing w:after="20"/>
      </w:pPr>
      <w:r>
        <w:t>Sectionization: use headings such as Coverage Policy Number, Instructions for Use, Clinical Indications, Criteria, Coverage Criteria, Exclusions, Documentation Requirements, and Prior Authorization Requirements.</w:t>
      </w:r>
    </w:p>
    <w:p>
      <w:pPr>
        <w:pStyle w:val="ListBullet"/>
        <w:spacing w:after="20"/>
      </w:pPr>
      <w:r>
        <w:t>Normalization: map drugs with RxNorm, NDCs with FDA/openFDA resources, providers with NPPES, diagnoses with ICD-10, and services/supplies with HCPCS.</w:t>
      </w:r>
    </w:p>
    <w:p>
      <w:pPr>
        <w:pStyle w:val="ListBullet"/>
        <w:spacing w:after="20"/>
      </w:pPr>
      <w:r>
        <w:t>Compliance: use CMS sources as the legal backbone; handle commercial payer websites with manual downloads or low-rate compliant scraping only when terms allow.</w:t>
      </w:r>
    </w:p>
    <w:p>
      <w:pPr>
        <w:pStyle w:val="Heading2"/>
      </w:pPr>
      <w:r>
        <w:t>Evaluation plan</w:t>
      </w:r>
    </w:p>
    <w:p>
      <w:pPr>
        <w:pStyle w:val="ListBullet"/>
        <w:spacing w:after="20"/>
      </w:pPr>
      <w:r>
        <w:t>Information extraction / NER: evaluate with precision, recall, F1, and strict span matching. Use i2b2, ShARe/CLEF, n2c2, MADE, or MIMIC-derived weak labels where access permits.</w:t>
      </w:r>
    </w:p>
    <w:p>
      <w:pPr>
        <w:pStyle w:val="ListBullet"/>
        <w:spacing w:after="20"/>
      </w:pPr>
      <w:r>
        <w:t>Retrieval: create 200-500 policy queries using code + diagnosis + request type. Measure Recall@k, Precision@k, and MRR for retrieving correct policy sections.</w:t>
      </w:r>
    </w:p>
    <w:p>
      <w:pPr>
        <w:pStyle w:val="ListBullet"/>
        <w:spacing w:after="20"/>
      </w:pPr>
      <w:r>
        <w:t>Denial prediction: report accuracy, precision, recall, F1, AUROC, AUPRC, calibration/Brier score, confusion matrix, and error by denial category.</w:t>
      </w:r>
    </w:p>
    <w:p>
      <w:pPr>
        <w:pStyle w:val="ListBullet"/>
        <w:spacing w:after="20"/>
      </w:pPr>
      <w:r>
        <w:t>Generation / appeal drafts: check format compliance, factual consistency, and grounding. Every policy citation should exist in the policy corpus.</w:t>
      </w:r>
    </w:p>
    <w:p>
      <w:pPr>
        <w:pStyle w:val="ListBullet"/>
        <w:spacing w:after="20"/>
      </w:pPr>
      <w:r>
        <w:t>Data quality: measure completeness, duplicate policy documents, version control, missing fields, and PHI risk for credentialed clinical-note data.</w:t>
      </w:r>
    </w:p>
    <w:p>
      <w:pPr>
        <w:pStyle w:val="Heading1"/>
      </w:pPr>
      <w:r>
        <w:t>Sample access and download snippets</w:t>
      </w:r>
    </w:p>
    <w:p>
      <w:pPr>
        <w:pStyle w:val="EntryTitle"/>
      </w:pPr>
      <w:r>
        <w:t>CMS DE-SynPUF carrier claims sample</w:t>
      </w:r>
    </w:p>
    <w:p>
      <w:pPr>
        <w:pStyle w:val="CodeBlock"/>
      </w:pPr>
      <w:r>
        <w:t>wget -O DE1_0_Carrier_Claims_Sample_1A.zip \</w:t>
      </w:r>
    </w:p>
    <w:p>
      <w:pPr>
        <w:pStyle w:val="CodeBlock"/>
      </w:pPr>
      <w:r>
        <w:t xml:space="preserve">  "https://downloads.cms.gov/files/DE1_0_2008_to_2010_Carrier_Claims_Sample_1A.zip"</w:t>
      </w:r>
    </w:p>
    <w:p/>
    <w:p>
      <w:pPr>
        <w:pStyle w:val="EntryTitle"/>
      </w:pPr>
      <w:r>
        <w:t>CMS Medicare Coverage Database all-data ZIP</w:t>
      </w:r>
    </w:p>
    <w:p>
      <w:pPr>
        <w:pStyle w:val="CodeBlock"/>
      </w:pPr>
      <w:r>
        <w:t>wget -O mcd_all_data.zip \</w:t>
      </w:r>
    </w:p>
    <w:p>
      <w:pPr>
        <w:pStyle w:val="CodeBlock"/>
      </w:pPr>
      <w:r>
        <w:t xml:space="preserve">  "https://downloads.cms.gov/medicare-coverage-database/downloads/exports/all_data.zip"</w:t>
      </w:r>
    </w:p>
    <w:p/>
    <w:p>
      <w:pPr>
        <w:pStyle w:val="EntryTitle"/>
      </w:pPr>
      <w:r>
        <w:t>RxNorm current full monthly release</w:t>
      </w:r>
    </w:p>
    <w:p>
      <w:pPr>
        <w:pStyle w:val="CodeBlock"/>
      </w:pPr>
      <w:r>
        <w:t>wget -O RxNorm_full_current.zip \</w:t>
      </w:r>
    </w:p>
    <w:p>
      <w:pPr>
        <w:pStyle w:val="CodeBlock"/>
      </w:pPr>
      <w:r>
        <w:t xml:space="preserve">  "https://download.nlm.nih.gov/umls/kss/rxnorm/RxNorm_full_current.zip"</w:t>
      </w:r>
    </w:p>
    <w:p/>
    <w:p>
      <w:pPr>
        <w:pStyle w:val="EntryTitle"/>
      </w:pPr>
      <w:r>
        <w:t>Synthea quick start</w:t>
      </w:r>
    </w:p>
    <w:p>
      <w:pPr>
        <w:pStyle w:val="CodeBlock"/>
      </w:pPr>
      <w:r>
        <w:t>git clone https://github.com/synthetichealth/synthea.git</w:t>
      </w:r>
    </w:p>
    <w:p>
      <w:pPr>
        <w:pStyle w:val="CodeBlock"/>
      </w:pPr>
      <w:r>
        <w:t>cd synthea</w:t>
      </w:r>
    </w:p>
    <w:p>
      <w:pPr>
        <w:pStyle w:val="CodeBlock"/>
      </w:pPr>
      <w:r>
        <w:t>./gradlew build check test</w:t>
      </w:r>
    </w:p>
    <w:p>
      <w:pPr>
        <w:pStyle w:val="CodeBlock"/>
      </w:pPr>
      <w:r>
        <w:t>./run_synthea -p 1000 Massachusetts</w:t>
      </w:r>
    </w:p>
    <w:p/>
    <w:p>
      <w:pPr>
        <w:pStyle w:val="EntryTitle"/>
      </w:pPr>
      <w:r>
        <w:t>Blue Button 2.0 sandbox FHIR EOB call</w:t>
      </w:r>
    </w:p>
    <w:p>
      <w:pPr>
        <w:pStyle w:val="CodeBlock"/>
      </w:pPr>
      <w:r>
        <w:t>curl --location "https://sandbox.bluebutton.cms.gov/v2/fhir/ExplanationOfBenefit/" \</w:t>
      </w:r>
    </w:p>
    <w:p>
      <w:pPr>
        <w:pStyle w:val="CodeBlock"/>
      </w:pPr>
      <w:r>
        <w:t xml:space="preserve">  --header "Accept: application/json" \</w:t>
      </w:r>
    </w:p>
    <w:p>
      <w:pPr>
        <w:pStyle w:val="CodeBlock"/>
      </w:pPr>
      <w:r>
        <w:t xml:space="preserve">  --header "Authorization: Bearer &lt;YOUR_ACCESS_TOKEN&gt;"</w:t>
      </w:r>
    </w:p>
    <w:p/>
    <w:p>
      <w:pPr>
        <w:pStyle w:val="Heading1"/>
      </w:pPr>
      <w:r>
        <w:t>Actionable acquisition checklist</w:t>
      </w:r>
    </w:p>
    <w:tbl>
      <w:tblPr>
        <w:tblStyle w:val="TableGrid"/>
        <w:tblW w:type="auto" w:w="0"/>
        <w:tblLook w:firstColumn="1" w:firstRow="1" w:lastColumn="0" w:lastRow="0" w:noHBand="0" w:noVBand="1" w:val="04A0"/>
      </w:tblPr>
      <w:tblGrid>
        <w:gridCol w:w="5256"/>
        <w:gridCol w:w="5256"/>
      </w:tblGrid>
      <w:tr>
        <w:tc>
          <w:tcPr>
            <w:tcW w:type="dxa" w:w="5256"/>
            <w:shd w:fill="0D525D"/>
          </w:tcPr>
          <w:p>
            <w:pPr>
              <w:spacing w:after="0" w:before="0"/>
            </w:pPr>
            <w:r/>
            <w:r>
              <w:rPr>
                <w:rFonts w:ascii="Aptos" w:hAnsi="Aptos"/>
                <w:b/>
                <w:color w:val="FFFFFF"/>
                <w:sz w:val="17"/>
              </w:rPr>
              <w:t>Task</w:t>
            </w:r>
          </w:p>
        </w:tc>
        <w:tc>
          <w:tcPr>
            <w:tcW w:type="dxa" w:w="5256"/>
            <w:shd w:fill="0D525D"/>
          </w:tcPr>
          <w:p>
            <w:pPr>
              <w:spacing w:after="0" w:before="0"/>
            </w:pPr>
            <w:r/>
            <w:r>
              <w:rPr>
                <w:rFonts w:ascii="Aptos" w:hAnsi="Aptos"/>
                <w:b/>
                <w:color w:val="FFFFFF"/>
                <w:sz w:val="17"/>
              </w:rPr>
              <w:t>Estimated time</w:t>
            </w:r>
          </w:p>
        </w:tc>
      </w:tr>
      <w:tr>
        <w:tc>
          <w:tcPr>
            <w:tcW w:type="dxa" w:w="5256"/>
          </w:tcPr>
          <w:p>
            <w:pPr>
              <w:spacing w:after="0" w:before="0"/>
            </w:pPr>
            <w:r/>
            <w:r>
              <w:rPr>
                <w:rFonts w:ascii="Aptos" w:hAnsi="Aptos"/>
                <w:b w:val="0"/>
                <w:sz w:val="17"/>
              </w:rPr>
              <w:t>Acquire DE-SynPUF and load to DuckDB, BigQuery, or Postgres.</w:t>
            </w:r>
          </w:p>
        </w:tc>
        <w:tc>
          <w:tcPr>
            <w:tcW w:type="dxa" w:w="5256"/>
          </w:tcPr>
          <w:p>
            <w:pPr>
              <w:spacing w:after="0" w:before="0"/>
            </w:pPr>
            <w:r/>
            <w:r>
              <w:rPr>
                <w:rFonts w:ascii="Aptos" w:hAnsi="Aptos"/>
                <w:b w:val="0"/>
                <w:sz w:val="17"/>
              </w:rPr>
              <w:t>Same day, about 1-4 hours.</w:t>
            </w:r>
          </w:p>
        </w:tc>
      </w:tr>
      <w:tr>
        <w:tc>
          <w:tcPr>
            <w:tcW w:type="dxa" w:w="5256"/>
          </w:tcPr>
          <w:p>
            <w:pPr>
              <w:spacing w:after="0" w:before="0"/>
            </w:pPr>
            <w:r/>
            <w:r>
              <w:rPr>
                <w:rFonts w:ascii="Aptos" w:hAnsi="Aptos"/>
                <w:b w:val="0"/>
                <w:sz w:val="17"/>
              </w:rPr>
              <w:t>Download MCD current + retired coverage datasets or all-data ZIP and build indexed policy store.</w:t>
            </w:r>
          </w:p>
        </w:tc>
        <w:tc>
          <w:tcPr>
            <w:tcW w:type="dxa" w:w="5256"/>
          </w:tcPr>
          <w:p>
            <w:pPr>
              <w:spacing w:after="0" w:before="0"/>
            </w:pPr>
            <w:r/>
            <w:r>
              <w:rPr>
                <w:rFonts w:ascii="Aptos" w:hAnsi="Aptos"/>
                <w:b w:val="0"/>
                <w:sz w:val="17"/>
              </w:rPr>
              <w:t>Same day, about 2-6 hours.</w:t>
            </w:r>
          </w:p>
        </w:tc>
      </w:tr>
      <w:tr>
        <w:tc>
          <w:tcPr>
            <w:tcW w:type="dxa" w:w="5256"/>
          </w:tcPr>
          <w:p>
            <w:pPr>
              <w:spacing w:after="0" w:before="0"/>
            </w:pPr>
            <w:r/>
            <w:r>
              <w:rPr>
                <w:rFonts w:ascii="Aptos" w:hAnsi="Aptos"/>
                <w:b w:val="0"/>
                <w:sz w:val="17"/>
              </w:rPr>
              <w:t>Obtain CMS Part D formulary files and parse NDC + PA/ST/QL flags.</w:t>
            </w:r>
          </w:p>
        </w:tc>
        <w:tc>
          <w:tcPr>
            <w:tcW w:type="dxa" w:w="5256"/>
          </w:tcPr>
          <w:p>
            <w:pPr>
              <w:spacing w:after="0" w:before="0"/>
            </w:pPr>
            <w:r/>
            <w:r>
              <w:rPr>
                <w:rFonts w:ascii="Aptos" w:hAnsi="Aptos"/>
                <w:b w:val="0"/>
                <w:sz w:val="17"/>
              </w:rPr>
              <w:t>Same day, about 2-8 hours.</w:t>
            </w:r>
          </w:p>
        </w:tc>
      </w:tr>
      <w:tr>
        <w:tc>
          <w:tcPr>
            <w:tcW w:type="dxa" w:w="5256"/>
          </w:tcPr>
          <w:p>
            <w:pPr>
              <w:spacing w:after="0" w:before="0"/>
            </w:pPr>
            <w:r/>
            <w:r>
              <w:rPr>
                <w:rFonts w:ascii="Aptos" w:hAnsi="Aptos"/>
                <w:b w:val="0"/>
                <w:sz w:val="17"/>
              </w:rPr>
              <w:t>Set up Blue Button 2.0 sandbox and run first FHIR ExplanationOfBenefit pull.</w:t>
            </w:r>
          </w:p>
        </w:tc>
        <w:tc>
          <w:tcPr>
            <w:tcW w:type="dxa" w:w="5256"/>
          </w:tcPr>
          <w:p>
            <w:pPr>
              <w:spacing w:after="0" w:before="0"/>
            </w:pPr>
            <w:r/>
            <w:r>
              <w:rPr>
                <w:rFonts w:ascii="Aptos" w:hAnsi="Aptos"/>
                <w:b w:val="0"/>
                <w:sz w:val="17"/>
              </w:rPr>
              <w:t>Same day, about 1-3 hours.</w:t>
            </w:r>
          </w:p>
        </w:tc>
      </w:tr>
      <w:tr>
        <w:tc>
          <w:tcPr>
            <w:tcW w:type="dxa" w:w="5256"/>
          </w:tcPr>
          <w:p>
            <w:pPr>
              <w:spacing w:after="0" w:before="0"/>
            </w:pPr>
            <w:r/>
            <w:r>
              <w:rPr>
                <w:rFonts w:ascii="Aptos" w:hAnsi="Aptos"/>
                <w:b w:val="0"/>
                <w:sz w:val="17"/>
              </w:rPr>
              <w:t>Set up Synthea generation and define target request archetypes.</w:t>
            </w:r>
          </w:p>
        </w:tc>
        <w:tc>
          <w:tcPr>
            <w:tcW w:type="dxa" w:w="5256"/>
          </w:tcPr>
          <w:p>
            <w:pPr>
              <w:spacing w:after="0" w:before="0"/>
            </w:pPr>
            <w:r/>
            <w:r>
              <w:rPr>
                <w:rFonts w:ascii="Aptos" w:hAnsi="Aptos"/>
                <w:b w:val="0"/>
                <w:sz w:val="17"/>
              </w:rPr>
              <w:t>1-2 days.</w:t>
            </w:r>
          </w:p>
        </w:tc>
      </w:tr>
      <w:tr>
        <w:tc>
          <w:tcPr>
            <w:tcW w:type="dxa" w:w="5256"/>
          </w:tcPr>
          <w:p>
            <w:pPr>
              <w:spacing w:after="0" w:before="0"/>
            </w:pPr>
            <w:r/>
            <w:r>
              <w:rPr>
                <w:rFonts w:ascii="Aptos" w:hAnsi="Aptos"/>
                <w:b w:val="0"/>
                <w:sz w:val="17"/>
              </w:rPr>
              <w:t>Compile CMS NDMCP + Part D denial notice templates into JSON slot schemas.</w:t>
            </w:r>
          </w:p>
        </w:tc>
        <w:tc>
          <w:tcPr>
            <w:tcW w:type="dxa" w:w="5256"/>
          </w:tcPr>
          <w:p>
            <w:pPr>
              <w:spacing w:after="0" w:before="0"/>
            </w:pPr>
            <w:r/>
            <w:r>
              <w:rPr>
                <w:rFonts w:ascii="Aptos" w:hAnsi="Aptos"/>
                <w:b w:val="0"/>
                <w:sz w:val="17"/>
              </w:rPr>
              <w:t>Same day, about 1-2 hours.</w:t>
            </w:r>
          </w:p>
        </w:tc>
      </w:tr>
      <w:tr>
        <w:tc>
          <w:tcPr>
            <w:tcW w:type="dxa" w:w="5256"/>
          </w:tcPr>
          <w:p>
            <w:pPr>
              <w:spacing w:after="0" w:before="0"/>
            </w:pPr>
            <w:r/>
            <w:r>
              <w:rPr>
                <w:rFonts w:ascii="Aptos" w:hAnsi="Aptos"/>
                <w:b w:val="0"/>
                <w:sz w:val="17"/>
              </w:rPr>
              <w:t>Credential MIMIC/eICU access through PhysioNet.</w:t>
            </w:r>
          </w:p>
        </w:tc>
        <w:tc>
          <w:tcPr>
            <w:tcW w:type="dxa" w:w="5256"/>
          </w:tcPr>
          <w:p>
            <w:pPr>
              <w:spacing w:after="0" w:before="0"/>
            </w:pPr>
            <w:r/>
            <w:r>
              <w:rPr>
                <w:rFonts w:ascii="Aptos" w:hAnsi="Aptos"/>
                <w:b w:val="0"/>
                <w:sz w:val="17"/>
              </w:rPr>
              <w:t>Several days to a few weeks depending on training and DUA processing.</w:t>
            </w:r>
          </w:p>
        </w:tc>
      </w:tr>
      <w:tr>
        <w:tc>
          <w:tcPr>
            <w:tcW w:type="dxa" w:w="5256"/>
          </w:tcPr>
          <w:p>
            <w:pPr>
              <w:spacing w:after="0" w:before="0"/>
            </w:pPr>
            <w:r/>
            <w:r>
              <w:rPr>
                <w:rFonts w:ascii="Aptos" w:hAnsi="Aptos"/>
                <w:b w:val="0"/>
                <w:sz w:val="17"/>
              </w:rPr>
              <w:t>Request i2b2/n2c2 data under DUA if benchmark evaluation is needed.</w:t>
            </w:r>
          </w:p>
        </w:tc>
        <w:tc>
          <w:tcPr>
            <w:tcW w:type="dxa" w:w="5256"/>
          </w:tcPr>
          <w:p>
            <w:pPr>
              <w:spacing w:after="0" w:before="0"/>
            </w:pPr>
            <w:r/>
            <w:r>
              <w:rPr>
                <w:rFonts w:ascii="Aptos" w:hAnsi="Aptos"/>
                <w:b w:val="0"/>
                <w:sz w:val="17"/>
              </w:rPr>
              <w:t>Days to weeks.</w:t>
            </w:r>
          </w:p>
        </w:tc>
      </w:tr>
      <w:tr>
        <w:tc>
          <w:tcPr>
            <w:tcW w:type="dxa" w:w="5256"/>
          </w:tcPr>
          <w:p>
            <w:pPr>
              <w:spacing w:after="0" w:before="0"/>
            </w:pPr>
            <w:r/>
            <w:r>
              <w:rPr>
                <w:rFonts w:ascii="Aptos" w:hAnsi="Aptos"/>
                <w:b w:val="0"/>
                <w:sz w:val="17"/>
              </w:rPr>
              <w:t>Curate commercial payer policy PDFs manually.</w:t>
            </w:r>
          </w:p>
        </w:tc>
        <w:tc>
          <w:tcPr>
            <w:tcW w:type="dxa" w:w="5256"/>
          </w:tcPr>
          <w:p>
            <w:pPr>
              <w:spacing w:after="0" w:before="0"/>
            </w:pPr>
            <w:r/>
            <w:r>
              <w:rPr>
                <w:rFonts w:ascii="Aptos" w:hAnsi="Aptos"/>
                <w:b w:val="0"/>
                <w:sz w:val="17"/>
              </w:rPr>
              <w:t>Same day to 1 week for a small set.</w:t>
            </w:r>
          </w:p>
        </w:tc>
      </w:tr>
    </w:tbl>
    <w:p/>
    <w:p>
      <w:pPr>
        <w:pStyle w:val="Heading1"/>
      </w:pPr>
      <w:r>
        <w:t>Data acquisition timeline</w:t>
      </w:r>
    </w:p>
    <w:tbl>
      <w:tblPr>
        <w:tblStyle w:val="TableGrid"/>
        <w:tblW w:type="auto" w:w="0"/>
        <w:tblLook w:firstColumn="1" w:firstRow="1" w:lastColumn="0" w:lastRow="0" w:noHBand="0" w:noVBand="1" w:val="04A0"/>
      </w:tblPr>
      <w:tblGrid>
        <w:gridCol w:w="5256"/>
        <w:gridCol w:w="5256"/>
      </w:tblGrid>
      <w:tr>
        <w:tc>
          <w:tcPr>
            <w:tcW w:type="dxa" w:w="5256"/>
            <w:shd w:fill="0D525D"/>
          </w:tcPr>
          <w:p>
            <w:pPr>
              <w:spacing w:after="0" w:before="0"/>
            </w:pPr>
            <w:r/>
            <w:r>
              <w:rPr>
                <w:rFonts w:ascii="Aptos" w:hAnsi="Aptos"/>
                <w:b/>
                <w:color w:val="FFFFFF"/>
                <w:sz w:val="18"/>
              </w:rPr>
              <w:t>Time window</w:t>
            </w:r>
          </w:p>
        </w:tc>
        <w:tc>
          <w:tcPr>
            <w:tcW w:type="dxa" w:w="5256"/>
            <w:shd w:fill="0D525D"/>
          </w:tcPr>
          <w:p>
            <w:pPr>
              <w:spacing w:after="0" w:before="0"/>
            </w:pPr>
            <w:r/>
            <w:r>
              <w:rPr>
                <w:rFonts w:ascii="Aptos" w:hAnsi="Aptos"/>
                <w:b/>
                <w:color w:val="FFFFFF"/>
                <w:sz w:val="18"/>
              </w:rPr>
              <w:t>Action</w:t>
            </w:r>
          </w:p>
        </w:tc>
      </w:tr>
      <w:tr>
        <w:tc>
          <w:tcPr>
            <w:tcW w:type="dxa" w:w="5256"/>
          </w:tcPr>
          <w:p>
            <w:pPr>
              <w:spacing w:after="0" w:before="0"/>
            </w:pPr>
            <w:r/>
            <w:r>
              <w:rPr>
                <w:rFonts w:ascii="Aptos" w:hAnsi="Aptos"/>
                <w:b w:val="0"/>
                <w:sz w:val="18"/>
              </w:rPr>
              <w:t>Day 0-1</w:t>
            </w:r>
          </w:p>
        </w:tc>
        <w:tc>
          <w:tcPr>
            <w:tcW w:type="dxa" w:w="5256"/>
          </w:tcPr>
          <w:p>
            <w:pPr>
              <w:spacing w:after="0" w:before="0"/>
            </w:pPr>
            <w:r/>
            <w:r>
              <w:rPr>
                <w:rFonts w:ascii="Aptos" w:hAnsi="Aptos"/>
                <w:b w:val="0"/>
                <w:sz w:val="18"/>
              </w:rPr>
              <w:t>Download CMS DE-SynPUF, MCD datasets, RxNorm/openFDA/NDC resources, and register Blue Button sandbox.</w:t>
            </w:r>
          </w:p>
        </w:tc>
      </w:tr>
      <w:tr>
        <w:tc>
          <w:tcPr>
            <w:tcW w:type="dxa" w:w="5256"/>
          </w:tcPr>
          <w:p>
            <w:pPr>
              <w:spacing w:after="0" w:before="0"/>
            </w:pPr>
            <w:r/>
            <w:r>
              <w:rPr>
                <w:rFonts w:ascii="Aptos" w:hAnsi="Aptos"/>
                <w:b w:val="0"/>
                <w:sz w:val="18"/>
              </w:rPr>
              <w:t>Day 2-4</w:t>
            </w:r>
          </w:p>
        </w:tc>
        <w:tc>
          <w:tcPr>
            <w:tcW w:type="dxa" w:w="5256"/>
          </w:tcPr>
          <w:p>
            <w:pPr>
              <w:spacing w:after="0" w:before="0"/>
            </w:pPr>
            <w:r/>
            <w:r>
              <w:rPr>
                <w:rFonts w:ascii="Aptos" w:hAnsi="Aptos"/>
                <w:b w:val="0"/>
                <w:sz w:val="18"/>
              </w:rPr>
              <w:t>Run Synthea, define policy-to-label rules, generate synthetic denial notices and appeal drafts.</w:t>
            </w:r>
          </w:p>
        </w:tc>
      </w:tr>
      <w:tr>
        <w:tc>
          <w:tcPr>
            <w:tcW w:type="dxa" w:w="5256"/>
          </w:tcPr>
          <w:p>
            <w:pPr>
              <w:spacing w:after="0" w:before="0"/>
            </w:pPr>
            <w:r/>
            <w:r>
              <w:rPr>
                <w:rFonts w:ascii="Aptos" w:hAnsi="Aptos"/>
                <w:b w:val="0"/>
                <w:sz w:val="18"/>
              </w:rPr>
              <w:t>Week 1-3</w:t>
            </w:r>
          </w:p>
        </w:tc>
        <w:tc>
          <w:tcPr>
            <w:tcW w:type="dxa" w:w="5256"/>
          </w:tcPr>
          <w:p>
            <w:pPr>
              <w:spacing w:after="0" w:before="0"/>
            </w:pPr>
            <w:r/>
            <w:r>
              <w:rPr>
                <w:rFonts w:ascii="Aptos" w:hAnsi="Aptos"/>
                <w:b w:val="0"/>
                <w:sz w:val="18"/>
              </w:rPr>
              <w:t>Complete PhysioNet credentialing, CITI training, MIMIC/eICU access, and i2b2/n2c2 DUA requests if needed.</w:t>
            </w:r>
          </w:p>
        </w:tc>
      </w:tr>
      <w:tr>
        <w:tc>
          <w:tcPr>
            <w:tcW w:type="dxa" w:w="5256"/>
          </w:tcPr>
          <w:p>
            <w:pPr>
              <w:spacing w:after="0" w:before="0"/>
            </w:pPr>
            <w:r/>
            <w:r>
              <w:rPr>
                <w:rFonts w:ascii="Aptos" w:hAnsi="Aptos"/>
                <w:b w:val="0"/>
                <w:sz w:val="18"/>
              </w:rPr>
              <w:t>Ongoing</w:t>
            </w:r>
          </w:p>
        </w:tc>
        <w:tc>
          <w:tcPr>
            <w:tcW w:type="dxa" w:w="5256"/>
          </w:tcPr>
          <w:p>
            <w:pPr>
              <w:spacing w:after="0" w:before="0"/>
            </w:pPr>
            <w:r/>
            <w:r>
              <w:rPr>
                <w:rFonts w:ascii="Aptos" w:hAnsi="Aptos"/>
                <w:b w:val="0"/>
                <w:sz w:val="18"/>
              </w:rPr>
              <w:t>Curate commercial payer policies carefully, refresh policy corpora, and version all policy/document sources.</w:t>
            </w:r>
          </w:p>
        </w:tc>
      </w:tr>
    </w:tbl>
    <w:p/>
    <w:p>
      <w:pPr>
        <w:pStyle w:val="Heading2"/>
      </w:pPr>
      <w:r>
        <w:t>Preserved Mermaid timeline from source inventory</w:t>
      </w:r>
    </w:p>
    <w:p>
      <w:pPr>
        <w:pStyle w:val="CodeBlock"/>
      </w:pPr>
      <w:r>
        <w:t>timeline</w:t>
      </w:r>
    </w:p>
    <w:p>
      <w:pPr>
        <w:pStyle w:val="CodeBlock"/>
      </w:pPr>
      <w:r>
        <w:t xml:space="preserve">  title PriorPilot data acquisition timeline (academic-first)</w:t>
      </w:r>
    </w:p>
    <w:p>
      <w:pPr>
        <w:pStyle w:val="CodeBlock"/>
      </w:pPr>
      <w:r>
        <w:t xml:space="preserve">  section Day 0-1 (fast public/synthetic)</w:t>
      </w:r>
    </w:p>
    <w:p>
      <w:pPr>
        <w:pStyle w:val="CodeBlock"/>
      </w:pPr>
      <w:r>
        <w:t xml:space="preserve">    Download CMS DE-SynPUF : claims+PDE synthetic base</w:t>
      </w:r>
    </w:p>
    <w:p>
      <w:pPr>
        <w:pStyle w:val="CodeBlock"/>
      </w:pPr>
      <w:r>
        <w:t xml:space="preserve">    Download CMS MCD datasets / set up Coverage API : coverage rules corpus</w:t>
      </w:r>
    </w:p>
    <w:p>
      <w:pPr>
        <w:pStyle w:val="CodeBlock"/>
      </w:pPr>
      <w:r>
        <w:t xml:space="preserve">    Get RxNorm + openFDA NDC : drug normalization layer</w:t>
      </w:r>
    </w:p>
    <w:p>
      <w:pPr>
        <w:pStyle w:val="CodeBlock"/>
      </w:pPr>
      <w:r>
        <w:t xml:space="preserve">    Register Blue Button sandbox app : FHIR ingestion demo</w:t>
      </w:r>
    </w:p>
    <w:p>
      <w:pPr>
        <w:pStyle w:val="CodeBlock"/>
      </w:pPr>
      <w:r>
        <w:t xml:space="preserve">  section Day 2-4 (build synthetic labels)</w:t>
      </w:r>
    </w:p>
    <w:p>
      <w:pPr>
        <w:pStyle w:val="CodeBlock"/>
      </w:pPr>
      <w:r>
        <w:t xml:space="preserve">    Run Synthea populations : synthetic clinical histories</w:t>
      </w:r>
    </w:p>
    <w:p>
      <w:pPr>
        <w:pStyle w:val="CodeBlock"/>
      </w:pPr>
      <w:r>
        <w:t xml:space="preserve">    Define policy-to-label rules : approval/denial heuristics</w:t>
      </w:r>
    </w:p>
    <w:p>
      <w:pPr>
        <w:pStyle w:val="CodeBlock"/>
      </w:pPr>
      <w:r>
        <w:t xml:space="preserve">    Generate denial notices + appeal drafts : template-constrained generation</w:t>
      </w:r>
    </w:p>
    <w:p>
      <w:pPr>
        <w:pStyle w:val="CodeBlock"/>
      </w:pPr>
      <w:r>
        <w:t xml:space="preserve">  section Week 1-3 (credentialed datasets)</w:t>
      </w:r>
    </w:p>
    <w:p>
      <w:pPr>
        <w:pStyle w:val="CodeBlock"/>
      </w:pPr>
      <w:r>
        <w:t xml:space="preserve">    PhysioNet credentialing + CITI training : MIMIC/eICU access path</w:t>
      </w:r>
    </w:p>
    <w:p>
      <w:pPr>
        <w:pStyle w:val="CodeBlock"/>
      </w:pPr>
      <w:r>
        <w:t xml:space="preserve">    Request i2b2/n2c2 datasets under DUA : benchmark IE evaluation</w:t>
      </w:r>
    </w:p>
    <w:p>
      <w:pPr>
        <w:pStyle w:val="CodeBlock"/>
      </w:pPr>
      <w:r>
        <w:t xml:space="preserve">  section Ongoing (optional, higher legal risk)</w:t>
      </w:r>
    </w:p>
    <w:p>
      <w:pPr>
        <w:pStyle w:val="CodeBlock"/>
      </w:pPr>
      <w:r>
        <w:t xml:space="preserve">    Curate payer policy PDFs manually : diversify policy language</w:t>
      </w:r>
    </w:p>
    <w:p>
      <w:pPr>
        <w:pStyle w:val="CodeBlock"/>
      </w:pPr>
      <w:r>
        <w:t xml:space="preserve">    Refresh policy corpora : scheduled MCD/API pulls</w:t>
      </w:r>
    </w:p>
    <w:p>
      <w:pPr>
        <w:pStyle w:val="Heading1"/>
      </w:pPr>
      <w:r>
        <w:t>Practical recommendation for AuthSignal</w:t>
      </w:r>
    </w:p>
    <w:p>
      <w:pPr>
        <w:pStyle w:val="ListBullet"/>
        <w:spacing w:after="20"/>
      </w:pPr>
      <w:r>
        <w:t>For the fastest build, start with Synthea + CMS MCD + CMS Part D formulary files + ICD-10 + HCPCS + RxNorm + NPPES + CMS denial templates.</w:t>
      </w:r>
    </w:p>
    <w:p>
      <w:pPr>
        <w:pStyle w:val="ListBullet"/>
        <w:spacing w:after="20"/>
      </w:pPr>
      <w:r>
        <w:t>For the actual course project modules, create two datasets: a structured denial-risk dataset and a text-based denial reason dataset.</w:t>
      </w:r>
    </w:p>
    <w:p>
      <w:pPr>
        <w:pStyle w:val="ListBullet"/>
        <w:spacing w:after="20"/>
      </w:pPr>
      <w:r>
        <w:t>Generate labels using deterministic policy rules, not free-form LLM judgment.</w:t>
      </w:r>
    </w:p>
    <w:p>
      <w:pPr>
        <w:pStyle w:val="ListBullet"/>
        <w:spacing w:after="20"/>
      </w:pPr>
      <w:r>
        <w:t>Use LLMs only for drafting natural language, not for deciding ground truth.</w:t>
      </w:r>
    </w:p>
    <w:p>
      <w:pPr>
        <w:pStyle w:val="ListBullet"/>
        <w:spacing w:after="20"/>
      </w:pPr>
      <w:r>
        <w:t>Keep CPT out of the shipped academic dataset unless your institution has the right license.</w:t>
      </w:r>
    </w:p>
    <w:p>
      <w:pPr>
        <w:pStyle w:val="ListBullet"/>
        <w:spacing w:after="20"/>
      </w:pPr>
      <w:r>
        <w:t>Use MIMIC-IV-Note or other credentialed datasets only for improving note understanding, not as the primary PA label source.</w:t>
      </w:r>
    </w:p>
    <w:p>
      <w:pPr>
        <w:pStyle w:val="ListBullet"/>
        <w:spacing w:after="20"/>
      </w:pPr>
      <w:r>
        <w:t>Build explainability from the start: show missing evidence, matched policy rule, influential features, and denial reason class.</w:t>
      </w:r>
    </w:p>
    <w:p>
      <w:pPr>
        <w:pStyle w:val="Heading1"/>
      </w:pPr>
      <w:r>
        <w:t>Source handling note</w:t>
      </w:r>
    </w:p>
    <w:p>
      <w:r>
        <w:t>The source files used two names, PriorPilot and AuthSignal. This unified document uses AuthSignal for the project name, while retaining source names and URLs exactly where they refer to external datasets, portals, or documents.</w:t>
      </w:r>
    </w:p>
    <w:p>
      <w:r>
        <w:t>Duplicates were removed at the source-entry level. When both files referenced the same source, the entry was merged and the more detailed useful notes were retained. When a source had multiple useful URLs, all useful links were kept.</w:t>
      </w:r>
    </w:p>
    <w:p>
      <w:pPr>
        <w:pStyle w:val="Heading1"/>
      </w:pPr>
      <w:r>
        <w:rPr>
          <w:b/>
        </w:rPr>
        <w:t>Completeness audit addendum</w:t>
      </w:r>
    </w:p>
    <w:p>
      <w:r>
        <w:t>During the final completeness check, the following supporting reference links from the original data inventory were also retained. These are not separate main dataset entries, but they support access, documentation, or validation for the datasets already listed above.</w:t>
      </w:r>
    </w:p>
    <w:p>
      <w:pPr>
        <w:pStyle w:val="ListBullet"/>
      </w:pPr>
      <w:r>
        <w:rPr>
          <w:b/>
        </w:rPr>
        <w:t xml:space="preserve">eICU Collaborative Research Database Demo: </w:t>
      </w:r>
      <w:r>
        <w:t>https://physionet.org/content/eicu-crd-demo/ — Supporting demo dataset/documentation link for eICU access and example data.</w:t>
      </w:r>
    </w:p>
    <w:p>
      <w:pPr>
        <w:pStyle w:val="ListBullet"/>
      </w:pPr>
      <w:r>
        <w:rPr>
          <w:b/>
        </w:rPr>
        <w:t xml:space="preserve">PhysioNet Credentialed Health Data Use Agreement: </w:t>
      </w:r>
      <w:r>
        <w:t>https://physionet.org/content/mimiciv/view-dua/1.0/ — Supporting DUA / privacy-handling reference for MIMIC credentialed datasets.</w:t>
      </w:r>
    </w:p>
    <w:p>
      <w:pPr>
        <w:pStyle w:val="ListBullet"/>
      </w:pPr>
      <w:r>
        <w:rPr>
          <w:b/>
        </w:rPr>
        <w:t xml:space="preserve">PhysioNet protected dataset access notice: </w:t>
      </w:r>
      <w:r>
        <w:t>https://physionet.org/news/post/395/ — Supporting access-process reference for protected datasets such as MIMIC.</w:t>
      </w:r>
    </w:p>
    <w:p>
      <w:pPr>
        <w:pStyle w:val="ListBullet"/>
      </w:pPr>
      <w:r>
        <w:rPr>
          <w:b/>
        </w:rPr>
        <w:t xml:space="preserve">eICU dataset paper / description: </w:t>
      </w:r>
      <w:r>
        <w:t>https://www.nature.com/articles/sdata2018178 — Supporting documentation reference for the eICU Collaborative Research Database.</w:t>
      </w:r>
    </w:p>
    <w:sectPr w:rsidR="00FC693F" w:rsidRPr="0006063C" w:rsidSect="00034616">
      <w:footerReference w:type="default" r:id="rId102"/>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AuthSignal Unified Dataset &amp; Source Inventory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D52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D52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B697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eastAsia="Aptos"/>
      <w:color w:val="4B4B4B"/>
      <w:sz w:val="18"/>
    </w:rPr>
  </w:style>
  <w:style w:type="paragraph" w:customStyle="1" w:styleId="EntryTitle">
    <w:name w:val="Entry Title"/>
    <w:rPr>
      <w:rFonts w:ascii="Aptos" w:hAnsi="Aptos" w:eastAsia="Aptos"/>
      <w:b/>
      <w:color w:val="0D525D"/>
      <w:sz w:val="22"/>
    </w:rPr>
  </w:style>
  <w:style w:type="paragraph" w:customStyle="1" w:styleId="CodeBlock">
    <w:name w:val="Code Block"/>
    <w:pPr>
      <w:spacing w:after="0" w:before="0"/>
      <w:ind w:left="360"/>
    </w:pPr>
    <w:rPr>
      <w:rFonts w:ascii="Consolas" w:hAnsi="Consolas" w:eastAsia="Consolas"/>
      <w:color w:val="32323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ynthetichealth.github.io/synthea/" TargetMode="External"/><Relationship Id="rId10" Type="http://schemas.openxmlformats.org/officeDocument/2006/relationships/hyperlink" Target="https://github.com/synthetichealth/synthea" TargetMode="External"/><Relationship Id="rId11" Type="http://schemas.openxmlformats.org/officeDocument/2006/relationships/hyperlink" Target="https://github.com/synthetichealth/synthea-sample-data" TargetMode="External"/><Relationship Id="rId12" Type="http://schemas.openxmlformats.org/officeDocument/2006/relationships/hyperlink" Target="https://github.com/synthetichealth/syntheticmass" TargetMode="External"/><Relationship Id="rId13" Type="http://schemas.openxmlformats.org/officeDocument/2006/relationships/hyperlink" Target="https://www.cms.gov/data-research/statistics-trends-and-reports/medicare-claims-synthetic-public-use-files/cms-2008-2010-data-entrepreneurs-synthetic-public-use-file-de-synpuf" TargetMode="External"/><Relationship Id="rId14" Type="http://schemas.openxmlformats.org/officeDocument/2006/relationships/hyperlink" Target="https://www.cms.gov/data-research/statistics-trends-and-reports/medicare-claims-synthetic-public-use-files/cms-2008-2010-data-entrepreneurs-synthetic-public-use-file-de-synpuf/de10-sample-1" TargetMode="External"/><Relationship Id="rId15" Type="http://schemas.openxmlformats.org/officeDocument/2006/relationships/hyperlink" Target="https://registry.opendata.aws/cmsdesynpuf-omop/" TargetMode="External"/><Relationship Id="rId16" Type="http://schemas.openxmlformats.org/officeDocument/2006/relationships/hyperlink" Target="https://api.bluebutton.cms.gov/" TargetMode="External"/><Relationship Id="rId17" Type="http://schemas.openxmlformats.org/officeDocument/2006/relationships/hyperlink" Target="https://bluebutton.cms.gov/api-documentation/developer-sandbox/" TargetMode="External"/><Relationship Id="rId18" Type="http://schemas.openxmlformats.org/officeDocument/2006/relationships/hyperlink" Target="https://sandbox.bluebutton.cms.gov/v2/fhir/ExplanationOfBenefit/" TargetMode="External"/><Relationship Id="rId19" Type="http://schemas.openxmlformats.org/officeDocument/2006/relationships/hyperlink" Target="https://data.mendeley.com/datasets/2vpc3sf8pz/1" TargetMode="External"/><Relationship Id="rId20" Type="http://schemas.openxmlformats.org/officeDocument/2006/relationships/hyperlink" Target="https://www.nlm.nih.gov/research/umls/rxnorm/docs/rxnormfiles.html" TargetMode="External"/><Relationship Id="rId21" Type="http://schemas.openxmlformats.org/officeDocument/2006/relationships/hyperlink" Target="https://lhncbc.nlm.nih.gov/RxNav/APIs/RxNormAPIs.html" TargetMode="External"/><Relationship Id="rId22" Type="http://schemas.openxmlformats.org/officeDocument/2006/relationships/hyperlink" Target="https://www.nlm.nih.gov/research/umls/rxnorm/index.html" TargetMode="External"/><Relationship Id="rId23" Type="http://schemas.openxmlformats.org/officeDocument/2006/relationships/hyperlink" Target="https://www.fda.gov/drugs/drug-approvals-and-databases/national-drug-code-directory" TargetMode="External"/><Relationship Id="rId24" Type="http://schemas.openxmlformats.org/officeDocument/2006/relationships/hyperlink" Target="https://open.fda.gov/apis/drug/ndc/download/" TargetMode="External"/><Relationship Id="rId25" Type="http://schemas.openxmlformats.org/officeDocument/2006/relationships/hyperlink" Target="https://www.cms.gov/medicare/coding-billing/icd-10-codes" TargetMode="External"/><Relationship Id="rId26" Type="http://schemas.openxmlformats.org/officeDocument/2006/relationships/hyperlink" Target="https://www.cdc.gov/nchs/icd/icd-10-cm/files.html" TargetMode="External"/><Relationship Id="rId27" Type="http://schemas.openxmlformats.org/officeDocument/2006/relationships/hyperlink" Target="https://www.cms.gov/medicare/coding-billing/healthcare-common-procedure-system" TargetMode="External"/><Relationship Id="rId28" Type="http://schemas.openxmlformats.org/officeDocument/2006/relationships/hyperlink" Target="https://www.cms.gov/medicare/coding-billing/healthcare-common-procedure-system/quarterly-update" TargetMode="External"/><Relationship Id="rId29" Type="http://schemas.openxmlformats.org/officeDocument/2006/relationships/hyperlink" Target="https://www.cms.gov/Medicare/Coding/HCPCSReleaseCodeSets/HCPCS-Quarterly-Update.html" TargetMode="External"/><Relationship Id="rId30" Type="http://schemas.openxmlformats.org/officeDocument/2006/relationships/hyperlink" Target="https://download.cms.gov/nppes/NPI_Files.html" TargetMode="External"/><Relationship Id="rId31" Type="http://schemas.openxmlformats.org/officeDocument/2006/relationships/hyperlink" Target="https://npiregistry.cms.hhs.gov/api-page" TargetMode="External"/><Relationship Id="rId32" Type="http://schemas.openxmlformats.org/officeDocument/2006/relationships/hyperlink" Target="https://www.cms.gov/medicare/appeals-grievances/managed-care/notices-forms" TargetMode="External"/><Relationship Id="rId33" Type="http://schemas.openxmlformats.org/officeDocument/2006/relationships/hyperlink" Target="https://www.cms.gov/medicare/medicare-general-information/bni/downloads/integrated-denial-notice-instructions-cms-10003.pdf" TargetMode="External"/><Relationship Id="rId34" Type="http://schemas.openxmlformats.org/officeDocument/2006/relationships/hyperlink" Target="https://www.cms.gov/medicare/appeals-grievances/prescription-drug/plan-sponsor-notices-documents" TargetMode="External"/><Relationship Id="rId35" Type="http://schemas.openxmlformats.org/officeDocument/2006/relationships/hyperlink" Target="https://www.cms.gov/files/document/notice-denial-presc-drug-cvgcms101462017fillablev508pdf" TargetMode="External"/><Relationship Id="rId36" Type="http://schemas.openxmlformats.org/officeDocument/2006/relationships/hyperlink" Target="https://www.reginfo.gov/public/do/DownloadDocument?objectID=136672601" TargetMode="External"/><Relationship Id="rId37" Type="http://schemas.openxmlformats.org/officeDocument/2006/relationships/hyperlink" Target="https://www.patientadvocate.org/wp-content/uploads/Migraine-Sample-Pre-Authorization-Denial-Letter.pdf" TargetMode="External"/><Relationship Id="rId38" Type="http://schemas.openxmlformats.org/officeDocument/2006/relationships/hyperlink" Target="https://www.patientadvocate.org/wp-content/uploads/Migraine-Sample-Claim-Denial-Letter.pdf" TargetMode="External"/><Relationship Id="rId39" Type="http://schemas.openxmlformats.org/officeDocument/2006/relationships/hyperlink" Target="https://www.acog.org/advocacy/policy-priorities/non-invasive-prenatal-testing/prior-authorization/prior-authorization-denial-appeal-letter" TargetMode="External"/><Relationship Id="rId40" Type="http://schemas.openxmlformats.org/officeDocument/2006/relationships/hyperlink" Target="https://www.bimzelxhcp.com/sites/default/files/2024-04/Letter%20of%20Appeal.pdf" TargetMode="External"/><Relationship Id="rId41" Type="http://schemas.openxmlformats.org/officeDocument/2006/relationships/hyperlink" Target="https://physionet.org/content/mimiciv/" TargetMode="External"/><Relationship Id="rId42" Type="http://schemas.openxmlformats.org/officeDocument/2006/relationships/hyperlink" Target="https://physionet.org/content/mimiciv/?utm_source=chatgpt.com" TargetMode="External"/><Relationship Id="rId43" Type="http://schemas.openxmlformats.org/officeDocument/2006/relationships/hyperlink" Target="https://physionet.org/content/mimic-iv-note/2.2/" TargetMode="External"/><Relationship Id="rId44" Type="http://schemas.openxmlformats.org/officeDocument/2006/relationships/hyperlink" Target="https://www.physionet.org/content/mimic-iv-note/2.2/" TargetMode="External"/><Relationship Id="rId45" Type="http://schemas.openxmlformats.org/officeDocument/2006/relationships/hyperlink" Target="https://physionet.org/content/mimic-iv-ed/2.2/" TargetMode="External"/><Relationship Id="rId46" Type="http://schemas.openxmlformats.org/officeDocument/2006/relationships/hyperlink" Target="https://physionet.org/content/eicu-crd/2.0/" TargetMode="External"/><Relationship Id="rId47" Type="http://schemas.openxmlformats.org/officeDocument/2006/relationships/hyperlink" Target="https://eicu-crd.mit.edu/" TargetMode="External"/><Relationship Id="rId48" Type="http://schemas.openxmlformats.org/officeDocument/2006/relationships/hyperlink" Target="https://eicu-crd.mit.edu/eicutables/note/" TargetMode="External"/><Relationship Id="rId49" Type="http://schemas.openxmlformats.org/officeDocument/2006/relationships/hyperlink" Target="https://eicu-crd.mit.edu/gettingstarted/access/" TargetMode="External"/><Relationship Id="rId50" Type="http://schemas.openxmlformats.org/officeDocument/2006/relationships/hyperlink" Target="https://physionet.org/content/mimiciii/" TargetMode="External"/><Relationship Id="rId51" Type="http://schemas.openxmlformats.org/officeDocument/2006/relationships/hyperlink" Target="https://physionet.org/content/mimiciii/view-required-training/1.4/" TargetMode="External"/><Relationship Id="rId52" Type="http://schemas.openxmlformats.org/officeDocument/2006/relationships/hyperlink" Target="https://pmc.ncbi.nlm.nih.gov/articles/PMC4878278/" TargetMode="External"/><Relationship Id="rId53" Type="http://schemas.openxmlformats.org/officeDocument/2006/relationships/hyperlink" Target="https://physionet.org/content/mednli/1.0.0/" TargetMode="External"/><Relationship Id="rId54" Type="http://schemas.openxmlformats.org/officeDocument/2006/relationships/hyperlink" Target="https://www.i2b2.org/NLP/HeartDisease/" TargetMode="External"/><Relationship Id="rId55" Type="http://schemas.openxmlformats.org/officeDocument/2006/relationships/hyperlink" Target="https://www.i2b2.org/NLP/DataSets/AgreementAR.php" TargetMode="External"/><Relationship Id="rId56" Type="http://schemas.openxmlformats.org/officeDocument/2006/relationships/hyperlink" Target="https://www.sciencedirect.com/science/article/pii/S1532046415001823" TargetMode="External"/><Relationship Id="rId57" Type="http://schemas.openxmlformats.org/officeDocument/2006/relationships/hyperlink" Target="https://physionet.org/content/shareclefehealth2013/1.0/" TargetMode="External"/><Relationship Id="rId58" Type="http://schemas.openxmlformats.org/officeDocument/2006/relationships/hyperlink" Target="https://clefehealth.imag.fr/clefehealth.imag.fr/index3fd7.html?page_id=441" TargetMode="External"/><Relationship Id="rId59" Type="http://schemas.openxmlformats.org/officeDocument/2006/relationships/hyperlink" Target="https://ceur-ws.org/Vol-1179/CLEF2013wn-CLEFeHealth-MoweryEt2013.pdf" TargetMode="External"/><Relationship Id="rId60" Type="http://schemas.openxmlformats.org/officeDocument/2006/relationships/hyperlink" Target="https://pmc.ncbi.nlm.nih.gov/articles/PMC6288593/" TargetMode="External"/><Relationship Id="rId61" Type="http://schemas.openxmlformats.org/officeDocument/2006/relationships/hyperlink" Target="https://n2c2.dbmi.hms.harvard.edu/data-sets" TargetMode="External"/><Relationship Id="rId62" Type="http://schemas.openxmlformats.org/officeDocument/2006/relationships/hyperlink" Target="https://academic.oup.com/jamia/article/26/11/1247/5568257" TargetMode="External"/><Relationship Id="rId63" Type="http://schemas.openxmlformats.org/officeDocument/2006/relationships/hyperlink" Target="https://www.cms.gov/medicare-coverage-database/downloads/downloads.aspx" TargetMode="External"/><Relationship Id="rId64" Type="http://schemas.openxmlformats.org/officeDocument/2006/relationships/hyperlink" Target="https://downloads.cms.gov/medicare-coverage-database/downloads/exports/all_data.zip" TargetMode="External"/><Relationship Id="rId65" Type="http://schemas.openxmlformats.org/officeDocument/2006/relationships/hyperlink" Target="https://api.coverage.cms.gov/" TargetMode="External"/><Relationship Id="rId66" Type="http://schemas.openxmlformats.org/officeDocument/2006/relationships/hyperlink" Target="https://www.cms.gov/medicare-coverage-database/search.aspx" TargetMode="External"/><Relationship Id="rId67" Type="http://schemas.openxmlformats.org/officeDocument/2006/relationships/hyperlink" Target="https://www.cms.gov/medicare/coverage/determination-process/local" TargetMode="External"/><Relationship Id="rId68" Type="http://schemas.openxmlformats.org/officeDocument/2006/relationships/hyperlink" Target="https://www.cms.gov/data-research/monitoring-programs/medicare-fee-service-compliance-programs/prior-authorization-and-pre-claim-review-initiatives/prior-authorization-process-certain-durable-medical-equipment-prosthetics-orthotics-and-supplies" TargetMode="External"/><Relationship Id="rId69" Type="http://schemas.openxmlformats.org/officeDocument/2006/relationships/hyperlink" Target="https://www.cms.gov/medicare/coverage/prescription-drug-coverage/formulary-guidance" TargetMode="External"/><Relationship Id="rId70" Type="http://schemas.openxmlformats.org/officeDocument/2006/relationships/hyperlink" Target="https://www.cms.gov/research-statistics-data-and-systems/files-for-order/nonidentifiabledatafiles/prescriptiondrugplanformularypharmacynetworkandpricinginformationfiles" TargetMode="External"/><Relationship Id="rId71" Type="http://schemas.openxmlformats.org/officeDocument/2006/relationships/hyperlink" Target="https://www.cms.gov/Research-Statistics-Data-and-Systems/Files-for-Order/NonIdentifiableDataFiles/PrescriptionDrugPlanFormularyPharmacyNetworkandPricingInformationFiles.html" TargetMode="External"/><Relationship Id="rId72" Type="http://schemas.openxmlformats.org/officeDocument/2006/relationships/hyperlink" Target="https://www.cms.gov/medicare/audits-compliance/part-c-part-d-compliance-audits/part-c-utilization-management-um-audits" TargetMode="External"/><Relationship Id="rId73" Type="http://schemas.openxmlformats.org/officeDocument/2006/relationships/hyperlink" Target="https://catalog.data.gov/dataset/medicare-appeals-council-decisions" TargetMode="External"/><Relationship Id="rId74" Type="http://schemas.openxmlformats.org/officeDocument/2006/relationships/hyperlink" Target="https://catalog.data.gov/dataset/medicare-appeals-council-decisions-14f26" TargetMode="External"/><Relationship Id="rId75" Type="http://schemas.openxmlformats.org/officeDocument/2006/relationships/hyperlink" Target="https://www.hhs.gov/about/agencies/dab/decisions/council-decisions/index.html" TargetMode="External"/><Relationship Id="rId76" Type="http://schemas.openxmlformats.org/officeDocument/2006/relationships/hyperlink" Target="https://www.cms.gov/medicare/appeals-grievances/prescription-drug/reconsiderations" TargetMode="External"/><Relationship Id="rId77" Type="http://schemas.openxmlformats.org/officeDocument/2006/relationships/hyperlink" Target="https://build.fhir.org/ig/HL7/davinci-pas/" TargetMode="External"/><Relationship Id="rId78" Type="http://schemas.openxmlformats.org/officeDocument/2006/relationships/hyperlink" Target="https://build.fhir.org/ig/HL7/davinci-dtr/" TargetMode="External"/><Relationship Id="rId79" Type="http://schemas.openxmlformats.org/officeDocument/2006/relationships/hyperlink" Target="https://www.cms.gov/priorities/burden-reduction/overview/interoperability/policies-regulations/cms-interoperability-prior-authorization-final-rule-cms-0057-f" TargetMode="External"/><Relationship Id="rId80" Type="http://schemas.openxmlformats.org/officeDocument/2006/relationships/hyperlink" Target="https://www.cms.gov/newsroom/fact-sheets/cms-interoperability-prior-authorization-final-rule-cms-0057-f" TargetMode="External"/><Relationship Id="rId81" Type="http://schemas.openxmlformats.org/officeDocument/2006/relationships/hyperlink" Target="https://www.cms.gov/priorities/burden-reduction/overview/interoperability/implementation-guides-standards/application-programming-interfaces-apis-relevant-standards-implementation-guides-igs" TargetMode="External"/><Relationship Id="rId82" Type="http://schemas.openxmlformats.org/officeDocument/2006/relationships/hyperlink" Target="https://resdac.org/cms-data/files/pde" TargetMode="External"/><Relationship Id="rId83" Type="http://schemas.openxmlformats.org/officeDocument/2006/relationships/hyperlink" Target="https://resdac.org/cms-data/files/part-d-formulary-file" TargetMode="External"/><Relationship Id="rId84" Type="http://schemas.openxmlformats.org/officeDocument/2006/relationships/hyperlink" Target="https://resdac.org/cms-data/files/part-d-drug-characteristics-file" TargetMode="External"/><Relationship Id="rId85" Type="http://schemas.openxmlformats.org/officeDocument/2006/relationships/hyperlink" Target="https://resdac.org/cms-data/files/part-d-prescriber-characteristics" TargetMode="External"/><Relationship Id="rId86" Type="http://schemas.openxmlformats.org/officeDocument/2006/relationships/hyperlink" Target="https://resdac.org/cms-data/files/plan-characteristics" TargetMode="External"/><Relationship Id="rId87" Type="http://schemas.openxmlformats.org/officeDocument/2006/relationships/hyperlink" Target="https://resdac.org/cms-data/files/carrier-encounter" TargetMode="External"/><Relationship Id="rId88" Type="http://schemas.openxmlformats.org/officeDocument/2006/relationships/hyperlink" Target="https://resdac.org/cms-data/files/op-encounter" TargetMode="External"/><Relationship Id="rId89" Type="http://schemas.openxmlformats.org/officeDocument/2006/relationships/hyperlink" Target="https://resdac.org/cms-data/files/ip-encounter" TargetMode="External"/><Relationship Id="rId90" Type="http://schemas.openxmlformats.org/officeDocument/2006/relationships/hyperlink" Target="https://resdac.org/cms-data/files/dme-encounter" TargetMode="External"/><Relationship Id="rId91" Type="http://schemas.openxmlformats.org/officeDocument/2006/relationships/hyperlink" Target="https://resdac.org/cms-data/files/carrier-ffs" TargetMode="External"/><Relationship Id="rId92" Type="http://schemas.openxmlformats.org/officeDocument/2006/relationships/hyperlink" Target="https://www.aetna.com/health-care-professionals/clinical-policy-bulletins.html" TargetMode="External"/><Relationship Id="rId93" Type="http://schemas.openxmlformats.org/officeDocument/2006/relationships/hyperlink" Target="https://www.aetna.com/health-care-professionals/clinical-policy-bulletins/medical-clinical-policy-bulletins.html" TargetMode="External"/><Relationship Id="rId94" Type="http://schemas.openxmlformats.org/officeDocument/2006/relationships/hyperlink" Target="https://www.anthem.com/provider/policies/clinical-guidelines/" TargetMode="External"/><Relationship Id="rId95" Type="http://schemas.openxmlformats.org/officeDocument/2006/relationships/hyperlink" Target="https://www.cigna.com/health-care-providers/coverage-and-claims/policies" TargetMode="External"/><Relationship Id="rId96" Type="http://schemas.openxmlformats.org/officeDocument/2006/relationships/hyperlink" Target="https://static.cigna.com/assets/chcp/pdf/coveragePolicies/pharmacy/ph_1407_coverageposition_pharmacy_prior_auth.pdf" TargetMode="External"/><Relationship Id="rId97" Type="http://schemas.openxmlformats.org/officeDocument/2006/relationships/hyperlink" Target="https://www.uhcprovider.com/priorauth" TargetMode="External"/><Relationship Id="rId98" Type="http://schemas.openxmlformats.org/officeDocument/2006/relationships/hyperlink" Target="https://www.uhcprovider.com/en/policies-protocols/commercial-policies/commercial-medical-drug-policies.html" TargetMode="External"/><Relationship Id="rId99" Type="http://schemas.openxmlformats.org/officeDocument/2006/relationships/hyperlink" Target="https://provider.humana.com/coverage-claims/prior-authorizations/prior-authorization-lists" TargetMode="External"/><Relationship Id="rId100" Type="http://schemas.openxmlformats.org/officeDocument/2006/relationships/hyperlink" Target="https://healthy.kaiserpermanente.org/content/dam/kporg/final/documents/formularies/medicare/2026/prior-authorization-pdp-wa.pdf" TargetMode="External"/><Relationship Id="rId101" Type="http://schemas.openxmlformats.org/officeDocument/2006/relationships/hyperlink" Target="https://www.ama-assn.org/practice-management/cpt/cpt-licensing-frequently-asked-questions-faqs" TargetMode="External"/><Relationship Id="rId10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