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C11" w:rsidRDefault="00574C11" w:rsidP="00F639EC">
      <w:pPr>
        <w:jc w:val="center"/>
        <w:rPr>
          <w:color w:val="auto"/>
        </w:rPr>
      </w:pPr>
      <w:r w:rsidRPr="00574C11">
        <w:rPr>
          <w:b/>
          <w:color w:val="auto"/>
        </w:rPr>
        <w:t xml:space="preserve">Position </w:t>
      </w:r>
      <w:r w:rsidR="00A926ED">
        <w:rPr>
          <w:b/>
          <w:color w:val="auto"/>
        </w:rPr>
        <w:t>Statement: Document your visualizations!</w:t>
      </w:r>
      <w:r w:rsidR="00A926ED">
        <w:rPr>
          <w:color w:val="auto"/>
        </w:rPr>
        <w:t xml:space="preserve"> / </w:t>
      </w:r>
      <w:r w:rsidR="00A926ED" w:rsidRPr="00A926ED">
        <w:rPr>
          <w:color w:val="auto"/>
        </w:rPr>
        <w:t>David Christensen</w:t>
      </w:r>
    </w:p>
    <w:p w:rsidR="00D241E8" w:rsidRPr="000C6F23" w:rsidRDefault="004D651E" w:rsidP="00BE72A0">
      <w:pPr>
        <w:spacing w:before="120"/>
        <w:ind w:firstLine="720"/>
      </w:pPr>
      <w:r w:rsidRPr="000C6F23">
        <w:rPr>
          <w:color w:val="auto"/>
        </w:rPr>
        <w:t>One approach to representing inequity is through</w:t>
      </w:r>
      <w:r w:rsidR="00B07676">
        <w:rPr>
          <w:color w:val="auto"/>
        </w:rPr>
        <w:t xml:space="preserve"> visualization of</w:t>
      </w:r>
      <w:r w:rsidRPr="000C6F23">
        <w:rPr>
          <w:color w:val="auto"/>
        </w:rPr>
        <w:t xml:space="preserve"> </w:t>
      </w:r>
      <w:r w:rsidR="002C707F">
        <w:rPr>
          <w:color w:val="auto"/>
        </w:rPr>
        <w:t>an opportunity index</w:t>
      </w:r>
      <w:r w:rsidRPr="000C6F23">
        <w:rPr>
          <w:color w:val="auto"/>
        </w:rPr>
        <w:t>.</w:t>
      </w:r>
      <w:r w:rsidR="002C707F">
        <w:rPr>
          <w:color w:val="auto"/>
        </w:rPr>
        <w:t xml:space="preserve"> </w:t>
      </w:r>
      <w:r w:rsidR="001A2F5F" w:rsidRPr="000C6F23">
        <w:t>An “opportunity index</w:t>
      </w:r>
      <w:r w:rsidR="00750373" w:rsidRPr="000C6F23">
        <w:t>”</w:t>
      </w:r>
      <w:r w:rsidRPr="000C6F23">
        <w:t xml:space="preserve"> is</w:t>
      </w:r>
      <w:r w:rsidR="001A2F5F" w:rsidRPr="000C6F23">
        <w:t xml:space="preserve"> </w:t>
      </w:r>
      <w:r w:rsidR="00BA1909">
        <w:t xml:space="preserve">a </w:t>
      </w:r>
      <w:r w:rsidR="001A2F5F" w:rsidRPr="000C6F23">
        <w:t>composite score of multiple</w:t>
      </w:r>
      <w:r w:rsidR="00322F07" w:rsidRPr="000C6F23">
        <w:t xml:space="preserve"> </w:t>
      </w:r>
      <w:r w:rsidR="001A2F5F" w:rsidRPr="000C6F23">
        <w:t xml:space="preserve">indicators </w:t>
      </w:r>
      <w:r w:rsidR="00B85657" w:rsidRPr="000C6F23">
        <w:t>selected to express</w:t>
      </w:r>
      <w:r w:rsidR="001A2F5F" w:rsidRPr="000C6F23">
        <w:t xml:space="preserve"> relati</w:t>
      </w:r>
      <w:r w:rsidR="00B85657" w:rsidRPr="000C6F23">
        <w:t>ve o</w:t>
      </w:r>
      <w:r w:rsidR="005778F3">
        <w:t>pportunity in a community. I</w:t>
      </w:r>
      <w:r w:rsidRPr="000C6F23">
        <w:rPr>
          <w:rFonts w:cs="Times New Roman"/>
        </w:rPr>
        <w:t>ndicators</w:t>
      </w:r>
      <w:r w:rsidR="005778F3" w:rsidRPr="005778F3">
        <w:t xml:space="preserve"> </w:t>
      </w:r>
      <w:r w:rsidR="005778F3" w:rsidRPr="000C6F23">
        <w:t xml:space="preserve">might </w:t>
      </w:r>
      <w:r w:rsidR="005778F3" w:rsidRPr="000C6F23">
        <w:rPr>
          <w:rFonts w:cs="Times New Roman"/>
        </w:rPr>
        <w:t>include</w:t>
      </w:r>
      <w:r w:rsidR="005778F3">
        <w:rPr>
          <w:rFonts w:cs="Times New Roman"/>
        </w:rPr>
        <w:t>:</w:t>
      </w:r>
      <w:r w:rsidRPr="000C6F23">
        <w:rPr>
          <w:rFonts w:cs="Times New Roman"/>
        </w:rPr>
        <w:t xml:space="preserve"> income, wealth, education, race, social support network</w:t>
      </w:r>
      <w:r w:rsidR="00574C11">
        <w:rPr>
          <w:rFonts w:cs="Times New Roman"/>
        </w:rPr>
        <w:t>s</w:t>
      </w:r>
      <w:r w:rsidR="00B85657" w:rsidRPr="000C6F23">
        <w:rPr>
          <w:rFonts w:cs="Times New Roman"/>
        </w:rPr>
        <w:t xml:space="preserve">, </w:t>
      </w:r>
      <w:r w:rsidR="00520F31">
        <w:rPr>
          <w:rFonts w:cs="Times New Roman"/>
        </w:rPr>
        <w:t xml:space="preserve">or </w:t>
      </w:r>
      <w:r w:rsidRPr="000C6F23">
        <w:rPr>
          <w:rFonts w:cs="Times New Roman"/>
        </w:rPr>
        <w:t>proximity t</w:t>
      </w:r>
      <w:r w:rsidR="00B85657" w:rsidRPr="000C6F23">
        <w:rPr>
          <w:rFonts w:cs="Times New Roman"/>
        </w:rPr>
        <w:t>o spatial phenomena</w:t>
      </w:r>
      <w:r w:rsidR="00520F31">
        <w:rPr>
          <w:rFonts w:cs="Times New Roman"/>
        </w:rPr>
        <w:t>, such as</w:t>
      </w:r>
      <w:r w:rsidR="00670070" w:rsidRPr="000C6F23">
        <w:rPr>
          <w:rFonts w:cs="Times New Roman"/>
        </w:rPr>
        <w:t xml:space="preserve"> </w:t>
      </w:r>
      <w:r w:rsidR="00B07676">
        <w:rPr>
          <w:rFonts w:cs="Times New Roman"/>
        </w:rPr>
        <w:t>a</w:t>
      </w:r>
      <w:r w:rsidRPr="000C6F23">
        <w:rPr>
          <w:rFonts w:cs="Times New Roman"/>
        </w:rPr>
        <w:t xml:space="preserve"> public park, library, health care</w:t>
      </w:r>
      <w:r w:rsidR="00B85657" w:rsidRPr="000C6F23">
        <w:rPr>
          <w:rFonts w:cs="Times New Roman"/>
        </w:rPr>
        <w:t xml:space="preserve"> facility</w:t>
      </w:r>
      <w:r w:rsidRPr="000C6F23">
        <w:rPr>
          <w:rFonts w:cs="Times New Roman"/>
        </w:rPr>
        <w:t>,</w:t>
      </w:r>
      <w:r w:rsidR="00B07676">
        <w:rPr>
          <w:rFonts w:cs="Times New Roman"/>
        </w:rPr>
        <w:t xml:space="preserve"> or</w:t>
      </w:r>
      <w:r w:rsidR="00B85657" w:rsidRPr="000C6F23">
        <w:rPr>
          <w:rFonts w:cs="Times New Roman"/>
        </w:rPr>
        <w:t xml:space="preserve"> </w:t>
      </w:r>
      <w:r w:rsidRPr="000C6F23">
        <w:rPr>
          <w:rFonts w:cs="Times New Roman"/>
        </w:rPr>
        <w:t>toxic waste site.</w:t>
      </w:r>
      <w:r w:rsidR="00E67B2C" w:rsidRPr="000C6F23">
        <w:rPr>
          <w:rFonts w:cs="Times New Roman"/>
        </w:rPr>
        <w:t xml:space="preserve"> The visualization of </w:t>
      </w:r>
      <w:r w:rsidRPr="000C6F23">
        <w:t xml:space="preserve">an “opportunity </w:t>
      </w:r>
      <w:r w:rsidR="00E67B2C" w:rsidRPr="000C6F23">
        <w:t>index</w:t>
      </w:r>
      <w:r w:rsidRPr="000C6F23">
        <w:t xml:space="preserve">” is </w:t>
      </w:r>
      <w:r w:rsidR="00E67B2C" w:rsidRPr="000C6F23">
        <w:t>known as an “opportunity map.”</w:t>
      </w:r>
    </w:p>
    <w:p w:rsidR="004D651E" w:rsidRPr="000C6F23" w:rsidRDefault="001A221B" w:rsidP="00BE72A0">
      <w:pPr>
        <w:spacing w:before="120"/>
        <w:ind w:firstLine="720"/>
        <w:rPr>
          <w:rFonts w:cs="Times New Roman"/>
          <w:color w:val="auto"/>
        </w:rPr>
      </w:pPr>
      <w:r w:rsidRPr="000C6F23">
        <w:t xml:space="preserve">Opportunity maps </w:t>
      </w:r>
      <w:r w:rsidR="00B85657" w:rsidRPr="000C6F23">
        <w:t xml:space="preserve">are </w:t>
      </w:r>
      <w:r w:rsidRPr="000C6F23">
        <w:t>conceived as a visualization</w:t>
      </w:r>
      <w:r w:rsidR="00B85657" w:rsidRPr="000C6F23">
        <w:t xml:space="preserve"> practice</w:t>
      </w:r>
      <w:r w:rsidRPr="000C6F23">
        <w:t xml:space="preserve"> to communicate equity variation</w:t>
      </w:r>
      <w:r w:rsidR="001162E8">
        <w:t xml:space="preserve"> in an area</w:t>
      </w:r>
      <w:r w:rsidR="00B85657" w:rsidRPr="000C6F23">
        <w:t xml:space="preserve"> and</w:t>
      </w:r>
      <w:r w:rsidRPr="000C6F23">
        <w:t xml:space="preserve"> to </w:t>
      </w:r>
      <w:r w:rsidR="00B85657" w:rsidRPr="000C6F23">
        <w:t xml:space="preserve">assist in resource </w:t>
      </w:r>
      <w:r w:rsidRPr="000C6F23">
        <w:t>allocat</w:t>
      </w:r>
      <w:r w:rsidR="00B85657" w:rsidRPr="000C6F23">
        <w:t>ion</w:t>
      </w:r>
      <w:r w:rsidR="008F3424">
        <w:t xml:space="preserve"> decisions</w:t>
      </w:r>
      <w:r w:rsidR="00B85657" w:rsidRPr="000C6F23">
        <w:t>;</w:t>
      </w:r>
      <w:r w:rsidRPr="000C6F23">
        <w:t xml:space="preserve"> </w:t>
      </w:r>
      <w:r w:rsidR="00B85657" w:rsidRPr="000C6F23">
        <w:t>however,</w:t>
      </w:r>
      <w:r w:rsidR="00A264DA" w:rsidRPr="000C6F23">
        <w:t xml:space="preserve"> l</w:t>
      </w:r>
      <w:r w:rsidR="004D651E" w:rsidRPr="000C6F23">
        <w:rPr>
          <w:rFonts w:cs="Times New Roman"/>
          <w:color w:val="auto"/>
        </w:rPr>
        <w:t xml:space="preserve">ittle </w:t>
      </w:r>
      <w:r w:rsidR="00951335" w:rsidRPr="000C6F23">
        <w:rPr>
          <w:rFonts w:cs="Times New Roman"/>
          <w:color w:val="auto"/>
        </w:rPr>
        <w:t>attention has been given to</w:t>
      </w:r>
      <w:r w:rsidR="00670070" w:rsidRPr="000C6F23">
        <w:rPr>
          <w:rFonts w:cs="Times New Roman"/>
          <w:color w:val="auto"/>
        </w:rPr>
        <w:t xml:space="preserve"> the ethical challenges this presents.</w:t>
      </w:r>
      <w:r w:rsidR="00590F89" w:rsidRPr="000C6F23">
        <w:rPr>
          <w:rFonts w:cs="Times New Roman"/>
          <w:color w:val="auto"/>
        </w:rPr>
        <w:t xml:space="preserve"> </w:t>
      </w:r>
      <w:r w:rsidR="004D651E" w:rsidRPr="000C6F23">
        <w:rPr>
          <w:rFonts w:cs="Times New Roman"/>
          <w:color w:val="auto"/>
        </w:rPr>
        <w:t xml:space="preserve">Looking to other fields of inquiry including critical theories in geography, public planning, and social sciences can inform the formation of ethical </w:t>
      </w:r>
      <w:r w:rsidR="00D04491" w:rsidRPr="000C6F23">
        <w:rPr>
          <w:rFonts w:cs="Times New Roman"/>
          <w:color w:val="auto"/>
        </w:rPr>
        <w:t>principles</w:t>
      </w:r>
      <w:r w:rsidR="004D651E" w:rsidRPr="000C6F23">
        <w:rPr>
          <w:rFonts w:cs="Times New Roman"/>
          <w:color w:val="auto"/>
        </w:rPr>
        <w:t xml:space="preserve">. There is room for improvement in the community of practice, particularly with documentation </w:t>
      </w:r>
      <w:r w:rsidR="005778F3">
        <w:rPr>
          <w:rFonts w:cs="Times New Roman"/>
          <w:color w:val="auto"/>
        </w:rPr>
        <w:t>of visualizations.</w:t>
      </w:r>
      <w:r w:rsidR="004D651E" w:rsidRPr="000C6F23">
        <w:rPr>
          <w:rFonts w:cs="Times New Roman"/>
          <w:color w:val="auto"/>
        </w:rPr>
        <w:t xml:space="preserve"> </w:t>
      </w:r>
    </w:p>
    <w:p w:rsidR="00D04491" w:rsidRPr="000C6F23" w:rsidRDefault="00E67B2C" w:rsidP="00BE72A0">
      <w:pPr>
        <w:spacing w:before="120"/>
        <w:ind w:firstLine="720"/>
        <w:rPr>
          <w:rFonts w:cs="Times New Roman"/>
          <w:color w:val="auto"/>
        </w:rPr>
      </w:pPr>
      <w:r w:rsidRPr="000C6F23">
        <w:rPr>
          <w:rFonts w:cs="Times New Roman"/>
          <w:color w:val="auto"/>
        </w:rPr>
        <w:t xml:space="preserve">Opportunity maps </w:t>
      </w:r>
      <w:r w:rsidR="00865AB7" w:rsidRPr="000C6F23">
        <w:rPr>
          <w:rFonts w:cs="Times New Roman"/>
          <w:color w:val="auto"/>
        </w:rPr>
        <w:t>are construct</w:t>
      </w:r>
      <w:r w:rsidR="006F59B6" w:rsidRPr="000C6F23">
        <w:rPr>
          <w:rFonts w:cs="Times New Roman"/>
          <w:color w:val="auto"/>
        </w:rPr>
        <w:t xml:space="preserve">ed </w:t>
      </w:r>
      <w:r w:rsidR="00590F89" w:rsidRPr="000C6F23">
        <w:rPr>
          <w:rFonts w:cs="Times New Roman"/>
          <w:color w:val="auto"/>
        </w:rPr>
        <w:t>abstraction</w:t>
      </w:r>
      <w:r w:rsidR="006F59B6" w:rsidRPr="000C6F23">
        <w:rPr>
          <w:rFonts w:cs="Times New Roman"/>
          <w:color w:val="auto"/>
        </w:rPr>
        <w:t>s</w:t>
      </w:r>
      <w:r w:rsidR="00590F89" w:rsidRPr="000C6F23">
        <w:rPr>
          <w:rFonts w:cs="Times New Roman"/>
          <w:color w:val="auto"/>
        </w:rPr>
        <w:t>. They are</w:t>
      </w:r>
      <w:r w:rsidR="00DF2669" w:rsidRPr="000C6F23">
        <w:rPr>
          <w:rFonts w:cs="Times New Roman"/>
          <w:color w:val="auto"/>
        </w:rPr>
        <w:t xml:space="preserve"> a</w:t>
      </w:r>
      <w:r w:rsidR="00590F89" w:rsidRPr="000C6F23">
        <w:rPr>
          <w:rFonts w:cs="Times New Roman"/>
          <w:color w:val="auto"/>
        </w:rPr>
        <w:t xml:space="preserve"> form of </w:t>
      </w:r>
      <w:r w:rsidR="00D04491" w:rsidRPr="000C6F23">
        <w:rPr>
          <w:rFonts w:cs="Times New Roman"/>
          <w:color w:val="auto"/>
        </w:rPr>
        <w:t>rhetoric</w:t>
      </w:r>
      <w:r w:rsidR="00590F89" w:rsidRPr="000C6F23">
        <w:rPr>
          <w:rFonts w:cs="Times New Roman"/>
          <w:color w:val="auto"/>
        </w:rPr>
        <w:t>.</w:t>
      </w:r>
      <w:r w:rsidR="006F59B6" w:rsidRPr="000C6F23">
        <w:rPr>
          <w:rFonts w:cs="Times New Roman"/>
          <w:color w:val="auto"/>
        </w:rPr>
        <w:t xml:space="preserve"> </w:t>
      </w:r>
      <w:r w:rsidR="00590F89" w:rsidRPr="000C6F23">
        <w:rPr>
          <w:rFonts w:cs="Times New Roman"/>
          <w:color w:val="auto"/>
        </w:rPr>
        <w:t xml:space="preserve">Labeling </w:t>
      </w:r>
      <w:r w:rsidR="00865AB7" w:rsidRPr="000C6F23">
        <w:rPr>
          <w:rFonts w:cs="Times New Roman"/>
          <w:color w:val="auto"/>
        </w:rPr>
        <w:t>opportunity map</w:t>
      </w:r>
      <w:r w:rsidR="005B3084">
        <w:rPr>
          <w:rFonts w:cs="Times New Roman"/>
          <w:color w:val="auto"/>
        </w:rPr>
        <w:t>ping</w:t>
      </w:r>
      <w:r w:rsidR="00590F89" w:rsidRPr="000C6F23">
        <w:rPr>
          <w:rFonts w:cs="Times New Roman"/>
          <w:color w:val="auto"/>
        </w:rPr>
        <w:t xml:space="preserve"> as </w:t>
      </w:r>
      <w:r w:rsidR="00D04491" w:rsidRPr="000C6F23">
        <w:rPr>
          <w:rFonts w:cs="Times New Roman"/>
          <w:color w:val="auto"/>
        </w:rPr>
        <w:t>rhetorical</w:t>
      </w:r>
      <w:r w:rsidR="00590F89" w:rsidRPr="000C6F23">
        <w:rPr>
          <w:rFonts w:cs="Times New Roman"/>
          <w:color w:val="auto"/>
        </w:rPr>
        <w:t xml:space="preserve"> </w:t>
      </w:r>
      <w:r w:rsidR="00EF40BF">
        <w:rPr>
          <w:rFonts w:cs="Times New Roman"/>
          <w:color w:val="auto"/>
        </w:rPr>
        <w:t>is not</w:t>
      </w:r>
      <w:r w:rsidR="00D04491" w:rsidRPr="000C6F23">
        <w:rPr>
          <w:rFonts w:cs="Times New Roman"/>
          <w:color w:val="auto"/>
        </w:rPr>
        <w:t xml:space="preserve"> </w:t>
      </w:r>
      <w:r w:rsidR="008F3424">
        <w:rPr>
          <w:rFonts w:cs="Times New Roman"/>
          <w:color w:val="auto"/>
        </w:rPr>
        <w:t xml:space="preserve">intended </w:t>
      </w:r>
      <w:r w:rsidR="00170A03">
        <w:rPr>
          <w:rFonts w:cs="Times New Roman"/>
          <w:color w:val="auto"/>
        </w:rPr>
        <w:t>to</w:t>
      </w:r>
      <w:r w:rsidR="005B3084">
        <w:rPr>
          <w:rFonts w:cs="Times New Roman"/>
          <w:color w:val="auto"/>
        </w:rPr>
        <w:t xml:space="preserve"> </w:t>
      </w:r>
      <w:r w:rsidR="005778F3">
        <w:rPr>
          <w:rFonts w:cs="Times New Roman"/>
          <w:color w:val="auto"/>
        </w:rPr>
        <w:t>undermine</w:t>
      </w:r>
      <w:r w:rsidR="00170A03">
        <w:rPr>
          <w:rFonts w:cs="Times New Roman"/>
          <w:color w:val="auto"/>
        </w:rPr>
        <w:t xml:space="preserve"> </w:t>
      </w:r>
      <w:r w:rsidR="008F3424">
        <w:rPr>
          <w:rFonts w:cs="Times New Roman"/>
          <w:color w:val="auto"/>
        </w:rPr>
        <w:t>their</w:t>
      </w:r>
      <w:r w:rsidR="005B3084">
        <w:rPr>
          <w:rFonts w:cs="Times New Roman"/>
          <w:color w:val="auto"/>
        </w:rPr>
        <w:t xml:space="preserve"> merits</w:t>
      </w:r>
      <w:r w:rsidR="00D04491" w:rsidRPr="000C6F23">
        <w:rPr>
          <w:rFonts w:cs="Times New Roman"/>
          <w:color w:val="auto"/>
        </w:rPr>
        <w:t xml:space="preserve">. </w:t>
      </w:r>
      <w:r w:rsidR="00865AB7" w:rsidRPr="000C6F23">
        <w:rPr>
          <w:rFonts w:cs="Times New Roman"/>
          <w:color w:val="auto"/>
        </w:rPr>
        <w:t>It is</w:t>
      </w:r>
      <w:r w:rsidR="005545B0" w:rsidRPr="000C6F23">
        <w:rPr>
          <w:rFonts w:cs="Times New Roman"/>
          <w:color w:val="auto"/>
        </w:rPr>
        <w:t>, in part,</w:t>
      </w:r>
      <w:r w:rsidR="00865AB7" w:rsidRPr="000C6F23">
        <w:rPr>
          <w:rFonts w:cs="Times New Roman"/>
          <w:color w:val="auto"/>
        </w:rPr>
        <w:t xml:space="preserve"> an acknowledgement that consensus</w:t>
      </w:r>
      <w:r w:rsidR="00857F04" w:rsidRPr="000C6F23">
        <w:rPr>
          <w:rFonts w:cs="Times New Roman"/>
          <w:color w:val="auto"/>
        </w:rPr>
        <w:t xml:space="preserve"> </w:t>
      </w:r>
      <w:r w:rsidR="006F59B6" w:rsidRPr="000C6F23">
        <w:rPr>
          <w:rFonts w:cs="Times New Roman"/>
          <w:color w:val="auto"/>
        </w:rPr>
        <w:t>for</w:t>
      </w:r>
      <w:r w:rsidR="00857F04" w:rsidRPr="000C6F23">
        <w:rPr>
          <w:rFonts w:cs="Times New Roman"/>
          <w:color w:val="auto"/>
        </w:rPr>
        <w:t xml:space="preserve"> how to measure and solve inequity</w:t>
      </w:r>
      <w:r w:rsidR="00865AB7" w:rsidRPr="000C6F23">
        <w:rPr>
          <w:rFonts w:cs="Times New Roman"/>
          <w:color w:val="auto"/>
        </w:rPr>
        <w:t xml:space="preserve"> </w:t>
      </w:r>
      <w:r w:rsidR="006F59B6" w:rsidRPr="000C6F23">
        <w:rPr>
          <w:rFonts w:cs="Times New Roman"/>
          <w:color w:val="auto"/>
        </w:rPr>
        <w:t>is</w:t>
      </w:r>
      <w:r w:rsidR="00865AB7" w:rsidRPr="000C6F23">
        <w:rPr>
          <w:rFonts w:cs="Times New Roman"/>
          <w:color w:val="auto"/>
        </w:rPr>
        <w:t xml:space="preserve"> elusive. </w:t>
      </w:r>
      <w:r w:rsidR="00D04491" w:rsidRPr="000C6F23">
        <w:rPr>
          <w:rFonts w:cs="Times New Roman"/>
          <w:color w:val="auto"/>
        </w:rPr>
        <w:t xml:space="preserve">There </w:t>
      </w:r>
      <w:r w:rsidR="002C707F">
        <w:rPr>
          <w:rFonts w:cs="Times New Roman"/>
          <w:color w:val="auto"/>
        </w:rPr>
        <w:t xml:space="preserve">are </w:t>
      </w:r>
      <w:r w:rsidR="00D04491" w:rsidRPr="000C6F23">
        <w:rPr>
          <w:rFonts w:cs="Times New Roman"/>
          <w:color w:val="auto"/>
        </w:rPr>
        <w:t>a multitude of value judgemen</w:t>
      </w:r>
      <w:r w:rsidR="00865AB7" w:rsidRPr="000C6F23">
        <w:rPr>
          <w:rFonts w:cs="Times New Roman"/>
          <w:color w:val="auto"/>
        </w:rPr>
        <w:t>ts in the</w:t>
      </w:r>
      <w:r w:rsidR="005B3084">
        <w:rPr>
          <w:rFonts w:cs="Times New Roman"/>
          <w:color w:val="auto"/>
        </w:rPr>
        <w:t xml:space="preserve"> construction of</w:t>
      </w:r>
      <w:r w:rsidR="00865AB7" w:rsidRPr="000C6F23">
        <w:rPr>
          <w:rFonts w:cs="Times New Roman"/>
          <w:color w:val="auto"/>
        </w:rPr>
        <w:t xml:space="preserve"> </w:t>
      </w:r>
      <w:r w:rsidR="005B3084">
        <w:rPr>
          <w:rFonts w:cs="Times New Roman"/>
          <w:color w:val="auto"/>
        </w:rPr>
        <w:t>opportunity maps</w:t>
      </w:r>
      <w:r w:rsidR="00865AB7" w:rsidRPr="000C6F23">
        <w:rPr>
          <w:rFonts w:cs="Times New Roman"/>
          <w:color w:val="auto"/>
        </w:rPr>
        <w:t>—</w:t>
      </w:r>
      <w:r w:rsidR="00D04491" w:rsidRPr="000C6F23">
        <w:rPr>
          <w:rFonts w:cs="Times New Roman"/>
          <w:color w:val="auto"/>
        </w:rPr>
        <w:t>geocoded</w:t>
      </w:r>
      <w:r w:rsidR="00865AB7" w:rsidRPr="000C6F23">
        <w:rPr>
          <w:rFonts w:cs="Times New Roman"/>
          <w:color w:val="auto"/>
        </w:rPr>
        <w:t xml:space="preserve"> </w:t>
      </w:r>
      <w:r w:rsidR="00D04491" w:rsidRPr="000C6F23">
        <w:rPr>
          <w:rFonts w:cs="Times New Roman"/>
          <w:color w:val="auto"/>
        </w:rPr>
        <w:t xml:space="preserve">data (indicators of opportunity or inequity) are selected (or excluded); geographic aggregation levels identified as optimal; index algorithms </w:t>
      </w:r>
      <w:r w:rsidR="00AD145E" w:rsidRPr="000C6F23">
        <w:rPr>
          <w:rFonts w:cs="Times New Roman"/>
          <w:color w:val="auto"/>
        </w:rPr>
        <w:t>chosen</w:t>
      </w:r>
      <w:r w:rsidR="00D04491" w:rsidRPr="000C6F23">
        <w:rPr>
          <w:rFonts w:cs="Times New Roman"/>
          <w:color w:val="auto"/>
        </w:rPr>
        <w:t>; tools selected for visualization; design elements encoded</w:t>
      </w:r>
      <w:r w:rsidR="00865AB7" w:rsidRPr="000C6F23">
        <w:rPr>
          <w:rFonts w:cs="Times New Roman"/>
          <w:color w:val="auto"/>
        </w:rPr>
        <w:t>; persuasive narratives authored</w:t>
      </w:r>
      <w:r w:rsidR="006F59B6" w:rsidRPr="000C6F23">
        <w:rPr>
          <w:rFonts w:cs="Times New Roman"/>
          <w:color w:val="auto"/>
        </w:rPr>
        <w:t>, with many permutations between different indices</w:t>
      </w:r>
      <w:r w:rsidR="00865AB7" w:rsidRPr="000C6F23">
        <w:rPr>
          <w:rFonts w:cs="Times New Roman"/>
          <w:color w:val="auto"/>
        </w:rPr>
        <w:t>.</w:t>
      </w:r>
      <w:r w:rsidR="00D04491" w:rsidRPr="000C6F23">
        <w:rPr>
          <w:rFonts w:cs="Times New Roman"/>
          <w:color w:val="auto"/>
        </w:rPr>
        <w:t xml:space="preserve"> </w:t>
      </w:r>
    </w:p>
    <w:p w:rsidR="00BD6DB3" w:rsidRPr="000C6F23" w:rsidRDefault="00470EB1" w:rsidP="00D87A72">
      <w:pPr>
        <w:spacing w:before="120"/>
        <w:ind w:firstLine="720"/>
        <w:rPr>
          <w:rFonts w:cs="Times New Roman"/>
          <w:color w:val="auto"/>
        </w:rPr>
      </w:pPr>
      <w:r>
        <w:rPr>
          <w:rFonts w:cs="Times New Roman"/>
          <w:color w:val="auto"/>
        </w:rPr>
        <w:t>O</w:t>
      </w:r>
      <w:r w:rsidR="00586479" w:rsidRPr="000C6F23">
        <w:rPr>
          <w:rFonts w:cs="Times New Roman"/>
          <w:color w:val="auto"/>
        </w:rPr>
        <w:t>pportunity</w:t>
      </w:r>
      <w:r w:rsidR="006F59B6" w:rsidRPr="000C6F23">
        <w:rPr>
          <w:rFonts w:cs="Times New Roman"/>
          <w:color w:val="auto"/>
        </w:rPr>
        <w:t xml:space="preserve"> mapping is</w:t>
      </w:r>
      <w:r w:rsidR="00AD48F7">
        <w:rPr>
          <w:rFonts w:cs="Times New Roman"/>
          <w:color w:val="auto"/>
        </w:rPr>
        <w:t xml:space="preserve"> not</w:t>
      </w:r>
      <w:r w:rsidR="002C707F">
        <w:rPr>
          <w:rFonts w:cs="Times New Roman"/>
          <w:color w:val="auto"/>
        </w:rPr>
        <w:t xml:space="preserve"> </w:t>
      </w:r>
      <w:r w:rsidR="006F59B6" w:rsidRPr="000C6F23">
        <w:rPr>
          <w:rFonts w:cs="Times New Roman"/>
          <w:color w:val="auto"/>
        </w:rPr>
        <w:t xml:space="preserve">only rhetorical, but also </w:t>
      </w:r>
      <w:r w:rsidR="002C707F">
        <w:rPr>
          <w:rFonts w:cs="Times New Roman"/>
          <w:color w:val="auto"/>
        </w:rPr>
        <w:t xml:space="preserve">an act of </w:t>
      </w:r>
      <w:r w:rsidR="006F59B6" w:rsidRPr="000C6F23">
        <w:rPr>
          <w:rFonts w:cs="Times New Roman"/>
          <w:color w:val="auto"/>
        </w:rPr>
        <w:t>scientific</w:t>
      </w:r>
      <w:r w:rsidR="002C707F">
        <w:rPr>
          <w:rFonts w:cs="Times New Roman"/>
          <w:color w:val="auto"/>
        </w:rPr>
        <w:t xml:space="preserve"> inquiry</w:t>
      </w:r>
      <w:r w:rsidR="006F59B6" w:rsidRPr="000C6F23">
        <w:rPr>
          <w:rFonts w:cs="Times New Roman"/>
          <w:color w:val="auto"/>
        </w:rPr>
        <w:t xml:space="preserve">. </w:t>
      </w:r>
      <w:r w:rsidR="00260CCF">
        <w:rPr>
          <w:rFonts w:cs="Times New Roman"/>
          <w:color w:val="auto"/>
        </w:rPr>
        <w:t xml:space="preserve">Its </w:t>
      </w:r>
      <w:proofErr w:type="spellStart"/>
      <w:r w:rsidR="00260CCF">
        <w:rPr>
          <w:rFonts w:cs="Times New Roman"/>
          <w:color w:val="auto"/>
        </w:rPr>
        <w:t>scientificity</w:t>
      </w:r>
      <w:proofErr w:type="spellEnd"/>
      <w:r w:rsidR="00260CCF">
        <w:rPr>
          <w:rFonts w:cs="Times New Roman"/>
          <w:color w:val="auto"/>
        </w:rPr>
        <w:t xml:space="preserve"> is</w:t>
      </w:r>
      <w:r w:rsidR="0058177A">
        <w:rPr>
          <w:rFonts w:cs="Times New Roman"/>
          <w:color w:val="auto"/>
        </w:rPr>
        <w:t xml:space="preserve"> supported, in part, </w:t>
      </w:r>
      <w:r w:rsidR="00260CCF">
        <w:rPr>
          <w:rFonts w:cs="Times New Roman"/>
          <w:color w:val="auto"/>
        </w:rPr>
        <w:t>by academic research</w:t>
      </w:r>
      <w:r w:rsidR="0058177A">
        <w:rPr>
          <w:rFonts w:cs="Times New Roman"/>
          <w:color w:val="auto"/>
        </w:rPr>
        <w:t xml:space="preserve"> which has sought</w:t>
      </w:r>
      <w:r w:rsidR="004D41A5">
        <w:rPr>
          <w:rFonts w:cs="Times New Roman"/>
          <w:color w:val="auto"/>
        </w:rPr>
        <w:t xml:space="preserve"> to</w:t>
      </w:r>
      <w:r w:rsidR="0058177A">
        <w:rPr>
          <w:rFonts w:cs="Times New Roman"/>
          <w:color w:val="auto"/>
        </w:rPr>
        <w:t xml:space="preserve"> progress opportunity map</w:t>
      </w:r>
      <w:r w:rsidR="004D41A5">
        <w:rPr>
          <w:rFonts w:cs="Times New Roman"/>
          <w:color w:val="auto"/>
        </w:rPr>
        <w:t>ping practice</w:t>
      </w:r>
      <w:r w:rsidR="0058177A">
        <w:rPr>
          <w:rFonts w:cs="Times New Roman"/>
          <w:color w:val="auto"/>
        </w:rPr>
        <w:t xml:space="preserve">. Areas of inquiry have included: </w:t>
      </w:r>
      <w:r w:rsidR="00260CCF">
        <w:rPr>
          <w:rFonts w:cs="Times New Roman"/>
          <w:color w:val="auto"/>
        </w:rPr>
        <w:t>opti</w:t>
      </w:r>
      <w:r w:rsidR="0058177A">
        <w:rPr>
          <w:rFonts w:cs="Times New Roman"/>
          <w:color w:val="auto"/>
        </w:rPr>
        <w:t xml:space="preserve">mization of indicator selection, </w:t>
      </w:r>
      <w:r w:rsidR="00D87A72">
        <w:rPr>
          <w:rFonts w:cs="Times New Roman"/>
          <w:color w:val="auto"/>
        </w:rPr>
        <w:t xml:space="preserve">the </w:t>
      </w:r>
      <w:r w:rsidR="00EF40BF">
        <w:rPr>
          <w:rFonts w:cs="Times New Roman"/>
          <w:color w:val="auto"/>
        </w:rPr>
        <w:t xml:space="preserve">effectiveness of opportunity maps at different </w:t>
      </w:r>
      <w:r w:rsidR="0058177A">
        <w:rPr>
          <w:rFonts w:cs="Times New Roman"/>
          <w:color w:val="auto"/>
        </w:rPr>
        <w:t>zon</w:t>
      </w:r>
      <w:r w:rsidR="00EF40BF">
        <w:rPr>
          <w:rFonts w:cs="Times New Roman"/>
          <w:color w:val="auto"/>
        </w:rPr>
        <w:t>es</w:t>
      </w:r>
      <w:r w:rsidR="0058177A">
        <w:rPr>
          <w:rFonts w:cs="Times New Roman"/>
          <w:color w:val="auto"/>
        </w:rPr>
        <w:t xml:space="preserve"> and scale</w:t>
      </w:r>
      <w:r w:rsidR="00EF40BF">
        <w:rPr>
          <w:rFonts w:cs="Times New Roman"/>
          <w:color w:val="auto"/>
        </w:rPr>
        <w:t>s</w:t>
      </w:r>
      <w:r w:rsidR="0058177A">
        <w:rPr>
          <w:rFonts w:cs="Times New Roman"/>
          <w:color w:val="auto"/>
        </w:rPr>
        <w:t xml:space="preserve">, among </w:t>
      </w:r>
      <w:r w:rsidR="004D41A5">
        <w:rPr>
          <w:rFonts w:cs="Times New Roman"/>
          <w:color w:val="auto"/>
        </w:rPr>
        <w:t>other</w:t>
      </w:r>
      <w:r w:rsidR="001162E8">
        <w:rPr>
          <w:rFonts w:cs="Times New Roman"/>
          <w:color w:val="auto"/>
        </w:rPr>
        <w:t xml:space="preserve"> studies</w:t>
      </w:r>
      <w:r w:rsidR="0058177A">
        <w:rPr>
          <w:rFonts w:cs="Times New Roman"/>
          <w:color w:val="auto"/>
        </w:rPr>
        <w:t>.</w:t>
      </w:r>
      <w:r w:rsidR="00260CCF">
        <w:rPr>
          <w:rFonts w:cs="Times New Roman"/>
          <w:color w:val="auto"/>
        </w:rPr>
        <w:t xml:space="preserve"> </w:t>
      </w:r>
      <w:r w:rsidR="0058177A">
        <w:rPr>
          <w:rFonts w:cs="Times New Roman"/>
          <w:color w:val="auto"/>
        </w:rPr>
        <w:t xml:space="preserve">As a </w:t>
      </w:r>
      <w:r w:rsidR="006F59B6" w:rsidRPr="009E56D1">
        <w:rPr>
          <w:rFonts w:cs="Times New Roman"/>
          <w:color w:val="auto"/>
        </w:rPr>
        <w:t xml:space="preserve">scientific </w:t>
      </w:r>
      <w:r w:rsidR="002C707F" w:rsidRPr="009E56D1">
        <w:rPr>
          <w:rFonts w:cs="Times New Roman"/>
          <w:color w:val="auto"/>
        </w:rPr>
        <w:t>inquiry</w:t>
      </w:r>
      <w:r w:rsidR="0058177A" w:rsidRPr="009E56D1">
        <w:rPr>
          <w:rFonts w:cs="Times New Roman"/>
          <w:color w:val="auto"/>
        </w:rPr>
        <w:t>,</w:t>
      </w:r>
      <w:r w:rsidR="00A24B77" w:rsidRPr="009E56D1">
        <w:rPr>
          <w:rFonts w:cs="Times New Roman"/>
          <w:color w:val="auto"/>
        </w:rPr>
        <w:t xml:space="preserve"> </w:t>
      </w:r>
      <w:r w:rsidR="006F59B6" w:rsidRPr="009E56D1">
        <w:rPr>
          <w:rFonts w:cs="Times New Roman"/>
          <w:color w:val="auto"/>
        </w:rPr>
        <w:t>opportunity</w:t>
      </w:r>
      <w:r w:rsidR="006F59B6" w:rsidRPr="000C6F23">
        <w:rPr>
          <w:rFonts w:cs="Times New Roman"/>
          <w:color w:val="auto"/>
        </w:rPr>
        <w:t xml:space="preserve"> mapping is</w:t>
      </w:r>
      <w:r w:rsidR="0058177A">
        <w:rPr>
          <w:rFonts w:cs="Times New Roman"/>
          <w:color w:val="auto"/>
        </w:rPr>
        <w:t xml:space="preserve"> (or should be)</w:t>
      </w:r>
      <w:r w:rsidR="005545B0" w:rsidRPr="000C6F23">
        <w:rPr>
          <w:rFonts w:cs="Times New Roman"/>
          <w:color w:val="auto"/>
        </w:rPr>
        <w:t xml:space="preserve"> </w:t>
      </w:r>
      <w:r w:rsidR="001162E8">
        <w:rPr>
          <w:rFonts w:cs="Times New Roman"/>
          <w:color w:val="auto"/>
        </w:rPr>
        <w:t>imbued with</w:t>
      </w:r>
      <w:r w:rsidR="00EF40BF">
        <w:rPr>
          <w:rFonts w:cs="Times New Roman"/>
          <w:color w:val="auto"/>
        </w:rPr>
        <w:t xml:space="preserve"> the s</w:t>
      </w:r>
      <w:r w:rsidR="00D87A72">
        <w:rPr>
          <w:rFonts w:cs="Times New Roman"/>
          <w:color w:val="auto"/>
        </w:rPr>
        <w:t>imilar</w:t>
      </w:r>
      <w:r w:rsidR="005545B0" w:rsidRPr="000C6F23">
        <w:rPr>
          <w:rFonts w:cs="Times New Roman"/>
          <w:color w:val="auto"/>
        </w:rPr>
        <w:t xml:space="preserve"> </w:t>
      </w:r>
      <w:r w:rsidR="006F59B6" w:rsidRPr="000C6F23">
        <w:rPr>
          <w:rFonts w:cs="Times New Roman"/>
          <w:color w:val="auto"/>
        </w:rPr>
        <w:t xml:space="preserve">ethical </w:t>
      </w:r>
      <w:r w:rsidR="005545B0" w:rsidRPr="000C6F23">
        <w:rPr>
          <w:rFonts w:cs="Times New Roman"/>
          <w:color w:val="auto"/>
        </w:rPr>
        <w:t>rigor.</w:t>
      </w:r>
      <w:r w:rsidR="00D87A72">
        <w:rPr>
          <w:rFonts w:cs="Times New Roman"/>
          <w:color w:val="auto"/>
        </w:rPr>
        <w:t xml:space="preserve"> T</w:t>
      </w:r>
      <w:r w:rsidR="006F59B6" w:rsidRPr="000C6F23">
        <w:rPr>
          <w:rFonts w:cs="Times New Roman"/>
          <w:color w:val="auto"/>
        </w:rPr>
        <w:t>he</w:t>
      </w:r>
      <w:r w:rsidR="005545B0" w:rsidRPr="000C6F23">
        <w:rPr>
          <w:rFonts w:cs="Times New Roman"/>
          <w:color w:val="auto"/>
        </w:rPr>
        <w:t xml:space="preserve"> “</w:t>
      </w:r>
      <w:r w:rsidR="00BD6DB3" w:rsidRPr="000C6F23">
        <w:rPr>
          <w:rFonts w:cs="Times New Roman"/>
          <w:color w:val="auto"/>
        </w:rPr>
        <w:t xml:space="preserve">replication </w:t>
      </w:r>
      <w:r w:rsidR="005545B0" w:rsidRPr="000C6F23">
        <w:rPr>
          <w:rFonts w:cs="Times New Roman"/>
          <w:color w:val="auto"/>
        </w:rPr>
        <w:t>crisis”</w:t>
      </w:r>
      <w:r w:rsidR="00D87A72">
        <w:rPr>
          <w:rFonts w:cs="Times New Roman"/>
          <w:color w:val="auto"/>
        </w:rPr>
        <w:t xml:space="preserve"> in the social sciences introduced new thinking about ethical scientific inquiry and yielded improved scientific efficacy. </w:t>
      </w:r>
      <w:r w:rsidR="004D41A5">
        <w:rPr>
          <w:rFonts w:cs="Times New Roman"/>
          <w:color w:val="auto"/>
        </w:rPr>
        <w:t>The introduction of these</w:t>
      </w:r>
      <w:r w:rsidR="004B7C29" w:rsidRPr="000C6F23">
        <w:rPr>
          <w:rFonts w:cs="Times New Roman"/>
          <w:color w:val="auto"/>
        </w:rPr>
        <w:t xml:space="preserve"> improvements</w:t>
      </w:r>
      <w:r w:rsidR="007F0301" w:rsidRPr="000C6F23">
        <w:rPr>
          <w:rFonts w:cs="Times New Roman"/>
          <w:color w:val="auto"/>
        </w:rPr>
        <w:t>, especially</w:t>
      </w:r>
      <w:r w:rsidR="004D41A5">
        <w:rPr>
          <w:rFonts w:cs="Times New Roman"/>
          <w:color w:val="auto"/>
        </w:rPr>
        <w:t xml:space="preserve"> calls</w:t>
      </w:r>
      <w:r w:rsidR="007F0301" w:rsidRPr="000C6F23">
        <w:rPr>
          <w:rFonts w:cs="Times New Roman"/>
          <w:color w:val="auto"/>
        </w:rPr>
        <w:t xml:space="preserve"> </w:t>
      </w:r>
      <w:r w:rsidR="004D41A5">
        <w:rPr>
          <w:rFonts w:cs="Times New Roman"/>
          <w:color w:val="auto"/>
        </w:rPr>
        <w:t xml:space="preserve">for </w:t>
      </w:r>
      <w:r w:rsidR="006F59B6" w:rsidRPr="000C6F23">
        <w:rPr>
          <w:rFonts w:cs="Times New Roman"/>
          <w:color w:val="auto"/>
        </w:rPr>
        <w:t>disclosure and</w:t>
      </w:r>
      <w:r w:rsidR="004D41A5">
        <w:rPr>
          <w:rFonts w:cs="Times New Roman"/>
          <w:color w:val="auto"/>
        </w:rPr>
        <w:t xml:space="preserve"> sharing of underlying study data, </w:t>
      </w:r>
      <w:r w:rsidR="004D41A5" w:rsidRPr="000C6F23">
        <w:rPr>
          <w:rFonts w:cs="Times New Roman"/>
          <w:color w:val="auto"/>
        </w:rPr>
        <w:t>have application to ethical opportunity mapping</w:t>
      </w:r>
      <w:r w:rsidR="004D41A5">
        <w:rPr>
          <w:rFonts w:cs="Times New Roman"/>
          <w:color w:val="auto"/>
        </w:rPr>
        <w:t>.</w:t>
      </w:r>
    </w:p>
    <w:p w:rsidR="006F59B6" w:rsidRPr="000C6F23" w:rsidRDefault="006F59B6" w:rsidP="00BE72A0">
      <w:pPr>
        <w:spacing w:before="120"/>
        <w:ind w:firstLine="720"/>
        <w:rPr>
          <w:rFonts w:cs="Times New Roman"/>
          <w:color w:val="auto"/>
        </w:rPr>
      </w:pPr>
      <w:r w:rsidRPr="000C6F23">
        <w:rPr>
          <w:rFonts w:cs="Times New Roman"/>
          <w:color w:val="auto"/>
        </w:rPr>
        <w:t xml:space="preserve">Ethical </w:t>
      </w:r>
      <w:r w:rsidR="004D41A5">
        <w:rPr>
          <w:rFonts w:cs="Times New Roman"/>
          <w:color w:val="auto"/>
        </w:rPr>
        <w:t xml:space="preserve">opportunity mapping </w:t>
      </w:r>
      <w:r w:rsidRPr="000C6F23">
        <w:rPr>
          <w:rFonts w:cs="Times New Roman"/>
          <w:color w:val="auto"/>
        </w:rPr>
        <w:t xml:space="preserve">practice </w:t>
      </w:r>
      <w:r w:rsidR="007E5EBA">
        <w:rPr>
          <w:rFonts w:cs="Times New Roman"/>
          <w:color w:val="auto"/>
        </w:rPr>
        <w:t>can</w:t>
      </w:r>
      <w:r w:rsidRPr="000C6F23">
        <w:rPr>
          <w:rFonts w:cs="Times New Roman"/>
          <w:color w:val="auto"/>
        </w:rPr>
        <w:t xml:space="preserve"> address both the rhetorical and scientific concerns</w:t>
      </w:r>
      <w:r w:rsidR="007E5EBA">
        <w:rPr>
          <w:rFonts w:cs="Times New Roman"/>
          <w:color w:val="auto"/>
        </w:rPr>
        <w:t xml:space="preserve"> through improved documentation</w:t>
      </w:r>
      <w:r w:rsidRPr="000C6F23">
        <w:rPr>
          <w:rFonts w:cs="Times New Roman"/>
          <w:color w:val="auto"/>
        </w:rPr>
        <w:t>.</w:t>
      </w:r>
      <w:r w:rsidR="0079058B">
        <w:rPr>
          <w:rFonts w:cs="Times New Roman"/>
          <w:color w:val="auto"/>
        </w:rPr>
        <w:t xml:space="preserve"> E</w:t>
      </w:r>
      <w:r w:rsidRPr="000C6F23">
        <w:rPr>
          <w:rFonts w:cs="Times New Roman"/>
          <w:color w:val="auto"/>
        </w:rPr>
        <w:t xml:space="preserve">thical opportunity mapping can be conceived as </w:t>
      </w:r>
      <w:r w:rsidR="00B10C54">
        <w:rPr>
          <w:rFonts w:cs="Times New Roman"/>
          <w:color w:val="auto"/>
        </w:rPr>
        <w:t>the</w:t>
      </w:r>
      <w:r w:rsidRPr="000C6F23">
        <w:rPr>
          <w:rFonts w:cs="Times New Roman"/>
          <w:color w:val="auto"/>
        </w:rPr>
        <w:t xml:space="preserve"> pursuit</w:t>
      </w:r>
      <w:r w:rsidR="00B10C54">
        <w:rPr>
          <w:rFonts w:cs="Times New Roman"/>
          <w:color w:val="auto"/>
        </w:rPr>
        <w:t xml:space="preserve"> of</w:t>
      </w:r>
      <w:r w:rsidRPr="000C6F23">
        <w:rPr>
          <w:rFonts w:cs="Times New Roman"/>
          <w:color w:val="auto"/>
        </w:rPr>
        <w:t xml:space="preserve"> disclosure, plurality, contingency, and empowerment</w:t>
      </w:r>
      <w:r w:rsidR="0079058B">
        <w:rPr>
          <w:rFonts w:cs="Times New Roman"/>
          <w:color w:val="auto"/>
        </w:rPr>
        <w:t xml:space="preserve">. These four principle were synthesized by Dork, Feng, Collins and </w:t>
      </w:r>
      <w:proofErr w:type="spellStart"/>
      <w:r w:rsidR="0079058B">
        <w:rPr>
          <w:rFonts w:cs="Times New Roman"/>
          <w:color w:val="auto"/>
        </w:rPr>
        <w:t>Cerpendale</w:t>
      </w:r>
      <w:proofErr w:type="spellEnd"/>
      <w:r w:rsidR="000E1229">
        <w:rPr>
          <w:rFonts w:cs="Times New Roman"/>
          <w:color w:val="auto"/>
        </w:rPr>
        <w:t xml:space="preserve"> (2013)</w:t>
      </w:r>
      <w:r w:rsidR="0079058B">
        <w:rPr>
          <w:rFonts w:cs="Times New Roman"/>
          <w:color w:val="auto"/>
        </w:rPr>
        <w:t xml:space="preserve"> as a starting point for critically evaluating</w:t>
      </w:r>
      <w:r w:rsidR="00EF40BF">
        <w:rPr>
          <w:rFonts w:cs="Times New Roman"/>
          <w:color w:val="auto"/>
        </w:rPr>
        <w:t xml:space="preserve"> data</w:t>
      </w:r>
      <w:r w:rsidR="0079058B">
        <w:rPr>
          <w:rFonts w:cs="Times New Roman"/>
          <w:color w:val="auto"/>
        </w:rPr>
        <w:t xml:space="preserve"> visualizations</w:t>
      </w:r>
      <w:r w:rsidR="00DA3556">
        <w:rPr>
          <w:rFonts w:cs="Times New Roman"/>
          <w:color w:val="auto"/>
        </w:rPr>
        <w:t xml:space="preserve"> that raise awareness of social issues</w:t>
      </w:r>
      <w:r w:rsidR="0079058B">
        <w:rPr>
          <w:rFonts w:cs="Times New Roman"/>
          <w:color w:val="auto"/>
        </w:rPr>
        <w:t xml:space="preserve">. </w:t>
      </w:r>
    </w:p>
    <w:p w:rsidR="00BE72A0" w:rsidRPr="00E45653" w:rsidRDefault="00470EB1" w:rsidP="00E45653">
      <w:pPr>
        <w:spacing w:before="120"/>
        <w:ind w:firstLine="720"/>
        <w:rPr>
          <w:rFonts w:cs="Times New Roman"/>
        </w:rPr>
      </w:pPr>
      <w:r>
        <w:rPr>
          <w:rFonts w:cs="Times New Roman"/>
        </w:rPr>
        <w:t>I</w:t>
      </w:r>
      <w:r w:rsidR="006F59B6" w:rsidRPr="000C6F23">
        <w:rPr>
          <w:rFonts w:cs="Times New Roman"/>
        </w:rPr>
        <w:t xml:space="preserve"> propose </w:t>
      </w:r>
      <w:r w:rsidR="00D87A72">
        <w:rPr>
          <w:rFonts w:cs="Times New Roman"/>
        </w:rPr>
        <w:t xml:space="preserve">extending these principles </w:t>
      </w:r>
      <w:r w:rsidR="0079058B">
        <w:rPr>
          <w:rFonts w:cs="Times New Roman"/>
        </w:rPr>
        <w:t>using an</w:t>
      </w:r>
      <w:r w:rsidR="006F59B6" w:rsidRPr="000C6F23">
        <w:rPr>
          <w:rFonts w:cs="Times New Roman"/>
        </w:rPr>
        <w:t xml:space="preserve"> evaluation checklist that can be used by</w:t>
      </w:r>
      <w:r w:rsidR="0079058B">
        <w:rPr>
          <w:rFonts w:cs="Times New Roman"/>
        </w:rPr>
        <w:t xml:space="preserve"> opportunity</w:t>
      </w:r>
      <w:r w:rsidR="006F59B6" w:rsidRPr="000C6F23">
        <w:rPr>
          <w:rFonts w:cs="Times New Roman"/>
        </w:rPr>
        <w:t xml:space="preserve"> map makers during construction, or by others in evaluation</w:t>
      </w:r>
      <w:r w:rsidR="004F52E1" w:rsidRPr="000C6F23">
        <w:rPr>
          <w:rFonts w:cs="Times New Roman"/>
        </w:rPr>
        <w:t xml:space="preserve"> and </w:t>
      </w:r>
      <w:r w:rsidR="004F52E1" w:rsidRPr="00574C11">
        <w:rPr>
          <w:rFonts w:cs="Times New Roman"/>
        </w:rPr>
        <w:t>critique</w:t>
      </w:r>
      <w:r w:rsidR="005778F3">
        <w:rPr>
          <w:rFonts w:cs="Times New Roman"/>
        </w:rPr>
        <w:t xml:space="preserve">. Opportunity mapping ethics </w:t>
      </w:r>
      <w:r w:rsidR="006F59B6" w:rsidRPr="00574C11">
        <w:rPr>
          <w:rFonts w:cs="Times New Roman"/>
        </w:rPr>
        <w:t xml:space="preserve">may be </w:t>
      </w:r>
      <w:r w:rsidR="005778F3" w:rsidRPr="00574C11">
        <w:rPr>
          <w:rFonts w:cs="Times New Roman"/>
        </w:rPr>
        <w:t xml:space="preserve">improved </w:t>
      </w:r>
      <w:r w:rsidR="005778F3" w:rsidRPr="000C6F23">
        <w:rPr>
          <w:rFonts w:cs="Times New Roman"/>
          <w:color w:val="auto"/>
        </w:rPr>
        <w:t>by</w:t>
      </w:r>
      <w:r w:rsidR="005778F3">
        <w:rPr>
          <w:rFonts w:cs="Times New Roman"/>
          <w:color w:val="auto"/>
        </w:rPr>
        <w:t xml:space="preserve"> adhering to </w:t>
      </w:r>
      <w:r w:rsidR="006F59B6" w:rsidRPr="000C6F23">
        <w:rPr>
          <w:rFonts w:cs="Times New Roman"/>
          <w:color w:val="auto"/>
        </w:rPr>
        <w:t>this checklist</w:t>
      </w:r>
      <w:r w:rsidR="00EB3EB8">
        <w:rPr>
          <w:rFonts w:cs="Times New Roman"/>
          <w:color w:val="auto"/>
        </w:rPr>
        <w:t>:</w:t>
      </w:r>
      <w:r w:rsidR="006F59B6" w:rsidRPr="000C6F23">
        <w:rPr>
          <w:rFonts w:cs="Times New Roman"/>
          <w:color w:val="auto"/>
        </w:rPr>
        <w:t xml:space="preserve"> </w:t>
      </w:r>
    </w:p>
    <w:p w:rsidR="006F59B6" w:rsidRPr="000C6F23" w:rsidRDefault="006F59B6" w:rsidP="00E45653">
      <w:pPr>
        <w:ind w:firstLine="360"/>
        <w:rPr>
          <w:rFonts w:cs="Times New Roman"/>
          <w:color w:val="auto"/>
          <w:u w:val="single"/>
        </w:rPr>
      </w:pPr>
      <w:r w:rsidRPr="000C6F23">
        <w:rPr>
          <w:rFonts w:cs="Times New Roman"/>
          <w:color w:val="auto"/>
          <w:u w:val="single"/>
        </w:rPr>
        <w:t>Disclosure</w:t>
      </w:r>
    </w:p>
    <w:p w:rsidR="006F59B6" w:rsidRDefault="008F3424" w:rsidP="00BE72A0">
      <w:pPr>
        <w:pStyle w:val="ListParagraph"/>
        <w:numPr>
          <w:ilvl w:val="0"/>
          <w:numId w:val="3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Visualization</w:t>
      </w:r>
      <w:r w:rsidR="004D41A5">
        <w:rPr>
          <w:rFonts w:cs="Times New Roman"/>
          <w:color w:val="auto"/>
        </w:rPr>
        <w:t xml:space="preserve"> includes clearly identified</w:t>
      </w:r>
      <w:r w:rsidR="006F59B6" w:rsidRPr="000C6F23">
        <w:rPr>
          <w:rFonts w:cs="Times New Roman"/>
          <w:color w:val="auto"/>
        </w:rPr>
        <w:t xml:space="preserve"> documentation</w:t>
      </w:r>
      <w:r w:rsidR="0079058B">
        <w:rPr>
          <w:rFonts w:cs="Times New Roman"/>
          <w:color w:val="auto"/>
        </w:rPr>
        <w:t>.</w:t>
      </w:r>
      <w:r w:rsidR="006F59B6" w:rsidRPr="000C6F23">
        <w:rPr>
          <w:rFonts w:cs="Times New Roman"/>
          <w:color w:val="auto"/>
        </w:rPr>
        <w:t xml:space="preserve"> </w:t>
      </w:r>
    </w:p>
    <w:p w:rsidR="004D41A5" w:rsidRPr="000C6F23" w:rsidRDefault="004D41A5" w:rsidP="00BE72A0">
      <w:pPr>
        <w:pStyle w:val="ListParagraph"/>
        <w:numPr>
          <w:ilvl w:val="0"/>
          <w:numId w:val="3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Documentation </w:t>
      </w:r>
      <w:r w:rsidRPr="000C6F23">
        <w:rPr>
          <w:rFonts w:cs="Times New Roman"/>
          <w:color w:val="auto"/>
        </w:rPr>
        <w:t xml:space="preserve">includes </w:t>
      </w:r>
      <w:r w:rsidR="00EB3EB8">
        <w:rPr>
          <w:rFonts w:cs="Times New Roman"/>
          <w:color w:val="auto"/>
        </w:rPr>
        <w:t xml:space="preserve">a </w:t>
      </w:r>
      <w:r w:rsidRPr="000C6F23">
        <w:rPr>
          <w:rFonts w:cs="Times New Roman"/>
          <w:color w:val="auto"/>
        </w:rPr>
        <w:t xml:space="preserve">non-technical </w:t>
      </w:r>
      <w:r w:rsidR="00DE0306">
        <w:rPr>
          <w:rFonts w:cs="Times New Roman"/>
          <w:color w:val="auto"/>
        </w:rPr>
        <w:t xml:space="preserve">executive </w:t>
      </w:r>
      <w:r w:rsidRPr="000C6F23">
        <w:rPr>
          <w:rFonts w:cs="Times New Roman"/>
          <w:color w:val="auto"/>
        </w:rPr>
        <w:t>summar</w:t>
      </w:r>
      <w:r w:rsidR="00EB3EB8">
        <w:rPr>
          <w:rFonts w:cs="Times New Roman"/>
          <w:color w:val="auto"/>
        </w:rPr>
        <w:t>y.</w:t>
      </w:r>
    </w:p>
    <w:p w:rsidR="006F59B6" w:rsidRPr="000C6F23" w:rsidRDefault="004D41A5" w:rsidP="00BE72A0">
      <w:pPr>
        <w:pStyle w:val="ListParagraph"/>
        <w:numPr>
          <w:ilvl w:val="0"/>
          <w:numId w:val="3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Documentation</w:t>
      </w:r>
      <w:r w:rsidRPr="000C6F23">
        <w:rPr>
          <w:rFonts w:cs="Times New Roman"/>
          <w:color w:val="auto"/>
        </w:rPr>
        <w:t xml:space="preserve"> </w:t>
      </w:r>
      <w:r w:rsidR="006F59B6" w:rsidRPr="000C6F23">
        <w:rPr>
          <w:rFonts w:cs="Times New Roman"/>
          <w:color w:val="auto"/>
        </w:rPr>
        <w:t>describes lineage of individual indicators used in</w:t>
      </w:r>
      <w:r w:rsidR="005828E8">
        <w:rPr>
          <w:rFonts w:cs="Times New Roman"/>
          <w:color w:val="auto"/>
        </w:rPr>
        <w:t xml:space="preserve"> an</w:t>
      </w:r>
      <w:r w:rsidR="006F59B6" w:rsidRPr="000C6F23">
        <w:rPr>
          <w:rFonts w:cs="Times New Roman"/>
          <w:color w:val="auto"/>
        </w:rPr>
        <w:t xml:space="preserve"> index.</w:t>
      </w:r>
    </w:p>
    <w:p w:rsidR="006F59B6" w:rsidRPr="000C6F23" w:rsidRDefault="004D41A5" w:rsidP="00BE72A0">
      <w:pPr>
        <w:pStyle w:val="ListParagraph"/>
        <w:numPr>
          <w:ilvl w:val="0"/>
          <w:numId w:val="3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Documentation</w:t>
      </w:r>
      <w:r w:rsidRPr="000C6F23">
        <w:rPr>
          <w:rFonts w:cs="Times New Roman"/>
          <w:color w:val="auto"/>
        </w:rPr>
        <w:t xml:space="preserve"> </w:t>
      </w:r>
      <w:r w:rsidR="00D92D13" w:rsidRPr="000C6F23">
        <w:rPr>
          <w:rFonts w:cs="Times New Roman"/>
          <w:color w:val="auto"/>
        </w:rPr>
        <w:t xml:space="preserve">describes </w:t>
      </w:r>
      <w:r w:rsidR="006F59B6" w:rsidRPr="000C6F23">
        <w:rPr>
          <w:rFonts w:cs="Times New Roman"/>
          <w:color w:val="auto"/>
        </w:rPr>
        <w:t>index calculation.</w:t>
      </w:r>
      <w:bookmarkStart w:id="0" w:name="_GoBack"/>
      <w:bookmarkEnd w:id="0"/>
    </w:p>
    <w:p w:rsidR="006F59B6" w:rsidRPr="000C6F23" w:rsidRDefault="004D41A5" w:rsidP="00BE72A0">
      <w:pPr>
        <w:pStyle w:val="ListParagraph"/>
        <w:numPr>
          <w:ilvl w:val="0"/>
          <w:numId w:val="3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Documentation</w:t>
      </w:r>
      <w:r w:rsidRPr="000C6F23">
        <w:rPr>
          <w:rFonts w:cs="Times New Roman"/>
          <w:color w:val="auto"/>
        </w:rPr>
        <w:t xml:space="preserve"> </w:t>
      </w:r>
      <w:r w:rsidR="00520F31" w:rsidRPr="000C6F23">
        <w:rPr>
          <w:rFonts w:cs="Times New Roman"/>
          <w:color w:val="auto"/>
        </w:rPr>
        <w:t xml:space="preserve">describes </w:t>
      </w:r>
      <w:r w:rsidR="006F59B6" w:rsidRPr="000C6F23">
        <w:rPr>
          <w:rFonts w:cs="Times New Roman"/>
          <w:color w:val="auto"/>
        </w:rPr>
        <w:t>geographic aggregation level and zones</w:t>
      </w:r>
      <w:r w:rsidR="0079058B">
        <w:rPr>
          <w:rFonts w:cs="Times New Roman"/>
          <w:color w:val="auto"/>
        </w:rPr>
        <w:t>.</w:t>
      </w:r>
    </w:p>
    <w:p w:rsidR="006F59B6" w:rsidRPr="000C6F23" w:rsidRDefault="004D41A5" w:rsidP="00BE72A0">
      <w:pPr>
        <w:pStyle w:val="ListParagraph"/>
        <w:numPr>
          <w:ilvl w:val="0"/>
          <w:numId w:val="3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Documentation</w:t>
      </w:r>
      <w:r w:rsidRPr="000C6F23">
        <w:rPr>
          <w:rFonts w:cs="Times New Roman"/>
          <w:color w:val="auto"/>
        </w:rPr>
        <w:t xml:space="preserve"> </w:t>
      </w:r>
      <w:r w:rsidR="006F59B6" w:rsidRPr="000C6F23">
        <w:rPr>
          <w:rFonts w:cs="Times New Roman"/>
          <w:color w:val="auto"/>
        </w:rPr>
        <w:t xml:space="preserve">describes any software tools used in calculation or visualization process. </w:t>
      </w:r>
    </w:p>
    <w:p w:rsidR="006F59B6" w:rsidRPr="000C6F23" w:rsidRDefault="006F59B6" w:rsidP="00E45653">
      <w:pPr>
        <w:ind w:firstLine="360"/>
        <w:rPr>
          <w:rFonts w:cs="Times New Roman"/>
          <w:color w:val="auto"/>
          <w:u w:val="single"/>
        </w:rPr>
      </w:pPr>
      <w:r w:rsidRPr="000C6F23">
        <w:rPr>
          <w:rFonts w:cs="Times New Roman"/>
          <w:color w:val="auto"/>
          <w:u w:val="single"/>
        </w:rPr>
        <w:t>Plurality</w:t>
      </w:r>
    </w:p>
    <w:p w:rsidR="006F59B6" w:rsidRPr="000C6F23" w:rsidRDefault="008F3424" w:rsidP="00BE72A0">
      <w:pPr>
        <w:pStyle w:val="ListParagraph"/>
        <w:numPr>
          <w:ilvl w:val="0"/>
          <w:numId w:val="4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Visualization</w:t>
      </w:r>
      <w:r w:rsidR="006F59B6" w:rsidRPr="000C6F23">
        <w:rPr>
          <w:rFonts w:cs="Times New Roman"/>
          <w:color w:val="auto"/>
        </w:rPr>
        <w:t xml:space="preserve"> contains multiple perspectives</w:t>
      </w:r>
      <w:r w:rsidR="009079E5" w:rsidRPr="000C6F23">
        <w:rPr>
          <w:rFonts w:cs="Times New Roman"/>
          <w:color w:val="auto"/>
        </w:rPr>
        <w:t xml:space="preserve"> where possible.</w:t>
      </w:r>
      <w:r w:rsidR="006F59B6" w:rsidRPr="000C6F23">
        <w:rPr>
          <w:rFonts w:cs="Times New Roman"/>
          <w:color w:val="auto"/>
        </w:rPr>
        <w:t xml:space="preserve"> (</w:t>
      </w:r>
      <w:r w:rsidR="009079E5" w:rsidRPr="000C6F23">
        <w:rPr>
          <w:rFonts w:cs="Times New Roman"/>
          <w:color w:val="auto"/>
        </w:rPr>
        <w:t>example</w:t>
      </w:r>
      <w:r w:rsidR="009E56D1">
        <w:rPr>
          <w:rFonts w:cs="Times New Roman"/>
          <w:color w:val="auto"/>
        </w:rPr>
        <w:t>:</w:t>
      </w:r>
      <w:r w:rsidR="006F59B6" w:rsidRPr="000C6F23">
        <w:rPr>
          <w:rFonts w:cs="Times New Roman"/>
          <w:color w:val="auto"/>
        </w:rPr>
        <w:t xml:space="preserve"> option to interactively substi</w:t>
      </w:r>
      <w:r w:rsidR="009079E5" w:rsidRPr="000C6F23">
        <w:rPr>
          <w:rFonts w:cs="Times New Roman"/>
          <w:color w:val="auto"/>
        </w:rPr>
        <w:t>tu</w:t>
      </w:r>
      <w:r w:rsidR="006F59B6" w:rsidRPr="000C6F23">
        <w:rPr>
          <w:rFonts w:cs="Times New Roman"/>
          <w:color w:val="auto"/>
        </w:rPr>
        <w:t>t</w:t>
      </w:r>
      <w:r w:rsidR="009079E5" w:rsidRPr="000C6F23">
        <w:rPr>
          <w:rFonts w:cs="Times New Roman"/>
          <w:color w:val="auto"/>
        </w:rPr>
        <w:t>e</w:t>
      </w:r>
      <w:r w:rsidR="006F59B6" w:rsidRPr="000C6F23">
        <w:rPr>
          <w:rFonts w:cs="Times New Roman"/>
          <w:color w:val="auto"/>
        </w:rPr>
        <w:t xml:space="preserve"> variables) </w:t>
      </w:r>
    </w:p>
    <w:p w:rsidR="006F59B6" w:rsidRPr="000C6F23" w:rsidRDefault="008F3424" w:rsidP="00BE72A0">
      <w:pPr>
        <w:pStyle w:val="ListParagraph"/>
        <w:numPr>
          <w:ilvl w:val="0"/>
          <w:numId w:val="4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lastRenderedPageBreak/>
        <w:t>Visualization</w:t>
      </w:r>
      <w:r w:rsidR="009E56D1">
        <w:rPr>
          <w:rFonts w:cs="Times New Roman"/>
          <w:color w:val="auto"/>
        </w:rPr>
        <w:t xml:space="preserve"> contains appendix maps, or equivalent.</w:t>
      </w:r>
      <w:r w:rsidR="006F59B6" w:rsidRPr="000C6F23">
        <w:rPr>
          <w:rFonts w:cs="Times New Roman"/>
          <w:color w:val="auto"/>
        </w:rPr>
        <w:t xml:space="preserve"> </w:t>
      </w:r>
      <w:r w:rsidR="009E56D1" w:rsidRPr="000C6F23">
        <w:rPr>
          <w:rFonts w:cs="Times New Roman"/>
          <w:color w:val="auto"/>
        </w:rPr>
        <w:t>(example</w:t>
      </w:r>
      <w:r w:rsidR="009E56D1">
        <w:rPr>
          <w:rFonts w:cs="Times New Roman"/>
          <w:color w:val="auto"/>
        </w:rPr>
        <w:t>:</w:t>
      </w:r>
      <w:r w:rsidR="009E56D1" w:rsidRPr="000C6F23">
        <w:rPr>
          <w:rFonts w:cs="Times New Roman"/>
          <w:color w:val="auto"/>
        </w:rPr>
        <w:t xml:space="preserve"> </w:t>
      </w:r>
      <w:r w:rsidR="006F59B6" w:rsidRPr="000C6F23">
        <w:rPr>
          <w:rFonts w:cs="Times New Roman"/>
          <w:color w:val="auto"/>
        </w:rPr>
        <w:t>visualizing individual valu</w:t>
      </w:r>
      <w:r w:rsidR="009E56D1">
        <w:rPr>
          <w:rFonts w:cs="Times New Roman"/>
          <w:color w:val="auto"/>
        </w:rPr>
        <w:t>es used to construct the index)</w:t>
      </w:r>
    </w:p>
    <w:p w:rsidR="006F59B6" w:rsidRPr="000C6F23" w:rsidRDefault="009E56D1" w:rsidP="00BE72A0">
      <w:pPr>
        <w:pStyle w:val="ListParagraph"/>
        <w:numPr>
          <w:ilvl w:val="0"/>
          <w:numId w:val="4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D</w:t>
      </w:r>
      <w:r w:rsidR="006F59B6" w:rsidRPr="000C6F23">
        <w:rPr>
          <w:rFonts w:cs="Times New Roman"/>
          <w:color w:val="auto"/>
        </w:rPr>
        <w:t>ocumentation include</w:t>
      </w:r>
      <w:r w:rsidR="00F117F0">
        <w:rPr>
          <w:rFonts w:cs="Times New Roman"/>
          <w:color w:val="auto"/>
        </w:rPr>
        <w:t>s</w:t>
      </w:r>
      <w:r w:rsidR="006F59B6" w:rsidRPr="000C6F23">
        <w:rPr>
          <w:rFonts w:cs="Times New Roman"/>
          <w:color w:val="auto"/>
        </w:rPr>
        <w:t xml:space="preserve"> indicators of</w:t>
      </w:r>
      <w:r w:rsidR="00D51C30">
        <w:rPr>
          <w:rFonts w:cs="Times New Roman"/>
          <w:color w:val="auto"/>
        </w:rPr>
        <w:t xml:space="preserve"> </w:t>
      </w:r>
      <w:r w:rsidR="00D51C30" w:rsidRPr="000C6F23">
        <w:rPr>
          <w:rFonts w:cs="Times New Roman"/>
          <w:color w:val="auto"/>
        </w:rPr>
        <w:t>any known</w:t>
      </w:r>
      <w:r w:rsidR="006F59B6" w:rsidRPr="000C6F23">
        <w:rPr>
          <w:rFonts w:cs="Times New Roman"/>
          <w:color w:val="auto"/>
        </w:rPr>
        <w:t xml:space="preserve"> uncertainty (including margin of error) </w:t>
      </w:r>
    </w:p>
    <w:p w:rsidR="006F59B6" w:rsidRPr="000C6F23" w:rsidRDefault="006F59B6" w:rsidP="00E45653">
      <w:pPr>
        <w:ind w:firstLine="360"/>
        <w:rPr>
          <w:rFonts w:cs="Times New Roman"/>
          <w:color w:val="auto"/>
          <w:u w:val="single"/>
        </w:rPr>
      </w:pPr>
      <w:r w:rsidRPr="000C6F23">
        <w:rPr>
          <w:rFonts w:cs="Times New Roman"/>
          <w:color w:val="auto"/>
          <w:u w:val="single"/>
        </w:rPr>
        <w:t>Contingency</w:t>
      </w:r>
    </w:p>
    <w:p w:rsidR="006F59B6" w:rsidRPr="000C6F23" w:rsidRDefault="008F3424" w:rsidP="00BE72A0">
      <w:pPr>
        <w:pStyle w:val="ListParagraph"/>
        <w:numPr>
          <w:ilvl w:val="0"/>
          <w:numId w:val="2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Visualization</w:t>
      </w:r>
      <w:r w:rsidR="006F59B6" w:rsidRPr="000C6F23">
        <w:rPr>
          <w:rFonts w:cs="Times New Roman"/>
          <w:color w:val="auto"/>
        </w:rPr>
        <w:t xml:space="preserve"> contains alternate experience f</w:t>
      </w:r>
      <w:r w:rsidR="009E56D1">
        <w:rPr>
          <w:rFonts w:cs="Times New Roman"/>
          <w:color w:val="auto"/>
        </w:rPr>
        <w:t xml:space="preserve">or making sense of </w:t>
      </w:r>
      <w:r w:rsidR="005828E8">
        <w:rPr>
          <w:rFonts w:cs="Times New Roman"/>
          <w:color w:val="auto"/>
        </w:rPr>
        <w:t xml:space="preserve">the </w:t>
      </w:r>
      <w:r w:rsidR="009E56D1">
        <w:rPr>
          <w:rFonts w:cs="Times New Roman"/>
          <w:color w:val="auto"/>
        </w:rPr>
        <w:t>map (example:</w:t>
      </w:r>
      <w:r w:rsidR="006F59B6" w:rsidRPr="000C6F23">
        <w:rPr>
          <w:rFonts w:cs="Times New Roman"/>
          <w:color w:val="auto"/>
        </w:rPr>
        <w:t xml:space="preserve"> appendix maps w</w:t>
      </w:r>
      <w:r w:rsidR="009E56D1">
        <w:rPr>
          <w:rFonts w:cs="Times New Roman"/>
          <w:color w:val="auto"/>
        </w:rPr>
        <w:t>ith overlaid supplemental data)</w:t>
      </w:r>
    </w:p>
    <w:p w:rsidR="006F59B6" w:rsidRPr="000C6F23" w:rsidRDefault="006F59B6" w:rsidP="00BE72A0">
      <w:pPr>
        <w:pStyle w:val="ListParagraph"/>
        <w:numPr>
          <w:ilvl w:val="0"/>
          <w:numId w:val="2"/>
        </w:numPr>
        <w:rPr>
          <w:rFonts w:cs="Times New Roman"/>
          <w:color w:val="auto"/>
        </w:rPr>
      </w:pPr>
      <w:r w:rsidRPr="000C6F23">
        <w:rPr>
          <w:rFonts w:cs="Times New Roman"/>
          <w:color w:val="auto"/>
        </w:rPr>
        <w:t>Interactivity allows for centering to the user’s experience</w:t>
      </w:r>
    </w:p>
    <w:p w:rsidR="006F59B6" w:rsidRPr="000C6F23" w:rsidRDefault="006F59B6" w:rsidP="00E45653">
      <w:pPr>
        <w:ind w:firstLine="360"/>
        <w:rPr>
          <w:rFonts w:cs="Times New Roman"/>
          <w:color w:val="auto"/>
          <w:u w:val="single"/>
        </w:rPr>
      </w:pPr>
      <w:r w:rsidRPr="000C6F23">
        <w:rPr>
          <w:rFonts w:cs="Times New Roman"/>
          <w:color w:val="auto"/>
          <w:u w:val="single"/>
        </w:rPr>
        <w:t>Empowerment</w:t>
      </w:r>
    </w:p>
    <w:p w:rsidR="006F59B6" w:rsidRPr="000C6F23" w:rsidRDefault="008F3424" w:rsidP="00BE72A0">
      <w:pPr>
        <w:pStyle w:val="ListParagraph"/>
        <w:numPr>
          <w:ilvl w:val="0"/>
          <w:numId w:val="1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Visualization</w:t>
      </w:r>
      <w:r w:rsidR="006F59B6" w:rsidRPr="000C6F23">
        <w:rPr>
          <w:rFonts w:cs="Times New Roman"/>
          <w:color w:val="auto"/>
        </w:rPr>
        <w:t xml:space="preserve"> and documentation </w:t>
      </w:r>
      <w:r w:rsidR="009E56D1">
        <w:rPr>
          <w:rFonts w:cs="Times New Roman"/>
          <w:color w:val="auto"/>
        </w:rPr>
        <w:t>are distributed</w:t>
      </w:r>
      <w:r w:rsidR="006F59B6" w:rsidRPr="000C6F23">
        <w:rPr>
          <w:rFonts w:cs="Times New Roman"/>
          <w:color w:val="auto"/>
        </w:rPr>
        <w:t xml:space="preserve"> </w:t>
      </w:r>
      <w:r w:rsidR="009E56D1">
        <w:rPr>
          <w:rFonts w:cs="Times New Roman"/>
          <w:color w:val="auto"/>
        </w:rPr>
        <w:t>in a</w:t>
      </w:r>
      <w:r w:rsidR="006F59B6" w:rsidRPr="000C6F23">
        <w:rPr>
          <w:rFonts w:cs="Times New Roman"/>
          <w:color w:val="auto"/>
        </w:rPr>
        <w:t xml:space="preserve"> package (example: any distributions always include persistent access to all documents)</w:t>
      </w:r>
    </w:p>
    <w:p w:rsidR="006F59B6" w:rsidRPr="000C6F23" w:rsidRDefault="009E56D1" w:rsidP="00BE72A0">
      <w:pPr>
        <w:pStyle w:val="ListParagraph"/>
        <w:numPr>
          <w:ilvl w:val="0"/>
          <w:numId w:val="1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D</w:t>
      </w:r>
      <w:r w:rsidR="006F59B6" w:rsidRPr="000C6F23">
        <w:rPr>
          <w:rFonts w:cs="Times New Roman"/>
          <w:color w:val="auto"/>
        </w:rPr>
        <w:t xml:space="preserve">ocumentation includes code for replication (example: links to </w:t>
      </w:r>
      <w:proofErr w:type="spellStart"/>
      <w:r w:rsidR="006F59B6" w:rsidRPr="000C6F23">
        <w:rPr>
          <w:rFonts w:cs="Times New Roman"/>
          <w:color w:val="auto"/>
        </w:rPr>
        <w:t>Github</w:t>
      </w:r>
      <w:proofErr w:type="spellEnd"/>
      <w:r w:rsidR="006F59B6" w:rsidRPr="000C6F23">
        <w:rPr>
          <w:rFonts w:cs="Times New Roman"/>
          <w:color w:val="auto"/>
        </w:rPr>
        <w:t xml:space="preserve"> repository)</w:t>
      </w:r>
    </w:p>
    <w:p w:rsidR="006F59B6" w:rsidRPr="000C6F23" w:rsidRDefault="009E56D1" w:rsidP="00BE72A0">
      <w:pPr>
        <w:pStyle w:val="ListParagraph"/>
        <w:numPr>
          <w:ilvl w:val="0"/>
          <w:numId w:val="1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D</w:t>
      </w:r>
      <w:r w:rsidR="006F59B6" w:rsidRPr="000C6F23">
        <w:rPr>
          <w:rFonts w:cs="Times New Roman"/>
          <w:color w:val="auto"/>
        </w:rPr>
        <w:t>ocumentation includes tips for replication and illustrative code recipes</w:t>
      </w:r>
    </w:p>
    <w:p w:rsidR="006F59B6" w:rsidRPr="000C6F23" w:rsidRDefault="006F59B6" w:rsidP="00BE72A0">
      <w:pPr>
        <w:pStyle w:val="ListParagraph"/>
        <w:numPr>
          <w:ilvl w:val="0"/>
          <w:numId w:val="1"/>
        </w:numPr>
        <w:rPr>
          <w:rFonts w:cs="Times New Roman"/>
          <w:color w:val="auto"/>
        </w:rPr>
      </w:pPr>
      <w:r w:rsidRPr="000C6F23">
        <w:rPr>
          <w:rFonts w:cs="Times New Roman"/>
          <w:color w:val="auto"/>
        </w:rPr>
        <w:t>Replication code is offered in alternate computer languages when possible.</w:t>
      </w:r>
      <w:r w:rsidR="009E56D1">
        <w:rPr>
          <w:rFonts w:cs="Times New Roman"/>
          <w:color w:val="auto"/>
        </w:rPr>
        <w:t xml:space="preserve"> </w:t>
      </w:r>
      <w:r w:rsidR="009E56D1" w:rsidRPr="000C6F23">
        <w:rPr>
          <w:rFonts w:cs="Times New Roman"/>
          <w:color w:val="auto"/>
        </w:rPr>
        <w:t>(</w:t>
      </w:r>
      <w:r w:rsidR="009E56D1">
        <w:rPr>
          <w:rFonts w:cs="Times New Roman"/>
          <w:color w:val="auto"/>
        </w:rPr>
        <w:t xml:space="preserve">example: offer in </w:t>
      </w:r>
      <w:r w:rsidR="009E56D1" w:rsidRPr="000C6F23">
        <w:rPr>
          <w:rFonts w:cs="Times New Roman"/>
          <w:color w:val="auto"/>
        </w:rPr>
        <w:t>popular &amp; free</w:t>
      </w:r>
      <w:r w:rsidR="009F1F28">
        <w:rPr>
          <w:rFonts w:cs="Times New Roman"/>
          <w:color w:val="auto"/>
        </w:rPr>
        <w:t xml:space="preserve"> computer</w:t>
      </w:r>
      <w:r w:rsidR="009E56D1">
        <w:rPr>
          <w:rFonts w:cs="Times New Roman"/>
          <w:color w:val="auto"/>
        </w:rPr>
        <w:t xml:space="preserve"> language, if proprietary tools were used</w:t>
      </w:r>
      <w:r w:rsidR="009E56D1" w:rsidRPr="000C6F23">
        <w:rPr>
          <w:rFonts w:cs="Times New Roman"/>
          <w:color w:val="auto"/>
        </w:rPr>
        <w:t>)</w:t>
      </w:r>
    </w:p>
    <w:p w:rsidR="006F59B6" w:rsidRPr="00BE72A0" w:rsidRDefault="008F3424" w:rsidP="00BE72A0">
      <w:pPr>
        <w:pStyle w:val="ListParagraph"/>
        <w:numPr>
          <w:ilvl w:val="0"/>
          <w:numId w:val="1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Visualization</w:t>
      </w:r>
      <w:r w:rsidR="006F59B6" w:rsidRPr="000C6F23">
        <w:rPr>
          <w:rFonts w:cs="Times New Roman"/>
          <w:color w:val="auto"/>
        </w:rPr>
        <w:t xml:space="preserve"> and documentation encourages further exploration of data</w:t>
      </w:r>
    </w:p>
    <w:p w:rsidR="00995263" w:rsidRDefault="00BC173D" w:rsidP="00BE72A0">
      <w:pPr>
        <w:spacing w:before="120"/>
        <w:ind w:firstLine="360"/>
        <w:rPr>
          <w:rFonts w:cs="Times New Roman"/>
        </w:rPr>
      </w:pPr>
      <w:r>
        <w:rPr>
          <w:rFonts w:cs="Times New Roman"/>
        </w:rPr>
        <w:t xml:space="preserve">While this checklist is </w:t>
      </w:r>
      <w:r w:rsidR="006E2D68">
        <w:rPr>
          <w:rFonts w:cs="Times New Roman"/>
        </w:rPr>
        <w:t>developed</w:t>
      </w:r>
      <w:r>
        <w:rPr>
          <w:rFonts w:cs="Times New Roman"/>
        </w:rPr>
        <w:t xml:space="preserve"> </w:t>
      </w:r>
      <w:r w:rsidR="006E2D68">
        <w:rPr>
          <w:rFonts w:cs="Times New Roman"/>
        </w:rPr>
        <w:t>with</w:t>
      </w:r>
      <w:r>
        <w:rPr>
          <w:rFonts w:cs="Times New Roman"/>
        </w:rPr>
        <w:t xml:space="preserve"> </w:t>
      </w:r>
      <w:r w:rsidR="00886889">
        <w:rPr>
          <w:rFonts w:cs="Times New Roman"/>
        </w:rPr>
        <w:t>opportunity mapping</w:t>
      </w:r>
      <w:r w:rsidR="006E2D68">
        <w:rPr>
          <w:rFonts w:cs="Times New Roman"/>
        </w:rPr>
        <w:t xml:space="preserve"> in mind</w:t>
      </w:r>
      <w:r w:rsidR="00886889">
        <w:rPr>
          <w:rFonts w:cs="Times New Roman"/>
        </w:rPr>
        <w:t xml:space="preserve">, </w:t>
      </w:r>
      <w:r w:rsidR="00BE72A0">
        <w:rPr>
          <w:rFonts w:cs="Times New Roman"/>
        </w:rPr>
        <w:t>it can be</w:t>
      </w:r>
      <w:r w:rsidR="00886889">
        <w:rPr>
          <w:rFonts w:cs="Times New Roman"/>
        </w:rPr>
        <w:t xml:space="preserve"> generaliz</w:t>
      </w:r>
      <w:r w:rsidR="00BE72A0">
        <w:rPr>
          <w:rFonts w:cs="Times New Roman"/>
        </w:rPr>
        <w:t>ed</w:t>
      </w:r>
      <w:r w:rsidR="00886889">
        <w:rPr>
          <w:rFonts w:cs="Times New Roman"/>
        </w:rPr>
        <w:t xml:space="preserve"> to other types of visualization</w:t>
      </w:r>
      <w:r w:rsidR="006E2D68">
        <w:rPr>
          <w:rFonts w:cs="Times New Roman"/>
        </w:rPr>
        <w:t>. V</w:t>
      </w:r>
      <w:r w:rsidR="00775D56">
        <w:rPr>
          <w:rFonts w:cs="Times New Roman"/>
        </w:rPr>
        <w:t>isualization practi</w:t>
      </w:r>
      <w:r w:rsidR="006E2D68">
        <w:rPr>
          <w:rFonts w:cs="Times New Roman"/>
        </w:rPr>
        <w:t xml:space="preserve">tioners can use this checklist </w:t>
      </w:r>
      <w:r w:rsidR="00751989">
        <w:rPr>
          <w:rFonts w:cs="Times New Roman"/>
        </w:rPr>
        <w:t xml:space="preserve">as a guide </w:t>
      </w:r>
      <w:r w:rsidR="006E2D68">
        <w:rPr>
          <w:rFonts w:cs="Times New Roman"/>
        </w:rPr>
        <w:t>when developing ethical documentation, or adapt terms and ideas for local use. Visualization</w:t>
      </w:r>
      <w:r w:rsidR="00886889">
        <w:rPr>
          <w:rFonts w:cs="Times New Roman"/>
        </w:rPr>
        <w:t xml:space="preserve"> instruction</w:t>
      </w:r>
      <w:r w:rsidR="006E2D68">
        <w:rPr>
          <w:rFonts w:cs="Times New Roman"/>
        </w:rPr>
        <w:t xml:space="preserve"> should</w:t>
      </w:r>
      <w:r w:rsidR="00886889">
        <w:rPr>
          <w:rFonts w:cs="Times New Roman"/>
        </w:rPr>
        <w:t xml:space="preserve"> </w:t>
      </w:r>
      <w:r w:rsidR="006E2D68">
        <w:rPr>
          <w:rFonts w:cs="Times New Roman"/>
        </w:rPr>
        <w:t>encourage critical thinking skills around inclusion of ethical documentation. Some questions for students might include: How do you balance “</w:t>
      </w:r>
      <w:r w:rsidR="006E2D68" w:rsidRPr="000C6F23">
        <w:rPr>
          <w:rFonts w:cs="Times New Roman"/>
          <w:color w:val="auto"/>
        </w:rPr>
        <w:t>complete documentation</w:t>
      </w:r>
      <w:r w:rsidR="006E2D68">
        <w:rPr>
          <w:rFonts w:cs="Times New Roman"/>
          <w:color w:val="auto"/>
        </w:rPr>
        <w:t xml:space="preserve">” with the </w:t>
      </w:r>
      <w:r w:rsidR="006E2D68" w:rsidRPr="000C6F23">
        <w:rPr>
          <w:rFonts w:cs="Times New Roman"/>
          <w:color w:val="auto"/>
        </w:rPr>
        <w:t>visualization heuristic, “reduced cognitive load”</w:t>
      </w:r>
      <w:r w:rsidR="006E2D68">
        <w:rPr>
          <w:rFonts w:cs="Times New Roman"/>
          <w:color w:val="auto"/>
        </w:rPr>
        <w:t xml:space="preserve">? </w:t>
      </w:r>
      <w:r w:rsidR="00751989">
        <w:rPr>
          <w:rFonts w:cs="Times New Roman"/>
          <w:color w:val="auto"/>
        </w:rPr>
        <w:t xml:space="preserve">Does </w:t>
      </w:r>
      <w:r w:rsidR="00751989">
        <w:rPr>
          <w:rFonts w:cs="Times New Roman"/>
        </w:rPr>
        <w:t>“</w:t>
      </w:r>
      <w:r w:rsidR="00751989" w:rsidRPr="000C6F23">
        <w:rPr>
          <w:rFonts w:cs="Times New Roman"/>
          <w:color w:val="auto"/>
        </w:rPr>
        <w:t>complete documentation</w:t>
      </w:r>
      <w:r w:rsidR="00751989">
        <w:rPr>
          <w:rFonts w:cs="Times New Roman"/>
          <w:color w:val="auto"/>
        </w:rPr>
        <w:t>” introduce additional ethical issues? How do you balance the desire to produce p</w:t>
      </w:r>
      <w:r w:rsidR="00751989" w:rsidRPr="00751989">
        <w:rPr>
          <w:rFonts w:cs="Times New Roman"/>
          <w:color w:val="auto"/>
        </w:rPr>
        <w:t xml:space="preserve">ersuasive </w:t>
      </w:r>
      <w:r w:rsidR="00751989">
        <w:rPr>
          <w:rFonts w:cs="Times New Roman"/>
          <w:color w:val="auto"/>
        </w:rPr>
        <w:t>visualization</w:t>
      </w:r>
      <w:r w:rsidR="00D51C30">
        <w:rPr>
          <w:rFonts w:cs="Times New Roman"/>
          <w:color w:val="auto"/>
        </w:rPr>
        <w:t>s</w:t>
      </w:r>
      <w:r w:rsidR="00751989">
        <w:rPr>
          <w:rFonts w:cs="Times New Roman"/>
          <w:color w:val="auto"/>
        </w:rPr>
        <w:t xml:space="preserve"> with a</w:t>
      </w:r>
      <w:r w:rsidR="00751989" w:rsidRPr="00751989">
        <w:rPr>
          <w:rFonts w:cs="Times New Roman"/>
          <w:color w:val="auto"/>
        </w:rPr>
        <w:t xml:space="preserve"> plurality of interpretations</w:t>
      </w:r>
      <w:r w:rsidR="00751989">
        <w:rPr>
          <w:rFonts w:cs="Times New Roman"/>
          <w:color w:val="auto"/>
        </w:rPr>
        <w:t>?</w:t>
      </w:r>
    </w:p>
    <w:p w:rsidR="006F59B6" w:rsidRPr="000C6F23" w:rsidRDefault="009E0456" w:rsidP="00BE72A0">
      <w:pPr>
        <w:spacing w:before="120"/>
        <w:ind w:firstLine="360"/>
        <w:rPr>
          <w:rFonts w:cs="Times New Roman"/>
        </w:rPr>
      </w:pPr>
      <w:r>
        <w:rPr>
          <w:rFonts w:cs="Times New Roman"/>
        </w:rPr>
        <w:t>Even with improved visualization documentation,</w:t>
      </w:r>
      <w:r w:rsidR="00B75693">
        <w:rPr>
          <w:rFonts w:cs="Times New Roman"/>
        </w:rPr>
        <w:t xml:space="preserve"> e</w:t>
      </w:r>
      <w:r w:rsidR="000E758D">
        <w:rPr>
          <w:rFonts w:cs="Times New Roman"/>
        </w:rPr>
        <w:t>thical dilemmas will persist</w:t>
      </w:r>
      <w:r>
        <w:rPr>
          <w:rFonts w:cs="Times New Roman"/>
        </w:rPr>
        <w:t xml:space="preserve"> and should be examined by future research</w:t>
      </w:r>
      <w:r w:rsidR="00B10C54">
        <w:rPr>
          <w:rFonts w:cs="Times New Roman"/>
        </w:rPr>
        <w:t>.</w:t>
      </w:r>
      <w:r w:rsidR="005828E8">
        <w:rPr>
          <w:rFonts w:cs="Times New Roman"/>
        </w:rPr>
        <w:t xml:space="preserve"> Ethical documentation may conflict with other ethical principles. </w:t>
      </w:r>
      <w:r w:rsidR="006F59B6" w:rsidRPr="000C6F23">
        <w:rPr>
          <w:rFonts w:cs="Times New Roman"/>
        </w:rPr>
        <w:t xml:space="preserve">Take for example The Opportunity Atlas developed by </w:t>
      </w:r>
      <w:proofErr w:type="spellStart"/>
      <w:r w:rsidR="006F59B6" w:rsidRPr="000C6F23">
        <w:rPr>
          <w:rFonts w:cs="Times New Roman"/>
        </w:rPr>
        <w:t>Chetty</w:t>
      </w:r>
      <w:proofErr w:type="spellEnd"/>
      <w:r w:rsidR="006F59B6" w:rsidRPr="000C6F23">
        <w:rPr>
          <w:rFonts w:cs="Times New Roman"/>
        </w:rPr>
        <w:t xml:space="preserve">, Friedman, </w:t>
      </w:r>
      <w:proofErr w:type="spellStart"/>
      <w:r w:rsidR="006F59B6" w:rsidRPr="000C6F23">
        <w:rPr>
          <w:rFonts w:cs="Times New Roman"/>
        </w:rPr>
        <w:t>Hendren</w:t>
      </w:r>
      <w:proofErr w:type="spellEnd"/>
      <w:r w:rsidR="006F59B6" w:rsidRPr="000C6F23">
        <w:rPr>
          <w:rFonts w:cs="Times New Roman"/>
        </w:rPr>
        <w:t>, Jones, and Porter</w:t>
      </w:r>
      <w:r w:rsidR="000E1229">
        <w:rPr>
          <w:rFonts w:cs="Times New Roman"/>
        </w:rPr>
        <w:t xml:space="preserve"> (2018)</w:t>
      </w:r>
      <w:r w:rsidR="006F59B6" w:rsidRPr="000C6F23">
        <w:rPr>
          <w:rFonts w:cs="Times New Roman"/>
        </w:rPr>
        <w:t xml:space="preserve">. This Opportunity map </w:t>
      </w:r>
      <w:r w:rsidR="00F117F0">
        <w:rPr>
          <w:rFonts w:cs="Times New Roman"/>
        </w:rPr>
        <w:t xml:space="preserve">reports aggregated </w:t>
      </w:r>
      <w:r w:rsidR="006F59B6" w:rsidRPr="000C6F23">
        <w:rPr>
          <w:rFonts w:cs="Times New Roman"/>
        </w:rPr>
        <w:t>outcomes in adulthood by census tract usi</w:t>
      </w:r>
      <w:r w:rsidR="00F117F0">
        <w:rPr>
          <w:rFonts w:cs="Times New Roman"/>
        </w:rPr>
        <w:t>ng anonymized longitudinal data from IRS tax records</w:t>
      </w:r>
      <w:r w:rsidR="006F59B6" w:rsidRPr="000C6F23">
        <w:rPr>
          <w:rFonts w:cs="Times New Roman"/>
        </w:rPr>
        <w:t xml:space="preserve">. The authors make a concerted effort at disclosure through extensive online documentation, but </w:t>
      </w:r>
      <w:r w:rsidR="000E758D">
        <w:rPr>
          <w:rFonts w:cs="Times New Roman"/>
        </w:rPr>
        <w:t xml:space="preserve">complete </w:t>
      </w:r>
      <w:r w:rsidR="006F59B6" w:rsidRPr="000C6F23">
        <w:rPr>
          <w:rFonts w:cs="Times New Roman"/>
        </w:rPr>
        <w:t>data sharing is simply not possible. In this case, the ethics of disclosure are superseded by the ethics of privacy</w:t>
      </w:r>
      <w:r w:rsidR="00BE72A0">
        <w:rPr>
          <w:rFonts w:cs="Times New Roman"/>
        </w:rPr>
        <w:t>. L</w:t>
      </w:r>
      <w:r w:rsidR="006F59B6" w:rsidRPr="000C6F23">
        <w:rPr>
          <w:rFonts w:cs="Times New Roman"/>
        </w:rPr>
        <w:t>imit</w:t>
      </w:r>
      <w:r w:rsidR="00BE72A0">
        <w:rPr>
          <w:rFonts w:cs="Times New Roman"/>
        </w:rPr>
        <w:t>ed access to</w:t>
      </w:r>
      <w:r>
        <w:rPr>
          <w:rFonts w:cs="Times New Roman"/>
        </w:rPr>
        <w:t xml:space="preserve"> individual</w:t>
      </w:r>
      <w:r w:rsidR="00BE72A0">
        <w:rPr>
          <w:rFonts w:cs="Times New Roman"/>
        </w:rPr>
        <w:t xml:space="preserve"> data </w:t>
      </w:r>
      <w:r w:rsidR="006F59B6" w:rsidRPr="000C6F23">
        <w:rPr>
          <w:rFonts w:cs="Times New Roman"/>
        </w:rPr>
        <w:t xml:space="preserve">prevents </w:t>
      </w:r>
      <w:r w:rsidR="005778F3">
        <w:rPr>
          <w:rFonts w:cs="Times New Roman"/>
        </w:rPr>
        <w:t>deeper</w:t>
      </w:r>
      <w:r w:rsidR="00D92D13">
        <w:rPr>
          <w:rFonts w:cs="Times New Roman"/>
        </w:rPr>
        <w:t xml:space="preserve"> </w:t>
      </w:r>
      <w:r w:rsidR="005778F3">
        <w:rPr>
          <w:rFonts w:cs="Times New Roman"/>
        </w:rPr>
        <w:t>scrutiny</w:t>
      </w:r>
      <w:r w:rsidR="00D32A1A">
        <w:rPr>
          <w:rFonts w:cs="Times New Roman"/>
        </w:rPr>
        <w:t xml:space="preserve">, </w:t>
      </w:r>
      <w:r w:rsidR="00CF55DB">
        <w:rPr>
          <w:rFonts w:cs="Times New Roman"/>
        </w:rPr>
        <w:t>with</w:t>
      </w:r>
      <w:r w:rsidR="00114D94">
        <w:rPr>
          <w:rFonts w:cs="Times New Roman"/>
        </w:rPr>
        <w:t xml:space="preserve"> potentially</w:t>
      </w:r>
      <w:r w:rsidR="00CF55DB">
        <w:rPr>
          <w:rFonts w:cs="Times New Roman"/>
        </w:rPr>
        <w:t xml:space="preserve"> non-trivial implications</w:t>
      </w:r>
      <w:r w:rsidR="00D32A1A">
        <w:rPr>
          <w:rFonts w:cs="Times New Roman"/>
        </w:rPr>
        <w:t>—</w:t>
      </w:r>
      <w:r w:rsidR="000E758D">
        <w:rPr>
          <w:rFonts w:cs="Times New Roman"/>
        </w:rPr>
        <w:t>as</w:t>
      </w:r>
      <w:r w:rsidR="00D32A1A">
        <w:rPr>
          <w:rFonts w:cs="Times New Roman"/>
        </w:rPr>
        <w:t xml:space="preserve"> </w:t>
      </w:r>
      <w:r w:rsidR="00DA3556">
        <w:rPr>
          <w:rFonts w:cs="Times New Roman"/>
        </w:rPr>
        <w:t xml:space="preserve">public housing authorities </w:t>
      </w:r>
      <w:r w:rsidR="00CF55DB">
        <w:rPr>
          <w:rFonts w:cs="Times New Roman"/>
        </w:rPr>
        <w:t>allocate significant</w:t>
      </w:r>
      <w:r w:rsidR="00360A48">
        <w:rPr>
          <w:rFonts w:cs="Times New Roman"/>
        </w:rPr>
        <w:t xml:space="preserve"> </w:t>
      </w:r>
      <w:r w:rsidR="00CF55DB">
        <w:rPr>
          <w:rFonts w:cs="Times New Roman"/>
        </w:rPr>
        <w:t>resources</w:t>
      </w:r>
      <w:r w:rsidR="00360A48">
        <w:rPr>
          <w:rFonts w:cs="Times New Roman"/>
        </w:rPr>
        <w:t xml:space="preserve"> to re-house families</w:t>
      </w:r>
      <w:r w:rsidR="00CF55DB">
        <w:rPr>
          <w:rFonts w:cs="Times New Roman"/>
        </w:rPr>
        <w:t xml:space="preserve"> within</w:t>
      </w:r>
      <w:r w:rsidR="00360A48">
        <w:rPr>
          <w:rFonts w:cs="Times New Roman"/>
        </w:rPr>
        <w:t xml:space="preserve"> specific </w:t>
      </w:r>
      <w:r w:rsidR="00CF55DB">
        <w:rPr>
          <w:rFonts w:cs="Times New Roman"/>
        </w:rPr>
        <w:t>census tracts</w:t>
      </w:r>
      <w:r w:rsidR="00114D94">
        <w:rPr>
          <w:rFonts w:cs="Times New Roman"/>
        </w:rPr>
        <w:t xml:space="preserve"> based on this</w:t>
      </w:r>
      <w:r w:rsidR="00360A48">
        <w:rPr>
          <w:rFonts w:cs="Times New Roman"/>
        </w:rPr>
        <w:t xml:space="preserve"> research (Badger</w:t>
      </w:r>
      <w:r w:rsidR="000E1229">
        <w:rPr>
          <w:rFonts w:cs="Times New Roman"/>
        </w:rPr>
        <w:t>, 2018</w:t>
      </w:r>
      <w:r w:rsidR="00360A48">
        <w:rPr>
          <w:rFonts w:cs="Times New Roman"/>
        </w:rPr>
        <w:t>)</w:t>
      </w:r>
      <w:r w:rsidR="000E1229">
        <w:rPr>
          <w:rFonts w:cs="Times New Roman"/>
        </w:rPr>
        <w:t>.</w:t>
      </w:r>
    </w:p>
    <w:p w:rsidR="004523CC" w:rsidRDefault="006F59B6" w:rsidP="00BE72A0">
      <w:pPr>
        <w:spacing w:before="120"/>
        <w:ind w:firstLine="360"/>
        <w:rPr>
          <w:rFonts w:cs="Times New Roman"/>
          <w:color w:val="auto"/>
        </w:rPr>
      </w:pPr>
      <w:r w:rsidRPr="000C6F23">
        <w:t>Map makers also have</w:t>
      </w:r>
      <w:r w:rsidR="00D32A1A">
        <w:t xml:space="preserve"> little control over how </w:t>
      </w:r>
      <w:r w:rsidRPr="000C6F23">
        <w:t>their maps</w:t>
      </w:r>
      <w:r w:rsidR="00D32A1A">
        <w:t xml:space="preserve"> are reused</w:t>
      </w:r>
      <w:r w:rsidRPr="000C6F23">
        <w:t xml:space="preserve">. </w:t>
      </w:r>
      <w:r w:rsidR="009E0456">
        <w:t>O</w:t>
      </w:r>
      <w:r w:rsidRPr="000C6F23">
        <w:t>pportunity map</w:t>
      </w:r>
      <w:r w:rsidR="009E0456">
        <w:t xml:space="preserve"> documentation</w:t>
      </w:r>
      <w:r w:rsidRPr="000C6F23">
        <w:t xml:space="preserve"> may contain context</w:t>
      </w:r>
      <w:r w:rsidR="009E56D1">
        <w:t xml:space="preserve"> framing</w:t>
      </w:r>
      <w:r w:rsidR="00B75693">
        <w:t xml:space="preserve"> to</w:t>
      </w:r>
      <w:r w:rsidRPr="000C6F23">
        <w:t xml:space="preserve"> express limited utility, but that does not stop other </w:t>
      </w:r>
      <w:r w:rsidR="00D32A1A">
        <w:t>organizations</w:t>
      </w:r>
      <w:r w:rsidRPr="000C6F23">
        <w:t xml:space="preserve"> from reus</w:t>
      </w:r>
      <w:r w:rsidR="004523CC" w:rsidRPr="000C6F23">
        <w:t>ing</w:t>
      </w:r>
      <w:r w:rsidRPr="000C6F23">
        <w:t xml:space="preserve"> opportunity maps in</w:t>
      </w:r>
      <w:r w:rsidR="004F52E1" w:rsidRPr="000C6F23">
        <w:t xml:space="preserve"> unintended </w:t>
      </w:r>
      <w:r w:rsidRPr="000C6F23">
        <w:t xml:space="preserve">ways. </w:t>
      </w:r>
      <w:r w:rsidR="004F52E1" w:rsidRPr="000C6F23">
        <w:t xml:space="preserve"> </w:t>
      </w:r>
      <w:r w:rsidR="000E758D">
        <w:t xml:space="preserve">Resource-challenged </w:t>
      </w:r>
      <w:r w:rsidR="000037E6">
        <w:t>organizations</w:t>
      </w:r>
      <w:r w:rsidR="009E56D1">
        <w:t xml:space="preserve"> </w:t>
      </w:r>
      <w:r w:rsidR="000E758D">
        <w:t>may</w:t>
      </w:r>
      <w:r w:rsidR="004523CC" w:rsidRPr="000C6F23">
        <w:rPr>
          <w:rFonts w:cs="Times New Roman"/>
          <w:color w:val="auto"/>
        </w:rPr>
        <w:t xml:space="preserve"> default to </w:t>
      </w:r>
      <w:r w:rsidR="003B156B">
        <w:rPr>
          <w:rFonts w:cs="Times New Roman"/>
          <w:color w:val="auto"/>
        </w:rPr>
        <w:t xml:space="preserve">using </w:t>
      </w:r>
      <w:r w:rsidR="004523CC" w:rsidRPr="000C6F23">
        <w:rPr>
          <w:rFonts w:cs="Times New Roman"/>
          <w:color w:val="auto"/>
        </w:rPr>
        <w:t>what</w:t>
      </w:r>
      <w:r w:rsidR="003B156B">
        <w:rPr>
          <w:rFonts w:cs="Times New Roman"/>
          <w:color w:val="auto"/>
        </w:rPr>
        <w:t>ever map</w:t>
      </w:r>
      <w:r w:rsidR="004523CC" w:rsidRPr="000C6F23">
        <w:rPr>
          <w:rFonts w:cs="Times New Roman"/>
          <w:color w:val="auto"/>
        </w:rPr>
        <w:t xml:space="preserve"> </w:t>
      </w:r>
      <w:r w:rsidR="000E758D">
        <w:rPr>
          <w:rFonts w:cs="Times New Roman"/>
          <w:color w:val="auto"/>
        </w:rPr>
        <w:t>is available, as an alternative to using nothing at all.</w:t>
      </w:r>
      <w:r w:rsidR="003B156B">
        <w:rPr>
          <w:rFonts w:cs="Times New Roman"/>
          <w:color w:val="auto"/>
        </w:rPr>
        <w:t xml:space="preserve"> </w:t>
      </w:r>
      <w:r w:rsidR="00C4502E">
        <w:rPr>
          <w:rFonts w:cs="Times New Roman"/>
          <w:color w:val="auto"/>
        </w:rPr>
        <w:t>Emphasizing level</w:t>
      </w:r>
      <w:r w:rsidR="00B75693">
        <w:rPr>
          <w:rFonts w:cs="Times New Roman"/>
          <w:color w:val="auto"/>
        </w:rPr>
        <w:t>s</w:t>
      </w:r>
      <w:r w:rsidR="00C4502E">
        <w:rPr>
          <w:rFonts w:cs="Times New Roman"/>
          <w:color w:val="auto"/>
        </w:rPr>
        <w:t xml:space="preserve"> of known uncertainty within documentation is one mitigation technique. </w:t>
      </w:r>
      <w:r w:rsidR="009E56D1">
        <w:rPr>
          <w:rFonts w:cs="Times New Roman"/>
          <w:color w:val="auto"/>
        </w:rPr>
        <w:t xml:space="preserve"> </w:t>
      </w:r>
      <w:r w:rsidR="00B10C54">
        <w:rPr>
          <w:rFonts w:cs="Times New Roman"/>
          <w:color w:val="auto"/>
        </w:rPr>
        <w:t>O</w:t>
      </w:r>
      <w:r w:rsidR="009E56D1">
        <w:rPr>
          <w:rFonts w:cs="Times New Roman"/>
          <w:color w:val="auto"/>
        </w:rPr>
        <w:t xml:space="preserve">ther actors may </w:t>
      </w:r>
      <w:r w:rsidR="00E820D1">
        <w:rPr>
          <w:rFonts w:cs="Times New Roman"/>
          <w:color w:val="auto"/>
        </w:rPr>
        <w:t xml:space="preserve">try to </w:t>
      </w:r>
      <w:r w:rsidR="000E758D">
        <w:rPr>
          <w:rFonts w:cs="Times New Roman"/>
          <w:color w:val="auto"/>
        </w:rPr>
        <w:t xml:space="preserve">take </w:t>
      </w:r>
      <w:r w:rsidR="00E820D1">
        <w:rPr>
          <w:rFonts w:cs="Times New Roman"/>
          <w:color w:val="auto"/>
        </w:rPr>
        <w:t xml:space="preserve">advantage with knowledge reuse in unsupported ways. </w:t>
      </w:r>
      <w:r w:rsidR="003B156B">
        <w:rPr>
          <w:rFonts w:cs="Times New Roman"/>
          <w:color w:val="auto"/>
        </w:rPr>
        <w:t xml:space="preserve">For example, the </w:t>
      </w:r>
      <w:proofErr w:type="spellStart"/>
      <w:r w:rsidR="003B156B">
        <w:rPr>
          <w:rFonts w:cs="Times New Roman"/>
          <w:color w:val="auto"/>
        </w:rPr>
        <w:t>Jarmin</w:t>
      </w:r>
      <w:proofErr w:type="spellEnd"/>
      <w:r w:rsidR="003B156B">
        <w:rPr>
          <w:rFonts w:cs="Times New Roman"/>
          <w:color w:val="auto"/>
        </w:rPr>
        <w:t xml:space="preserve"> index</w:t>
      </w:r>
      <w:r w:rsidR="00BF2FB8">
        <w:rPr>
          <w:rFonts w:cs="Times New Roman"/>
          <w:color w:val="auto"/>
        </w:rPr>
        <w:t>, which identified health opportunity in the UK, was s</w:t>
      </w:r>
      <w:r w:rsidR="00DF1D3E">
        <w:rPr>
          <w:rFonts w:cs="Times New Roman"/>
          <w:color w:val="auto"/>
        </w:rPr>
        <w:t>ubsequent</w:t>
      </w:r>
      <w:r w:rsidR="00BF2FB8">
        <w:rPr>
          <w:rFonts w:cs="Times New Roman"/>
          <w:color w:val="auto"/>
        </w:rPr>
        <w:t xml:space="preserve">ly </w:t>
      </w:r>
      <w:r w:rsidR="006C5A34">
        <w:rPr>
          <w:rFonts w:cs="Times New Roman"/>
          <w:color w:val="auto"/>
        </w:rPr>
        <w:t>re</w:t>
      </w:r>
      <w:r w:rsidR="00BF2FB8">
        <w:rPr>
          <w:rFonts w:cs="Times New Roman"/>
          <w:color w:val="auto"/>
        </w:rPr>
        <w:t>used</w:t>
      </w:r>
      <w:r w:rsidR="000E758D">
        <w:rPr>
          <w:rFonts w:cs="Times New Roman"/>
          <w:color w:val="auto"/>
        </w:rPr>
        <w:t xml:space="preserve"> in the 1990s</w:t>
      </w:r>
      <w:r w:rsidR="00BF2FB8">
        <w:rPr>
          <w:rFonts w:cs="Times New Roman"/>
          <w:color w:val="auto"/>
        </w:rPr>
        <w:t xml:space="preserve"> to</w:t>
      </w:r>
      <w:r w:rsidR="003B156B">
        <w:rPr>
          <w:rFonts w:cs="Times New Roman"/>
          <w:color w:val="auto"/>
        </w:rPr>
        <w:t xml:space="preserve"> determine </w:t>
      </w:r>
      <w:r w:rsidR="00BF2FB8">
        <w:rPr>
          <w:rFonts w:cs="Times New Roman"/>
          <w:color w:val="auto"/>
        </w:rPr>
        <w:t>general practitioner pay</w:t>
      </w:r>
      <w:r w:rsidR="003B156B">
        <w:rPr>
          <w:rFonts w:cs="Times New Roman"/>
          <w:color w:val="auto"/>
        </w:rPr>
        <w:t xml:space="preserve"> differentials</w:t>
      </w:r>
      <w:r w:rsidR="00BF2FB8">
        <w:rPr>
          <w:rFonts w:cs="Times New Roman"/>
          <w:color w:val="auto"/>
        </w:rPr>
        <w:t xml:space="preserve">, </w:t>
      </w:r>
      <w:r w:rsidR="006C5A34">
        <w:rPr>
          <w:rFonts w:cs="Times New Roman"/>
          <w:color w:val="auto"/>
        </w:rPr>
        <w:t xml:space="preserve">even </w:t>
      </w:r>
      <w:r w:rsidR="00BF2FB8">
        <w:rPr>
          <w:rFonts w:cs="Times New Roman"/>
          <w:color w:val="auto"/>
        </w:rPr>
        <w:t>with no evidence that</w:t>
      </w:r>
      <w:r w:rsidR="000E758D">
        <w:rPr>
          <w:rFonts w:cs="Times New Roman"/>
          <w:color w:val="auto"/>
        </w:rPr>
        <w:t xml:space="preserve"> the</w:t>
      </w:r>
      <w:r w:rsidR="00BF2FB8">
        <w:rPr>
          <w:rFonts w:cs="Times New Roman"/>
          <w:color w:val="auto"/>
        </w:rPr>
        <w:t xml:space="preserve"> index score correlated to</w:t>
      </w:r>
      <w:r w:rsidR="006C5A34">
        <w:rPr>
          <w:rFonts w:cs="Times New Roman"/>
          <w:color w:val="auto"/>
        </w:rPr>
        <w:t xml:space="preserve"> any</w:t>
      </w:r>
      <w:r w:rsidR="00BF2FB8">
        <w:rPr>
          <w:rFonts w:cs="Times New Roman"/>
          <w:color w:val="auto"/>
        </w:rPr>
        <w:t xml:space="preserve"> workload</w:t>
      </w:r>
      <w:r w:rsidR="006C5A34">
        <w:rPr>
          <w:rFonts w:cs="Times New Roman"/>
          <w:color w:val="auto"/>
        </w:rPr>
        <w:t xml:space="preserve"> differences</w:t>
      </w:r>
      <w:r w:rsidR="000E1229">
        <w:rPr>
          <w:rFonts w:cs="Times New Roman"/>
          <w:color w:val="auto"/>
        </w:rPr>
        <w:t xml:space="preserve"> </w:t>
      </w:r>
      <w:r w:rsidR="00BF2FB8">
        <w:rPr>
          <w:rFonts w:cs="Times New Roman"/>
          <w:color w:val="auto"/>
        </w:rPr>
        <w:t>(Smith</w:t>
      </w:r>
      <w:r w:rsidR="000E1229">
        <w:rPr>
          <w:rFonts w:cs="Times New Roman"/>
          <w:color w:val="auto"/>
        </w:rPr>
        <w:t>, 1991</w:t>
      </w:r>
      <w:r w:rsidR="00BF2FB8">
        <w:rPr>
          <w:rFonts w:cs="Times New Roman"/>
          <w:color w:val="auto"/>
        </w:rPr>
        <w:t>)</w:t>
      </w:r>
      <w:r w:rsidR="000E1229">
        <w:rPr>
          <w:rFonts w:cs="Times New Roman"/>
          <w:color w:val="auto"/>
        </w:rPr>
        <w:t>.</w:t>
      </w:r>
      <w:r w:rsidR="00114D94">
        <w:rPr>
          <w:rFonts w:cs="Times New Roman"/>
          <w:color w:val="auto"/>
        </w:rPr>
        <w:t xml:space="preserve"> </w:t>
      </w:r>
    </w:p>
    <w:p w:rsidR="004F52E1" w:rsidRDefault="00F117F0" w:rsidP="00BE72A0">
      <w:pPr>
        <w:spacing w:before="120"/>
        <w:ind w:firstLine="360"/>
      </w:pPr>
      <w:r>
        <w:rPr>
          <w:rFonts w:cs="Times New Roman"/>
          <w:color w:val="auto"/>
        </w:rPr>
        <w:t xml:space="preserve">Other dilemmas will persist. </w:t>
      </w:r>
      <w:r w:rsidR="00114D94">
        <w:rPr>
          <w:rFonts w:cs="Times New Roman"/>
          <w:color w:val="auto"/>
        </w:rPr>
        <w:t>There is a</w:t>
      </w:r>
      <w:r w:rsidRPr="000C6F23">
        <w:rPr>
          <w:rFonts w:cs="Times New Roman"/>
          <w:color w:val="auto"/>
        </w:rPr>
        <w:t xml:space="preserve"> paradox between the data visualization heuristic, “reduced cognitive load” and the competing need for complete documentation. While data visualization often seeks </w:t>
      </w:r>
      <w:r w:rsidR="00114D94">
        <w:rPr>
          <w:rFonts w:cs="Times New Roman"/>
          <w:color w:val="auto"/>
        </w:rPr>
        <w:t>economic</w:t>
      </w:r>
      <w:r w:rsidRPr="000C6F23">
        <w:rPr>
          <w:rFonts w:cs="Times New Roman"/>
          <w:color w:val="auto"/>
        </w:rPr>
        <w:t xml:space="preserve"> communicat</w:t>
      </w:r>
      <w:r w:rsidR="00114D94">
        <w:rPr>
          <w:rFonts w:cs="Times New Roman"/>
          <w:color w:val="auto"/>
        </w:rPr>
        <w:t xml:space="preserve">ion of </w:t>
      </w:r>
      <w:r w:rsidRPr="000C6F23">
        <w:rPr>
          <w:rFonts w:cs="Times New Roman"/>
          <w:color w:val="auto"/>
        </w:rPr>
        <w:t>complex idea</w:t>
      </w:r>
      <w:r w:rsidR="005778F3">
        <w:rPr>
          <w:rFonts w:cs="Times New Roman"/>
          <w:color w:val="auto"/>
        </w:rPr>
        <w:t>s</w:t>
      </w:r>
      <w:r w:rsidRPr="000C6F23">
        <w:rPr>
          <w:rFonts w:cs="Times New Roman"/>
          <w:color w:val="auto"/>
        </w:rPr>
        <w:t xml:space="preserve">, layers of supplement, documentation, interactivity, and alternative representations </w:t>
      </w:r>
      <w:r w:rsidR="00574C11">
        <w:rPr>
          <w:rFonts w:cs="Times New Roman"/>
          <w:color w:val="auto"/>
        </w:rPr>
        <w:t xml:space="preserve">may </w:t>
      </w:r>
      <w:r w:rsidRPr="000C6F23">
        <w:rPr>
          <w:rFonts w:cs="Times New Roman"/>
          <w:color w:val="auto"/>
        </w:rPr>
        <w:t>add to the complexity.</w:t>
      </w:r>
      <w:r w:rsidR="00C4502E">
        <w:rPr>
          <w:rFonts w:cs="Times New Roman"/>
          <w:color w:val="auto"/>
        </w:rPr>
        <w:t xml:space="preserve"> A</w:t>
      </w:r>
      <w:r w:rsidR="00CF55DB">
        <w:rPr>
          <w:rFonts w:cs="Times New Roman"/>
          <w:color w:val="auto"/>
        </w:rPr>
        <w:t>ttempts at amelioration might</w:t>
      </w:r>
      <w:r w:rsidRPr="000C6F23">
        <w:rPr>
          <w:rFonts w:cs="Times New Roman"/>
          <w:color w:val="auto"/>
        </w:rPr>
        <w:t xml:space="preserve"> consider how information is</w:t>
      </w:r>
      <w:r w:rsidRPr="000C6F23">
        <w:t xml:space="preserve"> organized, prioritized </w:t>
      </w:r>
      <w:r w:rsidR="005778F3">
        <w:t>and</w:t>
      </w:r>
      <w:r w:rsidRPr="000C6F23">
        <w:t xml:space="preserve"> employ document wayfinding.</w:t>
      </w:r>
    </w:p>
    <w:p w:rsidR="004A1C1E" w:rsidRDefault="004A1C1E" w:rsidP="00590F89">
      <w:pPr>
        <w:rPr>
          <w:b/>
          <w:shd w:val="clear" w:color="auto" w:fill="FFFFFF"/>
        </w:rPr>
      </w:pPr>
    </w:p>
    <w:p w:rsidR="00EB3EB8" w:rsidRPr="00673EB3" w:rsidRDefault="00EB3EB8" w:rsidP="00590F89">
      <w:pPr>
        <w:rPr>
          <w:b/>
          <w:shd w:val="clear" w:color="auto" w:fill="FFFFFF"/>
        </w:rPr>
      </w:pPr>
      <w:r w:rsidRPr="00673EB3">
        <w:rPr>
          <w:b/>
          <w:shd w:val="clear" w:color="auto" w:fill="FFFFFF"/>
        </w:rPr>
        <w:t>References</w:t>
      </w:r>
    </w:p>
    <w:p w:rsidR="00EB3EB8" w:rsidRPr="00360A48" w:rsidRDefault="00EB3EB8" w:rsidP="00590F89">
      <w:pPr>
        <w:rPr>
          <w:shd w:val="clear" w:color="auto" w:fill="FFFFFF"/>
        </w:rPr>
      </w:pPr>
    </w:p>
    <w:p w:rsidR="00360A48" w:rsidRPr="00360A48" w:rsidRDefault="00360A48" w:rsidP="00590F89">
      <w:pPr>
        <w:rPr>
          <w:shd w:val="clear" w:color="auto" w:fill="FFFFFF"/>
        </w:rPr>
      </w:pPr>
      <w:r w:rsidRPr="00360A48">
        <w:rPr>
          <w:shd w:val="clear" w:color="auto" w:fill="FFFFFF"/>
        </w:rPr>
        <w:t>Badger, E., &amp; Bui, Q. (2018, October 01). Detailed Maps Show How Neighborhoods Shape Children for Life. Retrieved June 19, 2019, from https://www.nytimes.com/2018/10/01/upshot/maps-neighborhoods-shape-child-poverty.html</w:t>
      </w:r>
    </w:p>
    <w:p w:rsidR="00360A48" w:rsidRPr="00360A48" w:rsidRDefault="00360A48" w:rsidP="00590F89">
      <w:pPr>
        <w:rPr>
          <w:shd w:val="clear" w:color="auto" w:fill="FFFFFF"/>
        </w:rPr>
      </w:pPr>
    </w:p>
    <w:p w:rsidR="00FA06DF" w:rsidRPr="00360A48" w:rsidRDefault="00FA06DF" w:rsidP="00590F89">
      <w:pPr>
        <w:rPr>
          <w:shd w:val="clear" w:color="auto" w:fill="FFFFFF"/>
        </w:rPr>
      </w:pPr>
      <w:proofErr w:type="spellStart"/>
      <w:r w:rsidRPr="00360A48">
        <w:rPr>
          <w:shd w:val="clear" w:color="auto" w:fill="FFFFFF"/>
        </w:rPr>
        <w:t>Chetty</w:t>
      </w:r>
      <w:proofErr w:type="spellEnd"/>
      <w:r w:rsidRPr="00360A48">
        <w:rPr>
          <w:shd w:val="clear" w:color="auto" w:fill="FFFFFF"/>
        </w:rPr>
        <w:t xml:space="preserve">, R., Friedman, J., </w:t>
      </w:r>
      <w:proofErr w:type="spellStart"/>
      <w:r w:rsidRPr="00360A48">
        <w:rPr>
          <w:shd w:val="clear" w:color="auto" w:fill="FFFFFF"/>
        </w:rPr>
        <w:t>Hendren</w:t>
      </w:r>
      <w:proofErr w:type="spellEnd"/>
      <w:r w:rsidRPr="00360A48">
        <w:rPr>
          <w:shd w:val="clear" w:color="auto" w:fill="FFFFFF"/>
        </w:rPr>
        <w:t xml:space="preserve">, N., Jones, M. R., &amp; Porter, S. R. (2018, October). The Opportunity Atlas: Mapping the Childhood Roots of Social Mobility. Retrieved June 19, 2019, from </w:t>
      </w:r>
      <w:hyperlink r:id="rId5" w:history="1">
        <w:r w:rsidRPr="00E45653">
          <w:rPr>
            <w:rStyle w:val="Hyperlink"/>
            <w:color w:val="000000" w:themeColor="text1"/>
            <w:u w:val="none"/>
            <w:shd w:val="clear" w:color="auto" w:fill="FFFFFF"/>
          </w:rPr>
          <w:t>https://opportunityinsights.org/paper/the-opportunity-atlas/</w:t>
        </w:r>
      </w:hyperlink>
    </w:p>
    <w:p w:rsidR="00FA06DF" w:rsidRPr="00360A48" w:rsidRDefault="00FA06DF" w:rsidP="00590F89">
      <w:pPr>
        <w:rPr>
          <w:shd w:val="clear" w:color="auto" w:fill="FFFFFF"/>
        </w:rPr>
      </w:pPr>
    </w:p>
    <w:p w:rsidR="00FA06DF" w:rsidRPr="00360A48" w:rsidRDefault="00FA06DF" w:rsidP="00590F89">
      <w:pPr>
        <w:rPr>
          <w:shd w:val="clear" w:color="auto" w:fill="FFFFFF"/>
        </w:rPr>
      </w:pPr>
      <w:proofErr w:type="spellStart"/>
      <w:r w:rsidRPr="00360A48">
        <w:rPr>
          <w:shd w:val="clear" w:color="auto" w:fill="FFFFFF"/>
        </w:rPr>
        <w:t>Dörk</w:t>
      </w:r>
      <w:proofErr w:type="spellEnd"/>
      <w:r w:rsidRPr="00360A48">
        <w:rPr>
          <w:shd w:val="clear" w:color="auto" w:fill="FFFFFF"/>
        </w:rPr>
        <w:t xml:space="preserve">, M., Feng, P., Collins, C., &amp; </w:t>
      </w:r>
      <w:proofErr w:type="spellStart"/>
      <w:r w:rsidRPr="00360A48">
        <w:rPr>
          <w:shd w:val="clear" w:color="auto" w:fill="FFFFFF"/>
        </w:rPr>
        <w:t>Carpendale</w:t>
      </w:r>
      <w:proofErr w:type="spellEnd"/>
      <w:r w:rsidRPr="00360A48">
        <w:rPr>
          <w:shd w:val="clear" w:color="auto" w:fill="FFFFFF"/>
        </w:rPr>
        <w:t xml:space="preserve">, S. (2013). Critical </w:t>
      </w:r>
      <w:proofErr w:type="spellStart"/>
      <w:r w:rsidRPr="00360A48">
        <w:rPr>
          <w:shd w:val="clear" w:color="auto" w:fill="FFFFFF"/>
        </w:rPr>
        <w:t>InfoVis</w:t>
      </w:r>
      <w:proofErr w:type="spellEnd"/>
      <w:r w:rsidRPr="00360A48">
        <w:rPr>
          <w:shd w:val="clear" w:color="auto" w:fill="FFFFFF"/>
        </w:rPr>
        <w:t>. </w:t>
      </w:r>
      <w:r w:rsidRPr="00360A48">
        <w:rPr>
          <w:i/>
          <w:iCs/>
        </w:rPr>
        <w:t>CHI 13 Extended Abstracts on Human Factors in Computing Systems on - CHI EA 13</w:t>
      </w:r>
      <w:r w:rsidRPr="00360A48">
        <w:rPr>
          <w:shd w:val="clear" w:color="auto" w:fill="FFFFFF"/>
        </w:rPr>
        <w:t>. doi:10.1145/2468356.2468739</w:t>
      </w:r>
    </w:p>
    <w:p w:rsidR="00EB3EB8" w:rsidRPr="00360A48" w:rsidRDefault="00EB3EB8" w:rsidP="00590F89">
      <w:pPr>
        <w:rPr>
          <w:shd w:val="clear" w:color="auto" w:fill="FFFFFF"/>
        </w:rPr>
      </w:pPr>
    </w:p>
    <w:p w:rsidR="00D84FA5" w:rsidRPr="00360A48" w:rsidRDefault="00D84FA5" w:rsidP="00590F89">
      <w:pPr>
        <w:rPr>
          <w:rFonts w:cs="Times New Roman"/>
        </w:rPr>
      </w:pPr>
      <w:r w:rsidRPr="00360A48">
        <w:rPr>
          <w:shd w:val="clear" w:color="auto" w:fill="FFFFFF"/>
        </w:rPr>
        <w:t xml:space="preserve">Smith, G. D. (1991). Second thoughts on the </w:t>
      </w:r>
      <w:proofErr w:type="spellStart"/>
      <w:r w:rsidRPr="00360A48">
        <w:rPr>
          <w:shd w:val="clear" w:color="auto" w:fill="FFFFFF"/>
        </w:rPr>
        <w:t>Jarman</w:t>
      </w:r>
      <w:proofErr w:type="spellEnd"/>
      <w:r w:rsidRPr="00360A48">
        <w:rPr>
          <w:shd w:val="clear" w:color="auto" w:fill="FFFFFF"/>
        </w:rPr>
        <w:t xml:space="preserve"> index. </w:t>
      </w:r>
      <w:r w:rsidRPr="00360A48">
        <w:rPr>
          <w:i/>
          <w:iCs/>
        </w:rPr>
        <w:t>Bmj</w:t>
      </w:r>
      <w:proofErr w:type="gramStart"/>
      <w:r w:rsidRPr="00360A48">
        <w:rPr>
          <w:i/>
          <w:iCs/>
        </w:rPr>
        <w:t>,302</w:t>
      </w:r>
      <w:proofErr w:type="gramEnd"/>
      <w:r w:rsidRPr="00360A48">
        <w:rPr>
          <w:shd w:val="clear" w:color="auto" w:fill="FFFFFF"/>
        </w:rPr>
        <w:t>(6773), 359-360. doi:10.1136/bmj.302.6773.359</w:t>
      </w:r>
    </w:p>
    <w:sectPr w:rsidR="00D84FA5" w:rsidRPr="0036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114CE"/>
    <w:multiLevelType w:val="hybridMultilevel"/>
    <w:tmpl w:val="C7AE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F5375"/>
    <w:multiLevelType w:val="hybridMultilevel"/>
    <w:tmpl w:val="E60C1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E9613A"/>
    <w:multiLevelType w:val="hybridMultilevel"/>
    <w:tmpl w:val="705C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558FA"/>
    <w:multiLevelType w:val="hybridMultilevel"/>
    <w:tmpl w:val="5AAE5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4BFC"/>
    <w:multiLevelType w:val="hybridMultilevel"/>
    <w:tmpl w:val="B1E4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5F"/>
    <w:rsid w:val="000037E6"/>
    <w:rsid w:val="00047D76"/>
    <w:rsid w:val="000C6F23"/>
    <w:rsid w:val="000E1229"/>
    <w:rsid w:val="000E758D"/>
    <w:rsid w:val="00114D94"/>
    <w:rsid w:val="001162E8"/>
    <w:rsid w:val="00170A03"/>
    <w:rsid w:val="001A221B"/>
    <w:rsid w:val="001A2F5F"/>
    <w:rsid w:val="001D280D"/>
    <w:rsid w:val="00260CCF"/>
    <w:rsid w:val="00272738"/>
    <w:rsid w:val="002C707F"/>
    <w:rsid w:val="003047C6"/>
    <w:rsid w:val="00322F07"/>
    <w:rsid w:val="00360A48"/>
    <w:rsid w:val="0038113F"/>
    <w:rsid w:val="003B156B"/>
    <w:rsid w:val="003F56A7"/>
    <w:rsid w:val="004523CC"/>
    <w:rsid w:val="00470EB1"/>
    <w:rsid w:val="004A1C1E"/>
    <w:rsid w:val="004B7C29"/>
    <w:rsid w:val="004D41A5"/>
    <w:rsid w:val="004D651E"/>
    <w:rsid w:val="004E0F77"/>
    <w:rsid w:val="004F52E1"/>
    <w:rsid w:val="00520F31"/>
    <w:rsid w:val="005545B0"/>
    <w:rsid w:val="00574C11"/>
    <w:rsid w:val="005778F3"/>
    <w:rsid w:val="0058177A"/>
    <w:rsid w:val="005828E8"/>
    <w:rsid w:val="00586479"/>
    <w:rsid w:val="00590F89"/>
    <w:rsid w:val="005B2CFE"/>
    <w:rsid w:val="005B3084"/>
    <w:rsid w:val="005F278D"/>
    <w:rsid w:val="00670070"/>
    <w:rsid w:val="00673EB3"/>
    <w:rsid w:val="006C5A34"/>
    <w:rsid w:val="006E2D68"/>
    <w:rsid w:val="006E4969"/>
    <w:rsid w:val="006F59B6"/>
    <w:rsid w:val="00750373"/>
    <w:rsid w:val="00751989"/>
    <w:rsid w:val="00775D56"/>
    <w:rsid w:val="0079058B"/>
    <w:rsid w:val="007E5EBA"/>
    <w:rsid w:val="007F0301"/>
    <w:rsid w:val="00857F04"/>
    <w:rsid w:val="00865AB7"/>
    <w:rsid w:val="008865C0"/>
    <w:rsid w:val="00886889"/>
    <w:rsid w:val="008D267F"/>
    <w:rsid w:val="008F3424"/>
    <w:rsid w:val="009079E5"/>
    <w:rsid w:val="00951335"/>
    <w:rsid w:val="00995263"/>
    <w:rsid w:val="009C2261"/>
    <w:rsid w:val="009E0456"/>
    <w:rsid w:val="009E1C47"/>
    <w:rsid w:val="009E56D1"/>
    <w:rsid w:val="009F1F28"/>
    <w:rsid w:val="00A24B77"/>
    <w:rsid w:val="00A264DA"/>
    <w:rsid w:val="00A30F60"/>
    <w:rsid w:val="00A926ED"/>
    <w:rsid w:val="00AD145E"/>
    <w:rsid w:val="00AD48F7"/>
    <w:rsid w:val="00B07676"/>
    <w:rsid w:val="00B10C54"/>
    <w:rsid w:val="00B75693"/>
    <w:rsid w:val="00B85657"/>
    <w:rsid w:val="00BA1909"/>
    <w:rsid w:val="00BC173D"/>
    <w:rsid w:val="00BD6DB3"/>
    <w:rsid w:val="00BE72A0"/>
    <w:rsid w:val="00BF2FB8"/>
    <w:rsid w:val="00C4502E"/>
    <w:rsid w:val="00C62C34"/>
    <w:rsid w:val="00CF55DB"/>
    <w:rsid w:val="00D04491"/>
    <w:rsid w:val="00D241E8"/>
    <w:rsid w:val="00D32A1A"/>
    <w:rsid w:val="00D51C30"/>
    <w:rsid w:val="00D84FA5"/>
    <w:rsid w:val="00D87A72"/>
    <w:rsid w:val="00D92D13"/>
    <w:rsid w:val="00DA3556"/>
    <w:rsid w:val="00DA58F1"/>
    <w:rsid w:val="00DE0306"/>
    <w:rsid w:val="00DF1D3E"/>
    <w:rsid w:val="00DF2669"/>
    <w:rsid w:val="00E45653"/>
    <w:rsid w:val="00E67B2C"/>
    <w:rsid w:val="00E820D1"/>
    <w:rsid w:val="00EB3EB8"/>
    <w:rsid w:val="00EC25DC"/>
    <w:rsid w:val="00EF40BF"/>
    <w:rsid w:val="00F117F0"/>
    <w:rsid w:val="00F26835"/>
    <w:rsid w:val="00F639EC"/>
    <w:rsid w:val="00FA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32EB5-529D-4D2E-9E62-770DEE97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color w:val="000000" w:themeColor="tex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9B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8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8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5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portunityinsights.org/paper/the-opportunity-atl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A0E3E21E</Template>
  <TotalTime>297</TotalTime>
  <Pages>3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Seattle Public Library</Company>
  <LinksUpToDate>false</LinksUpToDate>
  <CharactersWithSpaces>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Christensen</dc:creator>
  <cp:keywords/>
  <dc:description/>
  <cp:lastModifiedBy>David Christensen</cp:lastModifiedBy>
  <cp:revision>20</cp:revision>
  <cp:lastPrinted>2019-07-08T23:12:00Z</cp:lastPrinted>
  <dcterms:created xsi:type="dcterms:W3CDTF">2019-07-08T18:44:00Z</dcterms:created>
  <dcterms:modified xsi:type="dcterms:W3CDTF">2019-07-08T23:44:00Z</dcterms:modified>
</cp:coreProperties>
</file>