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BİST 30 Hisse Bildirimleri Veri Kümesi Özeti (Şub–May 2026)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4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Hisse Senedi</w:t>
            </w:r>
          </w:p>
        </w:tc>
        <w:tc>
          <w:tcPr>
            <w:tcW w:type="dxa" w:w="1296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Bildirim</w:t>
              <w:br/>
              <w:t>Sayısı</w:t>
            </w:r>
          </w:p>
        </w:tc>
        <w:tc>
          <w:tcPr>
            <w:tcW w:type="dxa" w:w="1152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PDF</w:t>
              <w:br/>
              <w:t>Sayısı</w:t>
            </w:r>
          </w:p>
        </w:tc>
        <w:tc>
          <w:tcPr>
            <w:tcW w:type="dxa" w:w="1440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Finansal</w:t>
              <w:br/>
              <w:t>Rapor (FR)</w:t>
            </w:r>
          </w:p>
        </w:tc>
        <w:tc>
          <w:tcPr>
            <w:tcW w:type="dxa" w:w="1872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Özel Durum</w:t>
              <w:br/>
              <w:t>Açıklaması (ODA)</w:t>
            </w:r>
          </w:p>
        </w:tc>
        <w:tc>
          <w:tcPr>
            <w:tcW w:type="dxa" w:w="1296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Diğer</w:t>
              <w:br/>
              <w:t>Bildirimler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EKGYO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127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</w:tr>
      <w:tr>
        <w:tc>
          <w:tcPr>
            <w:tcW w:type="dxa" w:w="1584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b/>
                <w:sz w:val="18"/>
              </w:rPr>
              <w:t>GARAN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VAKBN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</w:tr>
      <w:tr>
        <w:tc>
          <w:tcPr>
            <w:tcW w:type="dxa" w:w="1584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b/>
                <w:sz w:val="18"/>
              </w:rPr>
              <w:t>SASA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AKBNK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</w:tr>
      <w:tr>
        <w:tc>
          <w:tcPr>
            <w:tcW w:type="dxa" w:w="1584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b/>
                <w:sz w:val="18"/>
              </w:rPr>
              <w:t>ISCTR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ASTOR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</w:tr>
      <w:tr>
        <w:tc>
          <w:tcPr>
            <w:tcW w:type="dxa" w:w="1584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b/>
                <w:sz w:val="18"/>
              </w:rPr>
              <w:t>KRDMD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MGROS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</w:tr>
      <w:tr>
        <w:tc>
          <w:tcPr>
            <w:tcW w:type="dxa" w:w="1584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b/>
                <w:sz w:val="18"/>
              </w:rPr>
              <w:t>DSTKF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SISE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</w:tr>
      <w:tr>
        <w:tc>
          <w:tcPr>
            <w:tcW w:type="dxa" w:w="1584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b/>
                <w:sz w:val="18"/>
              </w:rPr>
              <w:t>EREGL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GUBRF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584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b/>
                <w:sz w:val="18"/>
              </w:rPr>
              <w:t>SAHOL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AEFES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</w:tr>
      <w:tr>
        <w:tc>
          <w:tcPr>
            <w:tcW w:type="dxa" w:w="1584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b/>
                <w:sz w:val="18"/>
              </w:rPr>
              <w:t>TUPRS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TTKOM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</w:tr>
      <w:tr>
        <w:tc>
          <w:tcPr>
            <w:tcW w:type="dxa" w:w="1584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b/>
                <w:sz w:val="18"/>
              </w:rPr>
              <w:t>CIMSA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FROTO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</w:tr>
      <w:tr>
        <w:tc>
          <w:tcPr>
            <w:tcW w:type="dxa" w:w="1584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b/>
                <w:sz w:val="18"/>
              </w:rPr>
              <w:t>TAVHL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BIMAS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</w:tr>
      <w:tr>
        <w:tc>
          <w:tcPr>
            <w:tcW w:type="dxa" w:w="1584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b/>
                <w:sz w:val="18"/>
              </w:rPr>
              <w:t>KCHOL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PGSUS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1584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b/>
                <w:sz w:val="18"/>
              </w:rPr>
              <w:t>TCELL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TRALT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1584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b/>
                <w:sz w:val="18"/>
              </w:rPr>
              <w:t>THYAO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PETKM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1584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b/>
                <w:sz w:val="18"/>
              </w:rPr>
              <w:t>ENKAI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TOASO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296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</w:tr>
      <w:tr>
        <w:tc>
          <w:tcPr>
            <w:tcW w:type="dxa" w:w="1584"/>
            <w:vAlign w:val="center"/>
            <w:shd w:val="clear" w:color="auto" w:fill="D9E1F2"/>
          </w:tcPr>
          <w:p>
            <w:pPr>
              <w:jc w:val="left"/>
            </w:pPr>
            <w:r>
              <w:rPr>
                <w:b/>
                <w:sz w:val="18"/>
              </w:rPr>
              <w:t>ASELS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15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296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</w:tr>
      <w:tr>
        <w:tc>
          <w:tcPr>
            <w:tcW w:type="dxa" w:w="1584"/>
            <w:vAlign w:val="center"/>
            <w:shd w:val="clear" w:color="auto" w:fill="BDD7EE"/>
          </w:tcPr>
          <w:p>
            <w:pPr>
              <w:jc w:val="left"/>
            </w:pPr>
            <w:r>
              <w:rPr>
                <w:b/>
                <w:sz w:val="18"/>
              </w:rPr>
              <w:t>TOPLAM</w:t>
            </w:r>
          </w:p>
        </w:tc>
        <w:tc>
          <w:tcPr>
            <w:tcW w:type="dxa" w:w="1296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1531</w:t>
            </w:r>
          </w:p>
        </w:tc>
        <w:tc>
          <w:tcPr>
            <w:tcW w:type="dxa" w:w="1152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2159</w:t>
            </w:r>
          </w:p>
        </w:tc>
        <w:tc>
          <w:tcPr>
            <w:tcW w:type="dxa" w:w="1440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176</w:t>
            </w:r>
          </w:p>
        </w:tc>
        <w:tc>
          <w:tcPr>
            <w:tcW w:type="dxa" w:w="1872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487</w:t>
            </w:r>
          </w:p>
        </w:tc>
        <w:tc>
          <w:tcPr>
            <w:tcW w:type="dxa" w:w="1296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868</w:t>
            </w:r>
          </w:p>
        </w:tc>
      </w:tr>
    </w:tbl>
    <w:p/>
    <w:p>
      <w:r>
        <w:rPr>
          <w:i/>
          <w:sz w:val="16"/>
        </w:rPr>
        <w:t>Not: FR = Finansal Rapor (çeyrek/yıllık mali tablolar); ODA = Özel Durum Açıklaması (maddi olay bildirimleri); Diğer = yönetim kurulu kararları, genel kurul duyuruları ve diğer zorunlu bildirimler. Veriler 18 Şubat – 18 Mayıs 2026 dönemini kapsamaktadır.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