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color w:val="000000" w:themeColor="text1"/>
          <w14:textFill>
            <w14:solidFill>
              <w14:schemeClr w14:val="tx1"/>
            </w14:solidFill>
          </w14:textFill>
        </w:rPr>
      </w:pPr>
      <w:bookmarkStart w:id="0" w:name="OLE_LINK6"/>
      <w:r>
        <w:rPr>
          <w:rFonts w:cs="Times New Roman"/>
          <w:color w:val="FF0000"/>
        </w:rPr>
        <mc:AlternateContent>
          <mc:Choice Requires="wps">
            <w:drawing>
              <wp:anchor distT="0" distB="0" distL="114300" distR="114300" simplePos="0" relativeHeight="251651072" behindDoc="0" locked="0" layoutInCell="1" allowOverlap="1">
                <wp:simplePos x="0" y="0"/>
                <wp:positionH relativeFrom="column">
                  <wp:posOffset>6789420</wp:posOffset>
                </wp:positionH>
                <wp:positionV relativeFrom="paragraph">
                  <wp:posOffset>-635</wp:posOffset>
                </wp:positionV>
                <wp:extent cx="571500" cy="9566910"/>
                <wp:effectExtent l="0" t="0" r="7620" b="3810"/>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571500" cy="9566910"/>
                        </a:xfrm>
                        <a:prstGeom prst="rect">
                          <a:avLst/>
                        </a:prstGeom>
                        <a:solidFill>
                          <a:srgbClr val="FFFFFF"/>
                        </a:solidFill>
                        <a:ln>
                          <a:noFill/>
                        </a:ln>
                      </wps:spPr>
                      <wps:txbx>
                        <w:txbxContent>
                          <w:p>
                            <w:pPr>
                              <w:ind w:firstLine="602"/>
                              <w:jc w:val="center"/>
                              <w:rPr>
                                <w:rFonts w:eastAsia="黑体" w:cs="黑体"/>
                                <w:b/>
                                <w:color w:val="000000" w:themeColor="text1"/>
                                <w:sz w:val="30"/>
                                <w:szCs w:val="30"/>
                                <w14:textFill>
                                  <w14:solidFill>
                                    <w14:schemeClr w14:val="tx1"/>
                                  </w14:solidFill>
                                </w14:textFill>
                              </w:rPr>
                            </w:pPr>
                            <w:permStart w:id="8" w:edGrp="everyone"/>
                            <w:r>
                              <w:rPr>
                                <w:rFonts w:hint="eastAsia" w:eastAsia="黑体" w:cs="黑体"/>
                                <w:b/>
                                <w:color w:val="000000" w:themeColor="text1"/>
                                <w:sz w:val="30"/>
                                <w:szCs w:val="30"/>
                                <w14:textFill>
                                  <w14:solidFill>
                                    <w14:schemeClr w14:val="tx1"/>
                                  </w14:solidFill>
                                </w14:textFill>
                              </w:rPr>
                              <w:t xml:space="preserve">中国移动江苏公司2019年无锡地区5G一期（预商用）无线主设备工程一阶段设计 第一册 </w:t>
                            </w:r>
                            <w:permEnd w:id="8"/>
                          </w:p>
                        </w:txbxContent>
                      </wps:txbx>
                      <wps:bodyPr rot="0" vert="eaVert" wrap="square" lIns="91440" tIns="45720" rIns="91440" bIns="45720" anchor="t" anchorCtr="0" upright="1">
                        <a:noAutofit/>
                      </wps:bodyPr>
                    </wps:wsp>
                  </a:graphicData>
                </a:graphic>
              </wp:anchor>
            </w:drawing>
          </mc:Choice>
          <mc:Fallback>
            <w:pict>
              <v:shape id="_x0000_s1026" o:spid="_x0000_s1026" o:spt="202" type="#_x0000_t202" style="position:absolute;left:0pt;margin-left:534.6pt;margin-top:-0.05pt;height:753.3pt;width:45pt;z-index:251651072;mso-width-relative:page;mso-height-relative:page;" fillcolor="#FFFFFF" filled="t" stroked="f" coordsize="21600,21600" o:gfxdata="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sQfldoAAAAMAQAADwAAAAAA&#10;AAABACAAAAAiAAAAZHJzL2Rvd25yZXYueG1sUEsBAhQAFAAAAAgAh07iQEWjOLARAgAA9AMAAA4A&#10;AAAAAAAAAQAgAAAAKQEAAGRycy9lMm9Eb2MueG1sUEsFBgAAAAAGAAYAWQEAAKwFAAAAAA==&#10;">
                <v:fill on="t" focussize="0,0"/>
                <v:stroke on="f"/>
                <v:imagedata o:title=""/>
                <o:lock v:ext="edit" aspectratio="f"/>
                <v:textbox style="layout-flow:vertical-ideographic;">
                  <w:txbxContent>
                    <w:p>
                      <w:pPr>
                        <w:ind w:firstLine="602"/>
                        <w:jc w:val="center"/>
                        <w:rPr>
                          <w:rFonts w:eastAsia="黑体" w:cs="黑体"/>
                          <w:b/>
                          <w:color w:val="000000" w:themeColor="text1"/>
                          <w:sz w:val="30"/>
                          <w:szCs w:val="30"/>
                          <w14:textFill>
                            <w14:solidFill>
                              <w14:schemeClr w14:val="tx1"/>
                            </w14:solidFill>
                          </w14:textFill>
                        </w:rPr>
                      </w:pPr>
                      <w:permStart w:id="8" w:edGrp="everyone"/>
                      <w:r>
                        <w:rPr>
                          <w:rFonts w:hint="eastAsia" w:eastAsia="黑体" w:cs="黑体"/>
                          <w:b/>
                          <w:color w:val="000000" w:themeColor="text1"/>
                          <w:sz w:val="30"/>
                          <w:szCs w:val="30"/>
                          <w14:textFill>
                            <w14:solidFill>
                              <w14:schemeClr w14:val="tx1"/>
                            </w14:solidFill>
                          </w14:textFill>
                        </w:rPr>
                        <w:t xml:space="preserve">中国移动江苏公司2019年无锡地区5G一期（预商用）无线主设备工程一阶段设计 第一册 </w:t>
                      </w:r>
                      <w:permEnd w:id="8"/>
                    </w:p>
                  </w:txbxContent>
                </v:textbox>
              </v:shape>
            </w:pict>
          </mc:Fallback>
        </mc:AlternateContent>
      </w:r>
      <w:r>
        <w:rPr>
          <w:rFonts w:cs="Times New Roman"/>
          <w:color w:val="FF0000"/>
        </w:rPr>
        <mc:AlternateContent>
          <mc:Choice Requires="wps">
            <w:drawing>
              <wp:anchor distT="0" distB="0" distL="114300" distR="114300" simplePos="0" relativeHeight="251657216" behindDoc="0" locked="0" layoutInCell="1" allowOverlap="1">
                <wp:simplePos x="0" y="0"/>
                <wp:positionH relativeFrom="column">
                  <wp:posOffset>7589520</wp:posOffset>
                </wp:positionH>
                <wp:positionV relativeFrom="paragraph">
                  <wp:posOffset>-99695</wp:posOffset>
                </wp:positionV>
                <wp:extent cx="2171700" cy="495300"/>
                <wp:effectExtent l="0" t="0" r="7620" b="7620"/>
                <wp:wrapTight wrapText="bothSides">
                  <wp:wrapPolygon>
                    <wp:start x="0" y="0"/>
                    <wp:lineTo x="0" y="21268"/>
                    <wp:lineTo x="21524" y="21268"/>
                    <wp:lineTo x="21524" y="0"/>
                    <wp:lineTo x="0" y="0"/>
                  </wp:wrapPolygon>
                </wp:wrapTight>
                <wp:docPr id="22" name="文本框 22"/>
                <wp:cNvGraphicFramePr/>
                <a:graphic xmlns:a="http://schemas.openxmlformats.org/drawingml/2006/main">
                  <a:graphicData uri="http://schemas.microsoft.com/office/word/2010/wordprocessingShape">
                    <wps:wsp>
                      <wps:cNvSpPr txBox="1">
                        <a:spLocks noChangeArrowheads="1"/>
                      </wps:cNvSpPr>
                      <wps:spPr bwMode="auto">
                        <a:xfrm>
                          <a:off x="0" y="0"/>
                          <a:ext cx="2171700" cy="495300"/>
                        </a:xfrm>
                        <a:prstGeom prst="rect">
                          <a:avLst/>
                        </a:prstGeom>
                        <a:solidFill>
                          <a:srgbClr val="FFFFFF"/>
                        </a:solidFill>
                        <a:ln>
                          <a:noFill/>
                        </a:ln>
                      </wps:spPr>
                      <wps:txbx>
                        <w:txbxContent>
                          <w:p>
                            <w:pPr>
                              <w:spacing w:line="280" w:lineRule="exact"/>
                              <w:ind w:firstLine="361"/>
                              <w:jc w:val="left"/>
                              <w:rPr>
                                <w:rFonts w:eastAsia="黑体"/>
                              </w:rPr>
                            </w:pPr>
                            <w:permStart w:id="9" w:edGrp="everyone"/>
                            <w:r>
                              <w:rPr>
                                <w:rFonts w:hint="eastAsia" w:ascii="黑体" w:hAnsi="微软雅黑" w:eastAsia="黑体"/>
                                <w:b/>
                                <w:color w:val="000000"/>
                                <w:sz w:val="18"/>
                                <w:szCs w:val="18"/>
                              </w:rPr>
                              <w:t>项目编码：</w:t>
                            </w:r>
                            <w:bookmarkStart w:id="1132" w:name="B_01_03"/>
                            <w:bookmarkEnd w:id="1132"/>
                            <w:r>
                              <w:rPr>
                                <w:rFonts w:hint="eastAsia" w:ascii="黑体" w:hAnsi="微软雅黑" w:eastAsia="黑体"/>
                                <w:b/>
                                <w:color w:val="000000"/>
                                <w:sz w:val="18"/>
                                <w:szCs w:val="18"/>
                              </w:rPr>
                              <w:t>B19302322141000</w:t>
                            </w:r>
                            <w:permEnd w:id="9"/>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597.6pt;margin-top:-7.85pt;height:39pt;width:171pt;mso-wrap-distance-left:9pt;mso-wrap-distance-right:9pt;z-index:251657216;mso-width-relative:page;mso-height-relative:page;" fillcolor="#FFFFFF" filled="t" stroked="f" coordsize="21600,21600" wrapcoords="0 0 0 21268 21524 21268 21524 0 0 0" o:gfxdata="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qbgjn2QAAAAwBAAAPAAAAAAAAAAEA&#10;IAAAACIAAABkcnMvZG93bnJldi54bWxQSwECFAAUAAAACACHTuJA3yiCWw4CAADyAwAADgAAAAAA&#10;AAABACAAAAAoAQAAZHJzL2Uyb0RvYy54bWxQSwUGAAAAAAYABgBZAQAAqAUAAAAA&#10;">
                <v:fill on="t" focussize="0,0"/>
                <v:stroke on="f"/>
                <v:imagedata o:title=""/>
                <o:lock v:ext="edit" aspectratio="f"/>
                <v:textbox>
                  <w:txbxContent>
                    <w:p>
                      <w:pPr>
                        <w:spacing w:line="280" w:lineRule="exact"/>
                        <w:ind w:firstLine="361"/>
                        <w:jc w:val="left"/>
                        <w:rPr>
                          <w:rFonts w:eastAsia="黑体"/>
                        </w:rPr>
                      </w:pPr>
                      <w:permStart w:id="9" w:edGrp="everyone"/>
                      <w:r>
                        <w:rPr>
                          <w:rFonts w:hint="eastAsia" w:ascii="黑体" w:hAnsi="微软雅黑" w:eastAsia="黑体"/>
                          <w:b/>
                          <w:color w:val="000000"/>
                          <w:sz w:val="18"/>
                          <w:szCs w:val="18"/>
                        </w:rPr>
                        <w:t>项目编码：</w:t>
                      </w:r>
                      <w:bookmarkStart w:id="1132" w:name="B_01_03"/>
                      <w:bookmarkEnd w:id="1132"/>
                      <w:r>
                        <w:rPr>
                          <w:rFonts w:hint="eastAsia" w:ascii="黑体" w:hAnsi="微软雅黑" w:eastAsia="黑体"/>
                          <w:b/>
                          <w:color w:val="000000"/>
                          <w:sz w:val="18"/>
                          <w:szCs w:val="18"/>
                        </w:rPr>
                        <w:t>B19302322141000</w:t>
                      </w:r>
                      <w:permEnd w:id="9"/>
                    </w:p>
                  </w:txbxContent>
                </v:textbox>
                <w10:wrap type="tight"/>
              </v:shape>
            </w:pict>
          </mc:Fallback>
        </mc:AlternateContent>
      </w:r>
      <w:bookmarkStart w:id="1145" w:name="_GoBack"/>
      <w:bookmarkEnd w:id="1145"/>
      <w:r>
        <w:rPr>
          <w:rFonts w:cs="Times New Roman"/>
          <w:color w:val="000000" w:themeColor="text1"/>
          <w14:textFill>
            <w14:solidFill>
              <w14:schemeClr w14:val="tx1"/>
            </w14:solidFill>
          </w14:textFill>
        </w:rPr>
        <mc:AlternateContent>
          <mc:Choice Requires="wps">
            <w:drawing>
              <wp:anchor distT="0" distB="0" distL="114300" distR="114300" simplePos="0" relativeHeight="251678720" behindDoc="0" locked="0" layoutInCell="1" allowOverlap="1">
                <wp:simplePos x="0" y="0"/>
                <wp:positionH relativeFrom="column">
                  <wp:posOffset>7980045</wp:posOffset>
                </wp:positionH>
                <wp:positionV relativeFrom="paragraph">
                  <wp:posOffset>201295</wp:posOffset>
                </wp:positionV>
                <wp:extent cx="6306820" cy="3224530"/>
                <wp:effectExtent l="0" t="0" r="2540" b="6350"/>
                <wp:wrapNone/>
                <wp:docPr id="24" name="文本框 24"/>
                <wp:cNvGraphicFramePr/>
                <a:graphic xmlns:a="http://schemas.openxmlformats.org/drawingml/2006/main">
                  <a:graphicData uri="http://schemas.microsoft.com/office/word/2010/wordprocessingShape">
                    <wps:wsp>
                      <wps:cNvSpPr txBox="1">
                        <a:spLocks noChangeArrowheads="1"/>
                      </wps:cNvSpPr>
                      <wps:spPr bwMode="auto">
                        <a:xfrm>
                          <a:off x="0" y="0"/>
                          <a:ext cx="6306797" cy="3224530"/>
                        </a:xfrm>
                        <a:prstGeom prst="rect">
                          <a:avLst/>
                        </a:prstGeom>
                        <a:solidFill>
                          <a:srgbClr val="FFFFFF"/>
                        </a:solidFill>
                        <a:ln>
                          <a:noFill/>
                        </a:ln>
                      </wps:spPr>
                      <wps:txbx>
                        <w:txbxContent>
                          <w:p>
                            <w:pPr>
                              <w:ind w:firstLine="643"/>
                              <w:jc w:val="center"/>
                              <w:rPr>
                                <w:rFonts w:hint="eastAsia" w:eastAsia="黑体" w:cs="黑体"/>
                                <w:b/>
                                <w:color w:val="000000" w:themeColor="text1"/>
                                <w:sz w:val="36"/>
                                <w:szCs w:val="36"/>
                                <w14:textFill>
                                  <w14:solidFill>
                                    <w14:schemeClr w14:val="tx1"/>
                                  </w14:solidFill>
                                </w14:textFill>
                              </w:rPr>
                            </w:pPr>
                            <w:permStart w:id="10" w:edGrp="everyone"/>
                            <w:r>
                              <w:rPr>
                                <w:rFonts w:hint="eastAsia" w:eastAsia="黑体" w:cs="黑体"/>
                                <w:b/>
                                <w:color w:val="000000" w:themeColor="text1"/>
                                <w:sz w:val="36"/>
                                <w:szCs w:val="36"/>
                                <w14:textFill>
                                  <w14:solidFill>
                                    <w14:schemeClr w14:val="tx1"/>
                                  </w14:solidFill>
                                </w14:textFill>
                              </w:rPr>
                              <w:t>中国移动江苏公司2019年无锡地区5G一期（预商用）无线主设备工程</w:t>
                            </w:r>
                          </w:p>
                          <w:p>
                            <w:pPr>
                              <w:ind w:firstLine="643"/>
                              <w:jc w:val="center"/>
                              <w:rPr>
                                <w:rFonts w:cs="宋体"/>
                                <w:b/>
                                <w:color w:val="000000" w:themeColor="text1"/>
                                <w:sz w:val="32"/>
                                <w:szCs w:val="44"/>
                                <w14:textFill>
                                  <w14:solidFill>
                                    <w14:schemeClr w14:val="tx1"/>
                                  </w14:solidFill>
                                </w14:textFill>
                              </w:rPr>
                            </w:pPr>
                            <w:r>
                              <w:rPr>
                                <w:rFonts w:hint="eastAsia" w:cs="宋体"/>
                                <w:b/>
                                <w:color w:val="000000" w:themeColor="text1"/>
                                <w:sz w:val="32"/>
                                <w:szCs w:val="44"/>
                                <w14:textFill>
                                  <w14:solidFill>
                                    <w14:schemeClr w14:val="tx1"/>
                                  </w14:solidFill>
                                </w14:textFill>
                              </w:rPr>
                              <w:t>一阶段</w:t>
                            </w:r>
                            <w:r>
                              <w:rPr>
                                <w:rFonts w:cs="宋体"/>
                                <w:b/>
                                <w:color w:val="000000" w:themeColor="text1"/>
                                <w:sz w:val="32"/>
                                <w:szCs w:val="44"/>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cs="宋体"/>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cs="宋体"/>
                                <w:b/>
                                <w:color w:val="000000" w:themeColor="text1"/>
                                <w:sz w:val="32"/>
                                <w:szCs w:val="32"/>
                                <w14:textFill>
                                  <w14:solidFill>
                                    <w14:schemeClr w14:val="tx1"/>
                                  </w14:solidFill>
                                </w14:textFill>
                              </w:rPr>
                              <w:t>(全套文件)</w:t>
                            </w:r>
                          </w:p>
                          <w:permEnd w:id="10"/>
                          <w:p>
                            <w:pPr>
                              <w:ind w:firstLine="643"/>
                              <w:jc w:val="center"/>
                              <w:rPr>
                                <w:rFonts w:cs="宋体"/>
                                <w:b/>
                                <w:color w:val="000000" w:themeColor="text1"/>
                                <w:sz w:val="32"/>
                                <w:szCs w:val="32"/>
                                <w14:textFill>
                                  <w14:solidFill>
                                    <w14:schemeClr w14:val="tx1"/>
                                  </w14:solidFill>
                                </w14:textFill>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28.35pt;margin-top:15.85pt;height:253.9pt;width:496.6pt;z-index:251678720;mso-width-relative:page;mso-height-relative:page;" fillcolor="#FFFFFF" filled="t" stroked="f" coordsize="21600,21600" o:gfxdata="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BQAttoAAAAMAQAADwAA&#10;AAAAAAABACAAAAAiAAAAZHJzL2Rvd25yZXYueG1sUEsBAhQAFAAAAAgAh07iQE9ZupEUAgAA8wMA&#10;AA4AAAAAAAAAAQAgAAAAKQEAAGRycy9lMm9Eb2MueG1sUEsFBgAAAAAGAAYAWQEAAK8FAAAAAA==&#10;">
                <v:fill on="t" focussize="0,0"/>
                <v:stroke on="f"/>
                <v:imagedata o:title=""/>
                <o:lock v:ext="edit" aspectratio="f"/>
                <v:textbox>
                  <w:txbxContent>
                    <w:p>
                      <w:pPr>
                        <w:ind w:firstLine="643"/>
                        <w:jc w:val="center"/>
                        <w:rPr>
                          <w:rFonts w:hint="eastAsia" w:eastAsia="黑体" w:cs="黑体"/>
                          <w:b/>
                          <w:color w:val="000000" w:themeColor="text1"/>
                          <w:sz w:val="36"/>
                          <w:szCs w:val="36"/>
                          <w14:textFill>
                            <w14:solidFill>
                              <w14:schemeClr w14:val="tx1"/>
                            </w14:solidFill>
                          </w14:textFill>
                        </w:rPr>
                      </w:pPr>
                      <w:permStart w:id="10" w:edGrp="everyone"/>
                      <w:r>
                        <w:rPr>
                          <w:rFonts w:hint="eastAsia" w:eastAsia="黑体" w:cs="黑体"/>
                          <w:b/>
                          <w:color w:val="000000" w:themeColor="text1"/>
                          <w:sz w:val="36"/>
                          <w:szCs w:val="36"/>
                          <w14:textFill>
                            <w14:solidFill>
                              <w14:schemeClr w14:val="tx1"/>
                            </w14:solidFill>
                          </w14:textFill>
                        </w:rPr>
                        <w:t>中国移动江苏公司2019年无锡地区5G一期（预商用）无线主设备工程</w:t>
                      </w:r>
                    </w:p>
                    <w:p>
                      <w:pPr>
                        <w:ind w:firstLine="643"/>
                        <w:jc w:val="center"/>
                        <w:rPr>
                          <w:rFonts w:cs="宋体"/>
                          <w:b/>
                          <w:color w:val="000000" w:themeColor="text1"/>
                          <w:sz w:val="32"/>
                          <w:szCs w:val="44"/>
                          <w14:textFill>
                            <w14:solidFill>
                              <w14:schemeClr w14:val="tx1"/>
                            </w14:solidFill>
                          </w14:textFill>
                        </w:rPr>
                      </w:pPr>
                      <w:r>
                        <w:rPr>
                          <w:rFonts w:hint="eastAsia" w:cs="宋体"/>
                          <w:b/>
                          <w:color w:val="000000" w:themeColor="text1"/>
                          <w:sz w:val="32"/>
                          <w:szCs w:val="44"/>
                          <w14:textFill>
                            <w14:solidFill>
                              <w14:schemeClr w14:val="tx1"/>
                            </w14:solidFill>
                          </w14:textFill>
                        </w:rPr>
                        <w:t>一阶段</w:t>
                      </w:r>
                      <w:r>
                        <w:rPr>
                          <w:rFonts w:cs="宋体"/>
                          <w:b/>
                          <w:color w:val="000000" w:themeColor="text1"/>
                          <w:sz w:val="32"/>
                          <w:szCs w:val="44"/>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cs="宋体"/>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cs="宋体"/>
                          <w:b/>
                          <w:color w:val="000000" w:themeColor="text1"/>
                          <w:sz w:val="32"/>
                          <w:szCs w:val="32"/>
                          <w14:textFill>
                            <w14:solidFill>
                              <w14:schemeClr w14:val="tx1"/>
                            </w14:solidFill>
                          </w14:textFill>
                        </w:rPr>
                        <w:t>(全套文件)</w:t>
                      </w:r>
                    </w:p>
                    <w:permEnd w:id="10"/>
                    <w:p>
                      <w:pPr>
                        <w:ind w:firstLine="643"/>
                        <w:jc w:val="center"/>
                        <w:rPr>
                          <w:rFonts w:cs="宋体"/>
                          <w:b/>
                          <w:color w:val="000000" w:themeColor="text1"/>
                          <w:sz w:val="32"/>
                          <w:szCs w:val="32"/>
                          <w14:textFill>
                            <w14:solidFill>
                              <w14:schemeClr w14:val="tx1"/>
                            </w14:solidFill>
                          </w14:textFill>
                        </w:rPr>
                      </w:pPr>
                    </w:p>
                  </w:txbxContent>
                </v:textbox>
              </v:shape>
            </w:pict>
          </mc:Fallback>
        </mc:AlternateContent>
      </w:r>
      <w:r>
        <w:rPr>
          <w:rFonts w:ascii="宋体" w:hAnsi="宋体" w:cs="宋体"/>
          <w:color w:val="000000" w:themeColor="text1"/>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8105775</wp:posOffset>
                </wp:positionH>
                <wp:positionV relativeFrom="paragraph">
                  <wp:posOffset>73025</wp:posOffset>
                </wp:positionV>
                <wp:extent cx="235585" cy="280670"/>
                <wp:effectExtent l="0" t="0" r="8255" b="889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35585" cy="280670"/>
                        </a:xfrm>
                        <a:prstGeom prst="rect">
                          <a:avLst/>
                        </a:prstGeom>
                        <a:solidFill>
                          <a:srgbClr val="FFFFFF"/>
                        </a:solidFill>
                        <a:ln>
                          <a:noFill/>
                        </a:ln>
                      </wps:spPr>
                      <wps:txbx>
                        <w:txbxContent>
                          <w:p>
                            <w:pPr>
                              <w:spacing w:line="460" w:lineRule="exact"/>
                              <w:ind w:firstLine="440"/>
                              <w:jc w:val="left"/>
                              <w:rPr>
                                <w:rFonts w:ascii="宋体" w:hAnsi="宋体"/>
                                <w:color w:val="FFFFFF" w:themeColor="background1"/>
                                <w:sz w:val="22"/>
                                <w:szCs w:val="32"/>
                                <w14:textFill>
                                  <w14:solidFill>
                                    <w14:schemeClr w14:val="bg1"/>
                                  </w14:solidFill>
                                </w14:textFill>
                              </w:rPr>
                            </w:pPr>
                            <w:permStart w:id="11" w:edGrp="everyone"/>
                            <w:r>
                              <w:rPr>
                                <w:rFonts w:hint="eastAsia" w:ascii="宋体" w:hAnsi="宋体"/>
                                <w:color w:val="FFFFFF" w:themeColor="background1"/>
                                <w:sz w:val="22"/>
                                <w:szCs w:val="32"/>
                                <w14:textFill>
                                  <w14:solidFill>
                                    <w14:schemeClr w14:val="bg1"/>
                                  </w14:solidFill>
                                </w14:textFill>
                              </w:rPr>
                              <w:t>隐藏区域</w:t>
                            </w:r>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3" w:name="B_00_01"/>
                            <w:bookmarkEnd w:id="1133"/>
                            <w:permStart w:id="12" w:edGrp="owners"/>
                            <w:r>
                              <w:rPr>
                                <w:rFonts w:ascii="宋体" w:hAnsi="宋体"/>
                                <w:color w:val="FFFFFF" w:themeColor="background1"/>
                                <w:sz w:val="22"/>
                                <w:szCs w:val="32"/>
                                <w14:textFill>
                                  <w14:solidFill>
                                    <w14:schemeClr w14:val="bg1"/>
                                  </w14:solidFill>
                                </w14:textFill>
                              </w:rPr>
                              <w:t>2</w:t>
                            </w:r>
                            <w:permEnd w:id="12"/>
                          </w:p>
                          <w:p>
                            <w:pPr>
                              <w:spacing w:line="460" w:lineRule="exact"/>
                              <w:ind w:firstLine="440"/>
                              <w:jc w:val="left"/>
                              <w:rPr>
                                <w:rFonts w:ascii="宋体" w:hAnsi="宋体"/>
                                <w:color w:val="FFFFFF" w:themeColor="background1"/>
                                <w:sz w:val="22"/>
                                <w:szCs w:val="32"/>
                                <w14:textFill>
                                  <w14:solidFill>
                                    <w14:schemeClr w14:val="bg1"/>
                                  </w14:solidFill>
                                </w14:textFill>
                              </w:rPr>
                            </w:pPr>
                            <w:permStart w:id="13" w:edGrp="owners"/>
                            <w:bookmarkStart w:id="1134" w:name="B_00_02"/>
                            <w:bookmarkEnd w:id="1134"/>
                            <w:r>
                              <w:rPr>
                                <w:rFonts w:ascii="宋体" w:hAnsi="宋体"/>
                                <w:color w:val="FFFFFF" w:themeColor="background1"/>
                                <w:sz w:val="22"/>
                                <w:szCs w:val="32"/>
                                <w14:textFill>
                                  <w14:solidFill>
                                    <w14:schemeClr w14:val="bg1"/>
                                  </w14:solidFill>
                                </w14:textFill>
                              </w:rPr>
                              <w:t>20161121160150</w:t>
                            </w:r>
                            <w:permEnd w:id="13"/>
                          </w:p>
                          <w:p>
                            <w:pPr>
                              <w:spacing w:line="460" w:lineRule="exact"/>
                              <w:ind w:firstLine="440"/>
                              <w:jc w:val="left"/>
                              <w:rPr>
                                <w:rFonts w:ascii="宋体" w:hAnsi="宋体"/>
                                <w:color w:val="FFFFFF" w:themeColor="background1"/>
                                <w:sz w:val="22"/>
                                <w:szCs w:val="32"/>
                                <w14:textFill>
                                  <w14:solidFill>
                                    <w14:schemeClr w14:val="bg1"/>
                                  </w14:solidFill>
                                </w14:textFill>
                              </w:rPr>
                            </w:pPr>
                            <w:permStart w:id="14" w:edGrp="owners"/>
                            <w:bookmarkStart w:id="1135" w:name="B_00_03"/>
                            <w:bookmarkEnd w:id="1135"/>
                            <w:r>
                              <w:rPr>
                                <w:rFonts w:ascii="宋体" w:hAnsi="宋体"/>
                                <w:color w:val="FFFFFF" w:themeColor="background1"/>
                                <w:sz w:val="22"/>
                                <w:szCs w:val="32"/>
                                <w14:textFill>
                                  <w14:solidFill>
                                    <w14:schemeClr w14:val="bg1"/>
                                  </w14:solidFill>
                                </w14:textFill>
                              </w:rPr>
                              <w:t>1</w:t>
                            </w:r>
                            <w:permEnd w:id="14"/>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6" w:name="B_00_04"/>
                            <w:bookmarkEnd w:id="1136"/>
                            <w:permStart w:id="15" w:edGrp="owners"/>
                            <w:r>
                              <w:rPr>
                                <w:rFonts w:ascii="宋体" w:hAnsi="宋体"/>
                                <w:color w:val="FFFFFF" w:themeColor="background1"/>
                                <w:sz w:val="22"/>
                                <w:szCs w:val="32"/>
                                <w14:textFill>
                                  <w14:solidFill>
                                    <w14:schemeClr w14:val="bg1"/>
                                  </w14:solidFill>
                                </w14:textFill>
                              </w:rPr>
                              <w:t>CAOLU</w:t>
                            </w:r>
                            <w:permEnd w:id="15"/>
                          </w:p>
                          <w:p>
                            <w:pPr>
                              <w:spacing w:line="460" w:lineRule="exact"/>
                              <w:ind w:firstLine="440"/>
                              <w:jc w:val="left"/>
                              <w:rPr>
                                <w:rFonts w:ascii="宋体" w:hAnsi="宋体"/>
                                <w:color w:val="FFFFFF" w:themeColor="background1"/>
                                <w:sz w:val="22"/>
                                <w:szCs w:val="32"/>
                                <w14:textFill>
                                  <w14:solidFill>
                                    <w14:schemeClr w14:val="bg1"/>
                                  </w14:solidFill>
                                </w14:textFill>
                              </w:rPr>
                            </w:pPr>
                            <w:permStart w:id="16" w:edGrp="owners"/>
                            <w:bookmarkStart w:id="1137" w:name="B_00_05"/>
                            <w:bookmarkEnd w:id="1137"/>
                            <w:r>
                              <w:rPr>
                                <w:rFonts w:ascii="宋体" w:hAnsi="宋体"/>
                                <w:color w:val="FFFFFF" w:themeColor="background1"/>
                                <w:sz w:val="22"/>
                                <w:szCs w:val="32"/>
                                <w14:textFill>
                                  <w14:solidFill>
                                    <w14:schemeClr w14:val="bg1"/>
                                  </w14:solidFill>
                                </w14:textFill>
                              </w:rPr>
                              <w:t>B1623105</w:t>
                            </w:r>
                            <w:permEnd w:id="16"/>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8" w:name="B_00_06"/>
                            <w:bookmarkEnd w:id="1138"/>
                            <w:permStart w:id="17" w:edGrp="owners"/>
                            <w:r>
                              <w:rPr>
                                <w:rFonts w:ascii="宋体" w:hAnsi="宋体"/>
                                <w:color w:val="FFFFFF" w:themeColor="background1"/>
                                <w:sz w:val="22"/>
                                <w:szCs w:val="32"/>
                                <w14:textFill>
                                  <w14:solidFill>
                                    <w14:schemeClr w14:val="bg1"/>
                                  </w14:solidFill>
                                </w14:textFill>
                              </w:rPr>
                              <w:t>2016YBCT0863-001</w:t>
                            </w:r>
                            <w:permEnd w:id="17"/>
                            <w:r>
                              <w:rPr>
                                <w:rFonts w:hint="eastAsia" w:ascii="宋体" w:hAnsi="宋体"/>
                                <w:color w:val="FFFFFF" w:themeColor="background1"/>
                                <w:sz w:val="22"/>
                                <w:szCs w:val="32"/>
                                <w14:textFill>
                                  <w14:solidFill>
                                    <w14:schemeClr w14:val="bg1"/>
                                  </w14:solidFill>
                                </w14:textFill>
                              </w:rPr>
                              <w:t xml:space="preserve"> </w:t>
                            </w:r>
                            <w:bookmarkStart w:id="1139" w:name="B_00_90"/>
                            <w:bookmarkEnd w:id="1139"/>
                          </w:p>
                          <w:p>
                            <w:pPr>
                              <w:spacing w:line="460" w:lineRule="exact"/>
                              <w:ind w:firstLine="440"/>
                              <w:jc w:val="left"/>
                              <w:rPr>
                                <w:rFonts w:ascii="宋体" w:hAnsi="宋体"/>
                                <w:color w:val="FFFFFF" w:themeColor="background1"/>
                                <w:sz w:val="22"/>
                                <w:szCs w:val="32"/>
                                <w14:textFill>
                                  <w14:solidFill>
                                    <w14:schemeClr w14:val="bg1"/>
                                  </w14:solidFill>
                                </w14:textFill>
                              </w:rPr>
                            </w:pPr>
                            <w:permStart w:id="18" w:edGrp="owners"/>
                            <w:bookmarkStart w:id="1140" w:name="B_00_07"/>
                            <w:bookmarkEnd w:id="1140"/>
                            <w:r>
                              <w:rPr>
                                <w:rFonts w:ascii="宋体" w:hAnsi="宋体"/>
                                <w:color w:val="FFFFFF" w:themeColor="background1"/>
                                <w:sz w:val="22"/>
                                <w:szCs w:val="32"/>
                                <w14:textFill>
                                  <w14:solidFill>
                                    <w14:schemeClr w14:val="bg1"/>
                                  </w14:solidFill>
                                </w14:textFill>
                              </w:rPr>
                              <w:t>1.0.0.1</w:t>
                            </w:r>
                            <w:permEnd w:id="18"/>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1" w:name="B_00_08"/>
                            <w:bookmarkEnd w:id="1141"/>
                            <w:permStart w:id="19" w:edGrp="owners"/>
                            <w:r>
                              <w:rPr>
                                <w:rFonts w:ascii="宋体" w:hAnsi="宋体"/>
                                <w:color w:val="FFFFFF" w:themeColor="background1"/>
                                <w:sz w:val="22"/>
                                <w:szCs w:val="32"/>
                                <w14:textFill>
                                  <w14:solidFill>
                                    <w14:schemeClr w14:val="bg1"/>
                                  </w14:solidFill>
                                </w14:textFill>
                              </w:rPr>
                              <w:t>209903879760291312</w:t>
                            </w:r>
                            <w:permEnd w:id="19"/>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2" w:name="B_00_09"/>
                            <w:bookmarkEnd w:id="1142"/>
                            <w:permStart w:id="20" w:edGrp="owners"/>
                            <w:r>
                              <w:rPr>
                                <w:rFonts w:ascii="宋体" w:hAnsi="宋体"/>
                                <w:color w:val="FFFFFF" w:themeColor="background1"/>
                                <w:sz w:val="22"/>
                                <w:szCs w:val="32"/>
                                <w14:textFill>
                                  <w14:solidFill>
                                    <w14:schemeClr w14:val="bg1"/>
                                  </w14:solidFill>
                                </w14:textFill>
                              </w:rPr>
                              <w:t>209903879760291312</w:t>
                            </w:r>
                            <w:permEnd w:id="20"/>
                          </w:p>
                          <w:p>
                            <w:pPr>
                              <w:spacing w:line="460" w:lineRule="exact"/>
                              <w:ind w:firstLine="440"/>
                              <w:jc w:val="left"/>
                              <w:rPr>
                                <w:rFonts w:ascii="宋体" w:hAnsi="宋体"/>
                                <w:color w:val="FFFFFF" w:themeColor="background1"/>
                                <w:sz w:val="22"/>
                                <w:szCs w:val="32"/>
                                <w14:textFill>
                                  <w14:solidFill>
                                    <w14:schemeClr w14:val="bg1"/>
                                  </w14:solidFill>
                                </w14:textFill>
                              </w:rPr>
                            </w:pPr>
                            <w:permStart w:id="21" w:edGrp="owners"/>
                            <w:bookmarkStart w:id="1143" w:name="B_00_10"/>
                            <w:bookmarkEnd w:id="1143"/>
                            <w:r>
                              <w:rPr>
                                <w:rFonts w:ascii="宋体" w:hAnsi="宋体"/>
                                <w:color w:val="FFFFFF" w:themeColor="background1"/>
                                <w:sz w:val="22"/>
                                <w:szCs w:val="32"/>
                                <w14:textFill>
                                  <w14:solidFill>
                                    <w14:schemeClr w14:val="bg1"/>
                                  </w14:solidFill>
                                </w14:textFill>
                              </w:rPr>
                              <w:t>1</w:t>
                            </w:r>
                            <w:permEnd w:id="21"/>
                            <w:r>
                              <w:rPr>
                                <w:rFonts w:hint="eastAsia" w:ascii="宋体" w:hAnsi="宋体"/>
                                <w:color w:val="FFFFFF" w:themeColor="background1"/>
                                <w:sz w:val="22"/>
                                <w:szCs w:val="32"/>
                                <w14:textFill>
                                  <w14:solidFill>
                                    <w14:schemeClr w14:val="bg1"/>
                                  </w14:solidFill>
                                </w14:textFill>
                              </w:rPr>
                              <w:t xml:space="preserve"> </w:t>
                            </w:r>
                            <w:bookmarkStart w:id="1144" w:name="B_00_91"/>
                            <w:bookmarkEnd w:id="1144"/>
                          </w:p>
                          <w:p>
                            <w:pPr>
                              <w:spacing w:line="460" w:lineRule="exact"/>
                              <w:ind w:firstLine="440"/>
                              <w:jc w:val="left"/>
                              <w:rPr>
                                <w:rFonts w:ascii="宋体" w:hAnsi="宋体"/>
                                <w:color w:val="FFFFFF" w:themeColor="background1"/>
                                <w:sz w:val="22"/>
                                <w:szCs w:val="32"/>
                                <w14:textFill>
                                  <w14:solidFill>
                                    <w14:schemeClr w14:val="bg1"/>
                                  </w14:solidFill>
                                </w14:textFill>
                              </w:rPr>
                            </w:pPr>
                          </w:p>
                          <w:permEnd w:id="11"/>
                          <w:p>
                            <w:pPr>
                              <w:spacing w:line="460" w:lineRule="exact"/>
                              <w:ind w:firstLine="440"/>
                              <w:jc w:val="left"/>
                              <w:rPr>
                                <w:rFonts w:ascii="宋体" w:hAnsi="宋体"/>
                                <w:color w:val="FFFFFF" w:themeColor="background1"/>
                                <w:sz w:val="22"/>
                                <w:szCs w:val="32"/>
                                <w14:textFill>
                                  <w14:solidFill>
                                    <w14:schemeClr w14:val="bg1"/>
                                  </w14:solidFill>
                                </w14:textFill>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8.25pt;margin-top:5.75pt;height:22.1pt;width:18.55pt;z-index:251673600;mso-width-relative:page;mso-height-relative:page;" fillcolor="#FFFFFF" filled="t" stroked="f" coordsize="21600,21600" o:gfxdata="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KStnbYAAAACwEAAA8AAAAAAAAA&#10;AQAgAAAAIgAAAGRycy9kb3ducmV2LnhtbFBLAQIUABQAAAAIAIdO4kCTsR8VEQIAAPEDAAAOAAAA&#10;AAAAAAEAIAAAACcBAABkcnMvZTJvRG9jLnhtbFBLBQYAAAAABgAGAFkBAACqBQAAAAA=&#10;">
                <v:fill on="t" focussize="0,0"/>
                <v:stroke on="f"/>
                <v:imagedata o:title=""/>
                <o:lock v:ext="edit" aspectratio="f"/>
                <v:textbox>
                  <w:txbxContent>
                    <w:p>
                      <w:pPr>
                        <w:spacing w:line="460" w:lineRule="exact"/>
                        <w:ind w:firstLine="440"/>
                        <w:jc w:val="left"/>
                        <w:rPr>
                          <w:rFonts w:ascii="宋体" w:hAnsi="宋体"/>
                          <w:color w:val="FFFFFF" w:themeColor="background1"/>
                          <w:sz w:val="22"/>
                          <w:szCs w:val="32"/>
                          <w14:textFill>
                            <w14:solidFill>
                              <w14:schemeClr w14:val="bg1"/>
                            </w14:solidFill>
                          </w14:textFill>
                        </w:rPr>
                      </w:pPr>
                      <w:permStart w:id="11" w:edGrp="everyone"/>
                      <w:r>
                        <w:rPr>
                          <w:rFonts w:hint="eastAsia" w:ascii="宋体" w:hAnsi="宋体"/>
                          <w:color w:val="FFFFFF" w:themeColor="background1"/>
                          <w:sz w:val="22"/>
                          <w:szCs w:val="32"/>
                          <w14:textFill>
                            <w14:solidFill>
                              <w14:schemeClr w14:val="bg1"/>
                            </w14:solidFill>
                          </w14:textFill>
                        </w:rPr>
                        <w:t>隐藏区域</w:t>
                      </w:r>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3" w:name="B_00_01"/>
                      <w:bookmarkEnd w:id="1133"/>
                      <w:permStart w:id="12" w:edGrp="owners"/>
                      <w:r>
                        <w:rPr>
                          <w:rFonts w:ascii="宋体" w:hAnsi="宋体"/>
                          <w:color w:val="FFFFFF" w:themeColor="background1"/>
                          <w:sz w:val="22"/>
                          <w:szCs w:val="32"/>
                          <w14:textFill>
                            <w14:solidFill>
                              <w14:schemeClr w14:val="bg1"/>
                            </w14:solidFill>
                          </w14:textFill>
                        </w:rPr>
                        <w:t>2</w:t>
                      </w:r>
                      <w:permEnd w:id="12"/>
                    </w:p>
                    <w:p>
                      <w:pPr>
                        <w:spacing w:line="460" w:lineRule="exact"/>
                        <w:ind w:firstLine="440"/>
                        <w:jc w:val="left"/>
                        <w:rPr>
                          <w:rFonts w:ascii="宋体" w:hAnsi="宋体"/>
                          <w:color w:val="FFFFFF" w:themeColor="background1"/>
                          <w:sz w:val="22"/>
                          <w:szCs w:val="32"/>
                          <w14:textFill>
                            <w14:solidFill>
                              <w14:schemeClr w14:val="bg1"/>
                            </w14:solidFill>
                          </w14:textFill>
                        </w:rPr>
                      </w:pPr>
                      <w:permStart w:id="13" w:edGrp="owners"/>
                      <w:bookmarkStart w:id="1134" w:name="B_00_02"/>
                      <w:bookmarkEnd w:id="1134"/>
                      <w:r>
                        <w:rPr>
                          <w:rFonts w:ascii="宋体" w:hAnsi="宋体"/>
                          <w:color w:val="FFFFFF" w:themeColor="background1"/>
                          <w:sz w:val="22"/>
                          <w:szCs w:val="32"/>
                          <w14:textFill>
                            <w14:solidFill>
                              <w14:schemeClr w14:val="bg1"/>
                            </w14:solidFill>
                          </w14:textFill>
                        </w:rPr>
                        <w:t>20161121160150</w:t>
                      </w:r>
                      <w:permEnd w:id="13"/>
                    </w:p>
                    <w:p>
                      <w:pPr>
                        <w:spacing w:line="460" w:lineRule="exact"/>
                        <w:ind w:firstLine="440"/>
                        <w:jc w:val="left"/>
                        <w:rPr>
                          <w:rFonts w:ascii="宋体" w:hAnsi="宋体"/>
                          <w:color w:val="FFFFFF" w:themeColor="background1"/>
                          <w:sz w:val="22"/>
                          <w:szCs w:val="32"/>
                          <w14:textFill>
                            <w14:solidFill>
                              <w14:schemeClr w14:val="bg1"/>
                            </w14:solidFill>
                          </w14:textFill>
                        </w:rPr>
                      </w:pPr>
                      <w:permStart w:id="14" w:edGrp="owners"/>
                      <w:bookmarkStart w:id="1135" w:name="B_00_03"/>
                      <w:bookmarkEnd w:id="1135"/>
                      <w:r>
                        <w:rPr>
                          <w:rFonts w:ascii="宋体" w:hAnsi="宋体"/>
                          <w:color w:val="FFFFFF" w:themeColor="background1"/>
                          <w:sz w:val="22"/>
                          <w:szCs w:val="32"/>
                          <w14:textFill>
                            <w14:solidFill>
                              <w14:schemeClr w14:val="bg1"/>
                            </w14:solidFill>
                          </w14:textFill>
                        </w:rPr>
                        <w:t>1</w:t>
                      </w:r>
                      <w:permEnd w:id="14"/>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6" w:name="B_00_04"/>
                      <w:bookmarkEnd w:id="1136"/>
                      <w:permStart w:id="15" w:edGrp="owners"/>
                      <w:r>
                        <w:rPr>
                          <w:rFonts w:ascii="宋体" w:hAnsi="宋体"/>
                          <w:color w:val="FFFFFF" w:themeColor="background1"/>
                          <w:sz w:val="22"/>
                          <w:szCs w:val="32"/>
                          <w14:textFill>
                            <w14:solidFill>
                              <w14:schemeClr w14:val="bg1"/>
                            </w14:solidFill>
                          </w14:textFill>
                        </w:rPr>
                        <w:t>CAOLU</w:t>
                      </w:r>
                      <w:permEnd w:id="15"/>
                    </w:p>
                    <w:p>
                      <w:pPr>
                        <w:spacing w:line="460" w:lineRule="exact"/>
                        <w:ind w:firstLine="440"/>
                        <w:jc w:val="left"/>
                        <w:rPr>
                          <w:rFonts w:ascii="宋体" w:hAnsi="宋体"/>
                          <w:color w:val="FFFFFF" w:themeColor="background1"/>
                          <w:sz w:val="22"/>
                          <w:szCs w:val="32"/>
                          <w14:textFill>
                            <w14:solidFill>
                              <w14:schemeClr w14:val="bg1"/>
                            </w14:solidFill>
                          </w14:textFill>
                        </w:rPr>
                      </w:pPr>
                      <w:permStart w:id="16" w:edGrp="owners"/>
                      <w:bookmarkStart w:id="1137" w:name="B_00_05"/>
                      <w:bookmarkEnd w:id="1137"/>
                      <w:r>
                        <w:rPr>
                          <w:rFonts w:ascii="宋体" w:hAnsi="宋体"/>
                          <w:color w:val="FFFFFF" w:themeColor="background1"/>
                          <w:sz w:val="22"/>
                          <w:szCs w:val="32"/>
                          <w14:textFill>
                            <w14:solidFill>
                              <w14:schemeClr w14:val="bg1"/>
                            </w14:solidFill>
                          </w14:textFill>
                        </w:rPr>
                        <w:t>B1623105</w:t>
                      </w:r>
                      <w:permEnd w:id="16"/>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38" w:name="B_00_06"/>
                      <w:bookmarkEnd w:id="1138"/>
                      <w:permStart w:id="17" w:edGrp="owners"/>
                      <w:r>
                        <w:rPr>
                          <w:rFonts w:ascii="宋体" w:hAnsi="宋体"/>
                          <w:color w:val="FFFFFF" w:themeColor="background1"/>
                          <w:sz w:val="22"/>
                          <w:szCs w:val="32"/>
                          <w14:textFill>
                            <w14:solidFill>
                              <w14:schemeClr w14:val="bg1"/>
                            </w14:solidFill>
                          </w14:textFill>
                        </w:rPr>
                        <w:t>2016YBCT0863-001</w:t>
                      </w:r>
                      <w:permEnd w:id="17"/>
                      <w:r>
                        <w:rPr>
                          <w:rFonts w:hint="eastAsia" w:ascii="宋体" w:hAnsi="宋体"/>
                          <w:color w:val="FFFFFF" w:themeColor="background1"/>
                          <w:sz w:val="22"/>
                          <w:szCs w:val="32"/>
                          <w14:textFill>
                            <w14:solidFill>
                              <w14:schemeClr w14:val="bg1"/>
                            </w14:solidFill>
                          </w14:textFill>
                        </w:rPr>
                        <w:t xml:space="preserve"> </w:t>
                      </w:r>
                      <w:bookmarkStart w:id="1139" w:name="B_00_90"/>
                      <w:bookmarkEnd w:id="1139"/>
                    </w:p>
                    <w:p>
                      <w:pPr>
                        <w:spacing w:line="460" w:lineRule="exact"/>
                        <w:ind w:firstLine="440"/>
                        <w:jc w:val="left"/>
                        <w:rPr>
                          <w:rFonts w:ascii="宋体" w:hAnsi="宋体"/>
                          <w:color w:val="FFFFFF" w:themeColor="background1"/>
                          <w:sz w:val="22"/>
                          <w:szCs w:val="32"/>
                          <w14:textFill>
                            <w14:solidFill>
                              <w14:schemeClr w14:val="bg1"/>
                            </w14:solidFill>
                          </w14:textFill>
                        </w:rPr>
                      </w:pPr>
                      <w:permStart w:id="18" w:edGrp="owners"/>
                      <w:bookmarkStart w:id="1140" w:name="B_00_07"/>
                      <w:bookmarkEnd w:id="1140"/>
                      <w:r>
                        <w:rPr>
                          <w:rFonts w:ascii="宋体" w:hAnsi="宋体"/>
                          <w:color w:val="FFFFFF" w:themeColor="background1"/>
                          <w:sz w:val="22"/>
                          <w:szCs w:val="32"/>
                          <w14:textFill>
                            <w14:solidFill>
                              <w14:schemeClr w14:val="bg1"/>
                            </w14:solidFill>
                          </w14:textFill>
                        </w:rPr>
                        <w:t>1.0.0.1</w:t>
                      </w:r>
                      <w:permEnd w:id="18"/>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1" w:name="B_00_08"/>
                      <w:bookmarkEnd w:id="1141"/>
                      <w:permStart w:id="19" w:edGrp="owners"/>
                      <w:r>
                        <w:rPr>
                          <w:rFonts w:ascii="宋体" w:hAnsi="宋体"/>
                          <w:color w:val="FFFFFF" w:themeColor="background1"/>
                          <w:sz w:val="22"/>
                          <w:szCs w:val="32"/>
                          <w14:textFill>
                            <w14:solidFill>
                              <w14:schemeClr w14:val="bg1"/>
                            </w14:solidFill>
                          </w14:textFill>
                        </w:rPr>
                        <w:t>209903879760291312</w:t>
                      </w:r>
                      <w:permEnd w:id="19"/>
                    </w:p>
                    <w:p>
                      <w:pPr>
                        <w:spacing w:line="460" w:lineRule="exact"/>
                        <w:ind w:firstLine="440"/>
                        <w:jc w:val="left"/>
                        <w:rPr>
                          <w:rFonts w:ascii="宋体" w:hAnsi="宋体"/>
                          <w:color w:val="FFFFFF" w:themeColor="background1"/>
                          <w:sz w:val="22"/>
                          <w:szCs w:val="32"/>
                          <w14:textFill>
                            <w14:solidFill>
                              <w14:schemeClr w14:val="bg1"/>
                            </w14:solidFill>
                          </w14:textFill>
                        </w:rPr>
                      </w:pPr>
                      <w:bookmarkStart w:id="1142" w:name="B_00_09"/>
                      <w:bookmarkEnd w:id="1142"/>
                      <w:permStart w:id="20" w:edGrp="owners"/>
                      <w:r>
                        <w:rPr>
                          <w:rFonts w:ascii="宋体" w:hAnsi="宋体"/>
                          <w:color w:val="FFFFFF" w:themeColor="background1"/>
                          <w:sz w:val="22"/>
                          <w:szCs w:val="32"/>
                          <w14:textFill>
                            <w14:solidFill>
                              <w14:schemeClr w14:val="bg1"/>
                            </w14:solidFill>
                          </w14:textFill>
                        </w:rPr>
                        <w:t>209903879760291312</w:t>
                      </w:r>
                      <w:permEnd w:id="20"/>
                    </w:p>
                    <w:p>
                      <w:pPr>
                        <w:spacing w:line="460" w:lineRule="exact"/>
                        <w:ind w:firstLine="440"/>
                        <w:jc w:val="left"/>
                        <w:rPr>
                          <w:rFonts w:ascii="宋体" w:hAnsi="宋体"/>
                          <w:color w:val="FFFFFF" w:themeColor="background1"/>
                          <w:sz w:val="22"/>
                          <w:szCs w:val="32"/>
                          <w14:textFill>
                            <w14:solidFill>
                              <w14:schemeClr w14:val="bg1"/>
                            </w14:solidFill>
                          </w14:textFill>
                        </w:rPr>
                      </w:pPr>
                      <w:permStart w:id="21" w:edGrp="owners"/>
                      <w:bookmarkStart w:id="1143" w:name="B_00_10"/>
                      <w:bookmarkEnd w:id="1143"/>
                      <w:r>
                        <w:rPr>
                          <w:rFonts w:ascii="宋体" w:hAnsi="宋体"/>
                          <w:color w:val="FFFFFF" w:themeColor="background1"/>
                          <w:sz w:val="22"/>
                          <w:szCs w:val="32"/>
                          <w14:textFill>
                            <w14:solidFill>
                              <w14:schemeClr w14:val="bg1"/>
                            </w14:solidFill>
                          </w14:textFill>
                        </w:rPr>
                        <w:t>1</w:t>
                      </w:r>
                      <w:permEnd w:id="21"/>
                      <w:r>
                        <w:rPr>
                          <w:rFonts w:hint="eastAsia" w:ascii="宋体" w:hAnsi="宋体"/>
                          <w:color w:val="FFFFFF" w:themeColor="background1"/>
                          <w:sz w:val="22"/>
                          <w:szCs w:val="32"/>
                          <w14:textFill>
                            <w14:solidFill>
                              <w14:schemeClr w14:val="bg1"/>
                            </w14:solidFill>
                          </w14:textFill>
                        </w:rPr>
                        <w:t xml:space="preserve"> </w:t>
                      </w:r>
                      <w:bookmarkStart w:id="1144" w:name="B_00_91"/>
                      <w:bookmarkEnd w:id="1144"/>
                    </w:p>
                    <w:p>
                      <w:pPr>
                        <w:spacing w:line="460" w:lineRule="exact"/>
                        <w:ind w:firstLine="440"/>
                        <w:jc w:val="left"/>
                        <w:rPr>
                          <w:rFonts w:ascii="宋体" w:hAnsi="宋体"/>
                          <w:color w:val="FFFFFF" w:themeColor="background1"/>
                          <w:sz w:val="22"/>
                          <w:szCs w:val="32"/>
                          <w14:textFill>
                            <w14:solidFill>
                              <w14:schemeClr w14:val="bg1"/>
                            </w14:solidFill>
                          </w14:textFill>
                        </w:rPr>
                      </w:pPr>
                    </w:p>
                    <w:permEnd w:id="11"/>
                    <w:p>
                      <w:pPr>
                        <w:spacing w:line="460" w:lineRule="exact"/>
                        <w:ind w:firstLine="440"/>
                        <w:jc w:val="left"/>
                        <w:rPr>
                          <w:rFonts w:ascii="宋体" w:hAnsi="宋体"/>
                          <w:color w:val="FFFFFF" w:themeColor="background1"/>
                          <w:sz w:val="22"/>
                          <w:szCs w:val="32"/>
                          <w14:textFill>
                            <w14:solidFill>
                              <w14:schemeClr w14:val="bg1"/>
                            </w14:solidFill>
                          </w14:textFill>
                        </w:rPr>
                      </w:pPr>
                    </w:p>
                  </w:txbxContent>
                </v:textbox>
              </v:shape>
            </w:pict>
          </mc:Fallback>
        </mc:AlternateContent>
      </w:r>
      <w:bookmarkStart w:id="1" w:name="_Toc437783672"/>
      <w:bookmarkStart w:id="2" w:name="_Toc431383638"/>
      <w:bookmarkStart w:id="3" w:name="_Toc431383745"/>
      <w:bookmarkStart w:id="4" w:name="_Toc436711010"/>
      <w:bookmarkStart w:id="5" w:name="_Toc436202696"/>
      <w:r>
        <w:rPr>
          <w:color w:val="000000" w:themeColor="text1"/>
          <w14:textFill>
            <w14:solidFill>
              <w14:schemeClr w14:val="tx1"/>
            </w14:solidFill>
          </w14:textFill>
        </w:rPr>
        <mc:AlternateContent>
          <mc:Choice Requires="wps">
            <w:drawing>
              <wp:anchor distT="0" distB="0" distL="114300" distR="114300" simplePos="0" relativeHeight="251663360" behindDoc="0" locked="1" layoutInCell="1" allowOverlap="1">
                <wp:simplePos x="0" y="0"/>
                <wp:positionH relativeFrom="column">
                  <wp:posOffset>-317500</wp:posOffset>
                </wp:positionH>
                <wp:positionV relativeFrom="paragraph">
                  <wp:posOffset>951865</wp:posOffset>
                </wp:positionV>
                <wp:extent cx="5915025" cy="3414395"/>
                <wp:effectExtent l="4445" t="4445" r="8890" b="10160"/>
                <wp:wrapNone/>
                <wp:docPr id="20" name="文本框 20"/>
                <wp:cNvGraphicFramePr/>
                <a:graphic xmlns:a="http://schemas.openxmlformats.org/drawingml/2006/main">
                  <a:graphicData uri="http://schemas.microsoft.com/office/word/2010/wordprocessingShape">
                    <wps:wsp>
                      <wps:cNvSpPr txBox="1">
                        <a:spLocks noChangeArrowheads="1"/>
                      </wps:cNvSpPr>
                      <wps:spPr bwMode="auto">
                        <a:xfrm>
                          <a:off x="0" y="0"/>
                          <a:ext cx="5915025" cy="3414395"/>
                        </a:xfrm>
                        <a:prstGeom prst="rect">
                          <a:avLst/>
                        </a:prstGeom>
                        <a:solidFill>
                          <a:srgbClr val="FFFFFF"/>
                        </a:solidFill>
                        <a:ln w="6350">
                          <a:solidFill>
                            <a:srgbClr val="FFFFFF"/>
                          </a:solidFill>
                          <a:miter lim="800000"/>
                        </a:ln>
                      </wps:spPr>
                      <wps:txbx>
                        <w:txbxContent>
                          <w:p>
                            <w:pPr>
                              <w:ind w:firstLine="643"/>
                              <w:jc w:val="center"/>
                              <w:rPr>
                                <w:rFonts w:ascii="宋体" w:hAnsi="宋体" w:cs="Arial"/>
                                <w:b/>
                                <w:color w:val="000000" w:themeColor="text1"/>
                                <w:sz w:val="32"/>
                                <w:szCs w:val="32"/>
                                <w14:textFill>
                                  <w14:solidFill>
                                    <w14:schemeClr w14:val="tx1"/>
                                  </w14:solidFill>
                                </w14:textFill>
                              </w:rPr>
                            </w:pPr>
                            <w:permStart w:id="22" w:edGrp="everyone"/>
                            <w:r>
                              <w:rPr>
                                <w:rFonts w:hint="eastAsia" w:ascii="宋体" w:hAnsi="宋体" w:cs="Arial"/>
                                <w:b/>
                                <w:color w:val="000000" w:themeColor="text1"/>
                                <w:sz w:val="32"/>
                                <w:szCs w:val="32"/>
                                <w14:textFill>
                                  <w14:solidFill>
                                    <w14:schemeClr w14:val="tx1"/>
                                  </w14:solidFill>
                                </w14:textFill>
                              </w:rPr>
                              <w:t>中国移动江苏公司2019年无锡地区5G一期（预商用）无线主设备工程一阶段</w:t>
                            </w:r>
                            <w:r>
                              <w:rPr>
                                <w:rFonts w:ascii="宋体" w:hAnsi="宋体" w:cs="Arial"/>
                                <w:b/>
                                <w:color w:val="000000" w:themeColor="text1"/>
                                <w:sz w:val="32"/>
                                <w:szCs w:val="32"/>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ascii="宋体" w:hAnsi="宋体" w:cs="Arial"/>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ascii="宋体" w:hAnsi="宋体" w:cs="Arial"/>
                                <w:b/>
                                <w:color w:val="000000" w:themeColor="text1"/>
                                <w:sz w:val="32"/>
                                <w:szCs w:val="32"/>
                                <w14:textFill>
                                  <w14:solidFill>
                                    <w14:schemeClr w14:val="tx1"/>
                                  </w14:solidFill>
                                </w14:textFill>
                              </w:rPr>
                              <w:t>(全套文件)</w:t>
                            </w:r>
                          </w:p>
                          <w:permEnd w:id="22"/>
                          <w:p>
                            <w:pPr>
                              <w:ind w:firstLine="643"/>
                              <w:jc w:val="center"/>
                              <w:rPr>
                                <w:rFonts w:ascii="宋体" w:hAnsi="宋体" w:cs="Arial"/>
                                <w:b/>
                                <w:color w:val="000000" w:themeColor="text1"/>
                                <w:sz w:val="32"/>
                                <w:szCs w:val="32"/>
                                <w14:textFill>
                                  <w14:solidFill>
                                    <w14:schemeClr w14:val="tx1"/>
                                  </w14:solidFill>
                                </w14:textFill>
                              </w:rPr>
                            </w:pPr>
                          </w:p>
                        </w:txbxContent>
                      </wps:txbx>
                      <wps:bodyPr rot="0" vert="horz" wrap="square" lIns="91440" tIns="82800" rIns="91440" bIns="46800" anchor="t" anchorCtr="0" upright="1">
                        <a:noAutofit/>
                      </wps:bodyPr>
                    </wps:wsp>
                  </a:graphicData>
                </a:graphic>
              </wp:anchor>
            </w:drawing>
          </mc:Choice>
          <mc:Fallback>
            <w:pict>
              <v:shape id="_x0000_s1026" o:spid="_x0000_s1026" o:spt="202" type="#_x0000_t202" style="position:absolute;left:0pt;margin-left:-25pt;margin-top:74.95pt;height:268.85pt;width:465.75pt;z-index:251663360;mso-width-relative:page;mso-height-relative:page;" fillcolor="#FFFFFF" filled="t" stroked="t" coordsize="21600,21600" o:gfxdata="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4uLoN0AAAALAQAADwAAAAAAAAABACAAAAAiAAAAZHJzL2Rvd25yZXYueG1sUEsBAhQA&#10;FAAAAAgAh07iQAYxf5MmAgAAPAQAAA4AAAAAAAAAAQAgAAAALAEAAGRycy9lMm9Eb2MueG1sUEsF&#10;BgAAAAAGAAYAWQEAAMQFAAAAAA==&#10;">
                <v:fill on="t" focussize="0,0"/>
                <v:stroke weight="0.5pt" color="#FFFFFF" miterlimit="8" joinstyle="miter"/>
                <v:imagedata o:title=""/>
                <o:lock v:ext="edit" aspectratio="f"/>
                <v:textbox inset="2.54mm,2.3mm,2.54mm,1.3mm">
                  <w:txbxContent>
                    <w:p>
                      <w:pPr>
                        <w:ind w:firstLine="643"/>
                        <w:jc w:val="center"/>
                        <w:rPr>
                          <w:rFonts w:ascii="宋体" w:hAnsi="宋体" w:cs="Arial"/>
                          <w:b/>
                          <w:color w:val="000000" w:themeColor="text1"/>
                          <w:sz w:val="32"/>
                          <w:szCs w:val="32"/>
                          <w14:textFill>
                            <w14:solidFill>
                              <w14:schemeClr w14:val="tx1"/>
                            </w14:solidFill>
                          </w14:textFill>
                        </w:rPr>
                      </w:pPr>
                      <w:permStart w:id="22" w:edGrp="everyone"/>
                      <w:r>
                        <w:rPr>
                          <w:rFonts w:hint="eastAsia" w:ascii="宋体" w:hAnsi="宋体" w:cs="Arial"/>
                          <w:b/>
                          <w:color w:val="000000" w:themeColor="text1"/>
                          <w:sz w:val="32"/>
                          <w:szCs w:val="32"/>
                          <w14:textFill>
                            <w14:solidFill>
                              <w14:schemeClr w14:val="tx1"/>
                            </w14:solidFill>
                          </w14:textFill>
                        </w:rPr>
                        <w:t>中国移动江苏公司2019年无锡地区5G一期（预商用）无线主设备工程一阶段</w:t>
                      </w:r>
                      <w:r>
                        <w:rPr>
                          <w:rFonts w:ascii="宋体" w:hAnsi="宋体" w:cs="Arial"/>
                          <w:b/>
                          <w:color w:val="000000" w:themeColor="text1"/>
                          <w:sz w:val="32"/>
                          <w:szCs w:val="32"/>
                          <w14:textFill>
                            <w14:solidFill>
                              <w14:schemeClr w14:val="tx1"/>
                            </w14:solidFill>
                          </w14:textFill>
                        </w:rPr>
                        <w:t>设计</w:t>
                      </w:r>
                    </w:p>
                    <w:p>
                      <w:pPr>
                        <w:ind w:firstLine="643"/>
                        <w:jc w:val="center"/>
                        <w:rPr>
                          <w:rFonts w:hint="eastAsia"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643"/>
                        <w:jc w:val="center"/>
                        <w:rPr>
                          <w:rFonts w:ascii="宋体" w:hAnsi="宋体" w:cs="Arial"/>
                          <w:b/>
                          <w:color w:val="000000" w:themeColor="text1"/>
                          <w:sz w:val="32"/>
                          <w:szCs w:val="32"/>
                          <w14:textFill>
                            <w14:solidFill>
                              <w14:schemeClr w14:val="tx1"/>
                            </w14:solidFill>
                          </w14:textFill>
                        </w:rPr>
                      </w:pPr>
                      <w:r>
                        <w:rPr>
                          <w:rFonts w:hint="eastAsia" w:cs="宋体"/>
                          <w:b/>
                          <w:color w:val="000000" w:themeColor="text1"/>
                          <w:sz w:val="32"/>
                          <w:szCs w:val="32"/>
                          <w:lang w:eastAsia="zh-CN"/>
                          <w14:textFill>
                            <w14:solidFill>
                              <w14:schemeClr w14:val="tx1"/>
                            </w14:solidFill>
                          </w14:textFill>
                        </w:rPr>
                        <w:t>{{字段一}}</w:t>
                      </w:r>
                      <w:r>
                        <w:rPr>
                          <w:rFonts w:hint="eastAsia" w:cs="宋体"/>
                          <w:b/>
                          <w:color w:val="000000" w:themeColor="text1"/>
                          <w:sz w:val="32"/>
                          <w:szCs w:val="32"/>
                          <w14:textFill>
                            <w14:solidFill>
                              <w14:schemeClr w14:val="tx1"/>
                            </w14:solidFill>
                          </w14:textFill>
                        </w:rPr>
                        <w:t xml:space="preserve"> </w:t>
                      </w:r>
                      <w:r>
                        <w:rPr>
                          <w:rFonts w:hint="eastAsia" w:cs="宋体"/>
                          <w:b/>
                          <w:color w:val="000000" w:themeColor="text1"/>
                          <w:sz w:val="32"/>
                          <w:szCs w:val="32"/>
                          <w:lang w:eastAsia="zh-CN"/>
                          <w14:textFill>
                            <w14:solidFill>
                              <w14:schemeClr w14:val="tx1"/>
                            </w14:solidFill>
                          </w14:textFill>
                        </w:rPr>
                        <w:t>{{字段二}}</w:t>
                      </w:r>
                      <w:r>
                        <w:rPr>
                          <w:rFonts w:hint="eastAsia" w:ascii="宋体" w:hAnsi="宋体" w:cs="Arial"/>
                          <w:b/>
                          <w:color w:val="000000" w:themeColor="text1"/>
                          <w:sz w:val="32"/>
                          <w:szCs w:val="32"/>
                          <w14:textFill>
                            <w14:solidFill>
                              <w14:schemeClr w14:val="tx1"/>
                            </w14:solidFill>
                          </w14:textFill>
                        </w:rPr>
                        <w:t>(全套文件)</w:t>
                      </w:r>
                    </w:p>
                    <w:permEnd w:id="22"/>
                    <w:p>
                      <w:pPr>
                        <w:ind w:firstLine="643"/>
                        <w:jc w:val="center"/>
                        <w:rPr>
                          <w:rFonts w:ascii="宋体" w:hAnsi="宋体" w:cs="Arial"/>
                          <w:b/>
                          <w:color w:val="000000" w:themeColor="text1"/>
                          <w:sz w:val="32"/>
                          <w:szCs w:val="32"/>
                          <w14:textFill>
                            <w14:solidFill>
                              <w14:schemeClr w14:val="tx1"/>
                            </w14:solidFill>
                          </w14:textFill>
                        </w:rPr>
                      </w:pPr>
                    </w:p>
                  </w:txbxContent>
                </v:textbox>
                <w10:anchorlock/>
              </v:shape>
            </w:pict>
          </mc:Fallback>
        </mc:AlternateContent>
      </w:r>
    </w:p>
    <w:p>
      <w:pPr>
        <w:ind w:firstLine="480"/>
        <w:rPr>
          <w:color w:val="000000" w:themeColor="text1"/>
          <w14:textFill>
            <w14:solidFill>
              <w14:schemeClr w14:val="tx1"/>
            </w14:solidFill>
          </w14:textFill>
        </w:rPr>
      </w:pPr>
    </w:p>
    <w:p>
      <w:pPr>
        <w:ind w:firstLine="480"/>
        <w:rPr>
          <w:vanish/>
          <w:color w:val="000000" w:themeColor="text1"/>
          <w14:textFill>
            <w14:solidFill>
              <w14:schemeClr w14:val="tx1"/>
            </w14:solidFill>
          </w14:textFill>
        </w:rPr>
      </w:pPr>
      <w:r>
        <w:rPr>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vanish/>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spacing w:line="480" w:lineRule="auto"/>
        <w:ind w:firstLine="480"/>
        <w:rPr>
          <w:color w:val="000000" w:themeColor="text1"/>
          <w14:textFill>
            <w14:solidFill>
              <w14:schemeClr w14:val="tx1"/>
            </w14:solidFill>
          </w14:textFill>
        </w:rPr>
      </w:pPr>
    </w:p>
    <w:p>
      <w:pPr>
        <w:spacing w:line="480" w:lineRule="auto"/>
        <w:ind w:firstLine="480"/>
        <w:rPr>
          <w:color w:val="000000" w:themeColor="text1"/>
          <w14:textFill>
            <w14:solidFill>
              <w14:schemeClr w14:val="tx1"/>
            </w14:solidFill>
          </w14:textFill>
        </w:rPr>
      </w:pPr>
    </w:p>
    <w:p>
      <w:pPr>
        <w:spacing w:line="480" w:lineRule="auto"/>
        <w:ind w:firstLine="440"/>
        <w:rPr>
          <w:color w:val="000000" w:themeColor="text1"/>
          <w:sz w:val="22"/>
          <w14:textFill>
            <w14:solidFill>
              <w14:schemeClr w14:val="tx1"/>
            </w14:solidFill>
          </w14:textFill>
        </w:rPr>
      </w:pPr>
    </w:p>
    <w:p>
      <w:pPr>
        <w:spacing w:line="480" w:lineRule="auto"/>
        <w:ind w:firstLine="420"/>
        <w:rPr>
          <w:color w:val="000000" w:themeColor="text1"/>
          <w:sz w:val="21"/>
          <w14:textFill>
            <w14:solidFill>
              <w14:schemeClr w14:val="tx1"/>
            </w14:solidFill>
          </w14:textFill>
        </w:rPr>
      </w:pPr>
      <w:permStart w:id="0" w:edGrp="everyone"/>
      <w:bookmarkStart w:id="6" w:name="B_02_22"/>
      <w:bookmarkEnd w:id="6"/>
    </w:p>
    <w:permEnd w:id="0"/>
    <w:p>
      <w:pPr>
        <w:spacing w:line="480" w:lineRule="auto"/>
        <w:ind w:firstLine="480"/>
        <w:rPr>
          <w:color w:val="000000" w:themeColor="text1"/>
          <w14:textFill>
            <w14:solidFill>
              <w14:schemeClr w14:val="tx1"/>
            </w14:solidFill>
          </w14:textFill>
        </w:rPr>
      </w:pPr>
    </w:p>
    <w:p>
      <w:pPr>
        <w:spacing w:line="480" w:lineRule="auto"/>
        <w:ind w:firstLine="480"/>
        <w:rPr>
          <w:color w:val="000000" w:themeColor="text1"/>
          <w14:textFill>
            <w14:solidFill>
              <w14:schemeClr w14:val="tx1"/>
            </w14:solidFill>
          </w14:textFill>
        </w:rPr>
      </w:pPr>
    </w:p>
    <w:tbl>
      <w:tblPr>
        <w:tblStyle w:val="608"/>
        <w:tblW w:w="8732" w:type="dxa"/>
        <w:tblInd w:w="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85"/>
        <w:gridCol w:w="1598"/>
        <w:gridCol w:w="59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pacing w:line="240" w:lineRule="auto"/>
              <w:ind w:left="480" w:firstLine="0" w:firstLineChars="0"/>
              <w:jc w:val="left"/>
              <w:rPr>
                <w:b/>
                <w:sz w:val="32"/>
                <w:szCs w:val="32"/>
              </w:rPr>
            </w:pPr>
          </w:p>
        </w:tc>
        <w:tc>
          <w:tcPr>
            <w:tcW w:w="1598" w:type="dxa"/>
          </w:tcPr>
          <w:p>
            <w:pPr>
              <w:spacing w:line="240" w:lineRule="auto"/>
              <w:ind w:firstLine="0" w:firstLineChars="0"/>
              <w:jc w:val="left"/>
              <w:rPr>
                <w:b/>
                <w:sz w:val="32"/>
                <w:szCs w:val="32"/>
              </w:rPr>
            </w:pPr>
            <w:bookmarkStart w:id="7" w:name="_Toc17388513"/>
            <w:bookmarkStart w:id="8" w:name="_Toc17196414"/>
            <w:r>
              <w:rPr>
                <w:rFonts w:hint="eastAsia"/>
                <w:b/>
                <w:sz w:val="32"/>
                <w:szCs w:val="32"/>
              </w:rPr>
              <w:t>项目编号：</w:t>
            </w:r>
            <w:bookmarkEnd w:id="7"/>
            <w:bookmarkEnd w:id="8"/>
          </w:p>
        </w:tc>
        <w:tc>
          <w:tcPr>
            <w:tcW w:w="5949" w:type="dxa"/>
          </w:tcPr>
          <w:p>
            <w:pPr>
              <w:spacing w:line="240" w:lineRule="auto"/>
              <w:ind w:firstLine="0" w:firstLineChars="0"/>
              <w:jc w:val="left"/>
              <w:rPr>
                <w:b/>
                <w:sz w:val="32"/>
                <w:szCs w:val="32"/>
              </w:rPr>
            </w:pPr>
            <w:bookmarkStart w:id="9" w:name="B_02_02"/>
            <w:bookmarkEnd w:id="9"/>
            <w:r>
              <w:rPr>
                <w:rFonts w:hint="eastAsia"/>
                <w:b/>
                <w:sz w:val="32"/>
                <w:szCs w:val="32"/>
              </w:rPr>
              <w:t>2019JSCT0038-001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32"/>
                <w14:textFill>
                  <w14:solidFill>
                    <w14:schemeClr w14:val="tx1"/>
                  </w14:solidFill>
                </w14:textFill>
              </w:rPr>
            </w:pPr>
          </w:p>
        </w:tc>
        <w:tc>
          <w:tcPr>
            <w:tcW w:w="1598" w:type="dxa"/>
          </w:tcPr>
          <w:p>
            <w:pPr>
              <w:spacing w:line="240" w:lineRule="auto"/>
              <w:ind w:left="480" w:firstLine="0" w:firstLineChars="0"/>
              <w:jc w:val="left"/>
              <w:rPr>
                <w:b/>
                <w:sz w:val="32"/>
                <w:szCs w:val="32"/>
              </w:rPr>
            </w:pPr>
          </w:p>
        </w:tc>
        <w:tc>
          <w:tcPr>
            <w:tcW w:w="5949" w:type="dxa"/>
          </w:tcPr>
          <w:p>
            <w:pPr>
              <w:spacing w:line="240" w:lineRule="auto"/>
              <w:ind w:left="480" w:firstLine="0" w:firstLineChars="0"/>
              <w:jc w:val="left"/>
              <w:rPr>
                <w:b/>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24"/>
                <w14:textFill>
                  <w14:solidFill>
                    <w14:schemeClr w14:val="tx1"/>
                  </w14:solidFill>
                </w14:textFill>
              </w:rPr>
            </w:pPr>
          </w:p>
        </w:tc>
        <w:tc>
          <w:tcPr>
            <w:tcW w:w="1598" w:type="dxa"/>
          </w:tcPr>
          <w:p>
            <w:pPr>
              <w:spacing w:line="240" w:lineRule="auto"/>
              <w:ind w:firstLine="0" w:firstLineChars="0"/>
              <w:jc w:val="left"/>
              <w:rPr>
                <w:b/>
                <w:sz w:val="32"/>
                <w:szCs w:val="32"/>
              </w:rPr>
            </w:pPr>
            <w:bookmarkStart w:id="10" w:name="_Toc17388515"/>
            <w:bookmarkStart w:id="11" w:name="_Toc17196416"/>
            <w:r>
              <w:rPr>
                <w:rFonts w:hint="eastAsia"/>
                <w:b/>
                <w:sz w:val="32"/>
                <w:szCs w:val="32"/>
              </w:rPr>
              <w:t>建设单位：</w:t>
            </w:r>
            <w:bookmarkEnd w:id="10"/>
            <w:bookmarkEnd w:id="11"/>
          </w:p>
        </w:tc>
        <w:tc>
          <w:tcPr>
            <w:tcW w:w="5949" w:type="dxa"/>
          </w:tcPr>
          <w:p>
            <w:pPr>
              <w:spacing w:line="240" w:lineRule="auto"/>
              <w:ind w:firstLine="0" w:firstLineChars="0"/>
              <w:jc w:val="left"/>
              <w:rPr>
                <w:b/>
                <w:sz w:val="32"/>
                <w:szCs w:val="32"/>
              </w:rPr>
            </w:pPr>
            <w:permStart w:id="1" w:edGrp="everyone"/>
            <w:bookmarkStart w:id="12" w:name="B_02_03"/>
            <w:bookmarkEnd w:id="12"/>
            <w:bookmarkStart w:id="13" w:name="_Toc17388516"/>
            <w:bookmarkStart w:id="14" w:name="_Toc17196417"/>
            <w:r>
              <w:rPr>
                <w:rFonts w:hint="eastAsia"/>
                <w:b/>
                <w:sz w:val="32"/>
                <w:szCs w:val="32"/>
              </w:rPr>
              <w:t>中国移动通信集团江苏有限公司</w:t>
            </w:r>
            <w:permEnd w:id="1"/>
            <w:bookmarkEnd w:id="13"/>
            <w:bookmarkEnd w:id="14"/>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32"/>
                <w14:textFill>
                  <w14:solidFill>
                    <w14:schemeClr w14:val="tx1"/>
                  </w14:solidFill>
                </w14:textFill>
              </w:rPr>
            </w:pPr>
          </w:p>
        </w:tc>
        <w:tc>
          <w:tcPr>
            <w:tcW w:w="1598" w:type="dxa"/>
          </w:tcPr>
          <w:p>
            <w:pPr>
              <w:snapToGrid w:val="0"/>
              <w:spacing w:line="240" w:lineRule="auto"/>
              <w:ind w:firstLine="0" w:firstLineChars="0"/>
              <w:outlineLvl w:val="0"/>
              <w:rPr>
                <w:rFonts w:cs="Times New Roman"/>
                <w:b/>
                <w:color w:val="000000" w:themeColor="text1"/>
                <w:kern w:val="0"/>
                <w:sz w:val="32"/>
                <w:szCs w:val="32"/>
                <w14:textFill>
                  <w14:solidFill>
                    <w14:schemeClr w14:val="tx1"/>
                  </w14:solidFill>
                </w14:textFill>
              </w:rPr>
            </w:pPr>
          </w:p>
        </w:tc>
        <w:tc>
          <w:tcPr>
            <w:tcW w:w="5949" w:type="dxa"/>
          </w:tcPr>
          <w:p>
            <w:pPr>
              <w:snapToGrid w:val="0"/>
              <w:spacing w:line="240" w:lineRule="auto"/>
              <w:ind w:firstLine="0" w:firstLineChars="0"/>
              <w:outlineLvl w:val="0"/>
              <w:rPr>
                <w:rFonts w:cs="Times New Roman"/>
                <w:b/>
                <w:color w:val="000000" w:themeColor="text1"/>
                <w:kern w:val="0"/>
                <w:sz w:val="32"/>
                <w:szCs w:val="24"/>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185" w:type="dxa"/>
          </w:tcPr>
          <w:p>
            <w:pPr>
              <w:snapToGrid w:val="0"/>
              <w:spacing w:line="240" w:lineRule="auto"/>
              <w:ind w:firstLine="0" w:firstLineChars="0"/>
              <w:outlineLvl w:val="0"/>
              <w:rPr>
                <w:rFonts w:cs="Times New Roman"/>
                <w:b/>
                <w:color w:val="000000" w:themeColor="text1"/>
                <w:kern w:val="0"/>
                <w:sz w:val="32"/>
                <w:szCs w:val="24"/>
                <w14:textFill>
                  <w14:solidFill>
                    <w14:schemeClr w14:val="tx1"/>
                  </w14:solidFill>
                </w14:textFill>
              </w:rPr>
            </w:pPr>
          </w:p>
        </w:tc>
        <w:tc>
          <w:tcPr>
            <w:tcW w:w="1598" w:type="dxa"/>
          </w:tcPr>
          <w:p>
            <w:pPr>
              <w:spacing w:line="240" w:lineRule="auto"/>
              <w:ind w:firstLine="0" w:firstLineChars="0"/>
              <w:jc w:val="left"/>
              <w:rPr>
                <w:b/>
                <w:sz w:val="32"/>
                <w:szCs w:val="32"/>
              </w:rPr>
            </w:pPr>
            <w:bookmarkStart w:id="15" w:name="_Toc17388517"/>
            <w:bookmarkStart w:id="16" w:name="_Toc17196418"/>
            <w:r>
              <w:rPr>
                <w:rFonts w:hint="eastAsia"/>
                <w:b/>
                <w:sz w:val="32"/>
                <w:szCs w:val="32"/>
              </w:rPr>
              <w:t>设计单位：</w:t>
            </w:r>
            <w:bookmarkEnd w:id="15"/>
            <w:bookmarkEnd w:id="16"/>
          </w:p>
        </w:tc>
        <w:tc>
          <w:tcPr>
            <w:tcW w:w="5949" w:type="dxa"/>
          </w:tcPr>
          <w:p>
            <w:pPr>
              <w:spacing w:line="240" w:lineRule="auto"/>
              <w:ind w:firstLine="0" w:firstLineChars="0"/>
              <w:jc w:val="left"/>
              <w:rPr>
                <w:b/>
                <w:sz w:val="32"/>
                <w:szCs w:val="32"/>
              </w:rPr>
            </w:pPr>
            <w:bookmarkStart w:id="17" w:name="B_02_04"/>
            <w:bookmarkEnd w:id="17"/>
            <w:bookmarkStart w:id="18" w:name="_Toc17196419"/>
            <w:bookmarkStart w:id="19" w:name="_Toc17388518"/>
            <w:permStart w:id="2" w:edGrp="everyone"/>
            <w:r>
              <w:rPr>
                <w:rFonts w:hint="eastAsia"/>
                <w:b/>
                <w:sz w:val="32"/>
                <w:szCs w:val="32"/>
              </w:rPr>
              <w:t>中国移动通信集团设计院有限公司</w:t>
            </w:r>
            <w:permEnd w:id="2"/>
            <w:bookmarkEnd w:id="18"/>
            <w:bookmarkEnd w:id="19"/>
          </w:p>
        </w:tc>
      </w:tr>
    </w:tbl>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ab/>
      </w:r>
    </w:p>
    <w:p>
      <w:pPr>
        <w:ind w:firstLine="480"/>
        <w:rPr>
          <w:color w:val="000000" w:themeColor="text1"/>
          <w14:textFill>
            <w14:solidFill>
              <w14:schemeClr w14:val="tx1"/>
            </w14:solidFill>
          </w14:textFill>
        </w:rPr>
      </w:pPr>
    </w:p>
    <w:p>
      <w:pPr>
        <w:ind w:firstLine="199" w:firstLineChars="62"/>
        <w:rPr>
          <w:b/>
          <w:color w:val="000000" w:themeColor="text1"/>
          <w:sz w:val="32"/>
          <w14:textFill>
            <w14:solidFill>
              <w14:schemeClr w14:val="tx1"/>
            </w14:solidFill>
          </w14:textFill>
        </w:rPr>
      </w:pPr>
    </w:p>
    <w:p>
      <w:pPr>
        <w:ind w:firstLine="0" w:firstLineChars="0"/>
        <w:jc w:val="center"/>
        <w:rPr>
          <w:b/>
          <w:color w:val="000000" w:themeColor="text1"/>
          <w:sz w:val="32"/>
          <w:szCs w:val="32"/>
          <w14:textFill>
            <w14:solidFill>
              <w14:schemeClr w14:val="tx1"/>
            </w14:solidFill>
          </w14:textFill>
        </w:rPr>
      </w:pPr>
      <w:permStart w:id="3" w:edGrp="everyone"/>
      <w:bookmarkStart w:id="20" w:name="B_02_05"/>
      <w:bookmarkEnd w:id="20"/>
      <w:r>
        <w:rPr>
          <w:rFonts w:hint="eastAsia"/>
          <w:b/>
          <w:color w:val="000000" w:themeColor="text1"/>
          <w:sz w:val="32"/>
          <w:szCs w:val="32"/>
          <w14:textFill>
            <w14:solidFill>
              <w14:schemeClr w14:val="tx1"/>
            </w14:solidFill>
          </w14:textFill>
        </w:rPr>
        <w:t>二〇一九年十二月</w:t>
      </w:r>
    </w:p>
    <w:permEnd w:id="3"/>
    <w:p>
      <w:pPr>
        <w:ind w:firstLine="643"/>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br w:type="page"/>
      </w:r>
    </w:p>
    <w:p>
      <w:pPr>
        <w:ind w:firstLine="643"/>
        <w:jc w:val="center"/>
        <w:rPr>
          <w:b/>
          <w:color w:val="000000" w:themeColor="text1"/>
          <w:sz w:val="32"/>
          <w:szCs w:val="32"/>
          <w14:textFill>
            <w14:solidFill>
              <w14:schemeClr w14:val="tx1"/>
            </w14:solidFill>
          </w14:textFill>
        </w:rPr>
      </w:pPr>
      <w:permStart w:id="4" w:edGrp="everyone"/>
      <w:r>
        <w:rPr>
          <w:rFonts w:hint="eastAsia" w:cs="宋体"/>
          <w:b/>
          <w:color w:val="000000" w:themeColor="text1"/>
          <w:sz w:val="32"/>
          <w:szCs w:val="32"/>
          <w14:textFill>
            <w14:solidFill>
              <w14:schemeClr w14:val="tx1"/>
            </w14:solidFill>
          </w14:textFill>
        </w:rPr>
        <w:t>一</w:t>
      </w:r>
    </w:p>
    <w:p>
      <w:pPr>
        <w:ind w:firstLine="643"/>
        <w:jc w:val="center"/>
        <w:rPr>
          <w:rFonts w:ascii="宋体" w:hAnsi="宋体" w:cs="Arial"/>
          <w:b/>
          <w:color w:val="000000" w:themeColor="text1"/>
          <w:sz w:val="32"/>
          <w:szCs w:val="32"/>
          <w14:textFill>
            <w14:solidFill>
              <w14:schemeClr w14:val="tx1"/>
            </w14:solidFill>
          </w14:textFill>
        </w:rPr>
      </w:pPr>
      <w:bookmarkStart w:id="21" w:name="B_02_06"/>
      <w:bookmarkEnd w:id="21"/>
      <w:r>
        <w:rPr>
          <w:rFonts w:hint="eastAsia" w:ascii="宋体" w:hAnsi="宋体" w:cs="Arial"/>
          <w:b/>
          <w:color w:val="000000" w:themeColor="text1"/>
          <w:sz w:val="32"/>
          <w:szCs w:val="32"/>
          <w14:textFill>
            <w14:solidFill>
              <w14:schemeClr w14:val="tx1"/>
            </w14:solidFill>
          </w14:textFill>
        </w:rPr>
        <w:t>中国移动江苏公司2019年无锡地区5G一期（预商用）无线主设备工程一阶段</w:t>
      </w:r>
      <w:r>
        <w:rPr>
          <w:rFonts w:ascii="宋体" w:hAnsi="宋体" w:cs="Arial"/>
          <w:b/>
          <w:color w:val="000000" w:themeColor="text1"/>
          <w:sz w:val="32"/>
          <w:szCs w:val="32"/>
          <w14:textFill>
            <w14:solidFill>
              <w14:schemeClr w14:val="tx1"/>
            </w14:solidFill>
          </w14:textFill>
        </w:rPr>
        <w:t>设计</w:t>
      </w:r>
    </w:p>
    <w:p>
      <w:pPr>
        <w:ind w:firstLine="643"/>
        <w:jc w:val="center"/>
        <w:rPr>
          <w:rFonts w:cs="宋体"/>
          <w:b/>
          <w:color w:val="000000" w:themeColor="text1"/>
          <w:sz w:val="32"/>
          <w:szCs w:val="32"/>
          <w14:textFill>
            <w14:solidFill>
              <w14:schemeClr w14:val="tx1"/>
            </w14:solidFill>
          </w14:textFill>
        </w:rPr>
      </w:pPr>
      <w:r>
        <w:rPr>
          <w:rFonts w:hint="eastAsia" w:cs="宋体"/>
          <w:b/>
          <w:color w:val="000000" w:themeColor="text1"/>
          <w:sz w:val="32"/>
          <w:szCs w:val="32"/>
          <w14:textFill>
            <w14:solidFill>
              <w14:schemeClr w14:val="tx1"/>
            </w14:solidFill>
          </w14:textFill>
        </w:rPr>
        <w:t>第一册 5G一期（预商用）无线主设备工程</w:t>
      </w:r>
    </w:p>
    <w:p>
      <w:pPr>
        <w:ind w:firstLine="360"/>
        <w:jc w:val="center"/>
        <w:rPr>
          <w:rFonts w:hint="eastAsia" w:eastAsia="宋体" w:cs="宋体"/>
          <w:b/>
          <w:color w:val="000000" w:themeColor="text1"/>
          <w:sz w:val="18"/>
          <w:szCs w:val="32"/>
          <w:lang w:eastAsia="zh-CN"/>
          <w14:textFill>
            <w14:solidFill>
              <w14:schemeClr w14:val="tx1"/>
            </w14:solidFill>
          </w14:textFill>
        </w:rPr>
      </w:pPr>
      <w:r>
        <w:rPr>
          <w:rFonts w:hint="eastAsia"/>
          <w:sz w:val="18"/>
          <w:lang w:eastAsia="zh-CN"/>
        </w:rPr>
        <w:t>{{字段一}}</w:t>
      </w:r>
      <w:r>
        <w:rPr>
          <w:sz w:val="18"/>
        </w:rPr>
        <w:t xml:space="preserve"> </w:t>
      </w:r>
      <w:r>
        <w:rPr>
          <w:rFonts w:hint="eastAsia"/>
          <w:sz w:val="18"/>
          <w:lang w:eastAsia="zh-CN"/>
        </w:rPr>
        <w:t>{{字段二}}</w:t>
      </w:r>
    </w:p>
    <w:p>
      <w:pPr>
        <w:ind w:firstLine="643"/>
        <w:jc w:val="center"/>
        <w:rPr>
          <w:rFonts w:ascii="宋体" w:hAnsi="宋体"/>
          <w:b/>
          <w:color w:val="000000" w:themeColor="text1"/>
          <w:sz w:val="32"/>
          <w:szCs w:val="32"/>
          <w14:textFill>
            <w14:solidFill>
              <w14:schemeClr w14:val="tx1"/>
            </w14:solidFill>
          </w14:textFill>
        </w:rPr>
      </w:pPr>
      <w:r>
        <w:rPr>
          <w:rFonts w:hint="eastAsia" w:ascii="宋体" w:hAnsi="宋体" w:cs="Arial"/>
          <w:b/>
          <w:color w:val="000000" w:themeColor="text1"/>
          <w:sz w:val="32"/>
          <w:szCs w:val="32"/>
          <w14:textFill>
            <w14:solidFill>
              <w14:schemeClr w14:val="tx1"/>
            </w14:solidFill>
          </w14:textFill>
        </w:rPr>
        <w:t>(全套文件)</w:t>
      </w:r>
      <w:permEnd w:id="4"/>
    </w:p>
    <w:p>
      <w:pPr>
        <w:ind w:firstLine="1080" w:firstLineChars="450"/>
        <w:rPr>
          <w:rFonts w:ascii="宋体" w:hAnsi="宋体"/>
          <w:color w:val="000000" w:themeColor="text1"/>
          <w14:textFill>
            <w14:solidFill>
              <w14:schemeClr w14:val="tx1"/>
            </w14:solidFill>
          </w14:textFill>
        </w:rPr>
      </w:pPr>
    </w:p>
    <w:p>
      <w:pPr>
        <w:ind w:firstLine="1080" w:firstLineChars="450"/>
        <w:rPr>
          <w:rFonts w:ascii="宋体" w:hAnsi="宋体"/>
          <w:color w:val="000000" w:themeColor="text1"/>
          <w14:textFill>
            <w14:solidFill>
              <w14:schemeClr w14:val="tx1"/>
            </w14:solidFill>
          </w14:textFill>
        </w:rPr>
      </w:pPr>
    </w:p>
    <w:p>
      <w:pPr>
        <w:ind w:firstLine="1080" w:firstLineChars="450"/>
        <w:rPr>
          <w:rFonts w:ascii="宋体" w:hAnsi="宋体"/>
          <w:color w:val="000000" w:themeColor="text1"/>
          <w14:textFill>
            <w14:solidFill>
              <w14:schemeClr w14:val="tx1"/>
            </w14:solidFill>
          </w14:textFill>
        </w:rPr>
      </w:pPr>
    </w:p>
    <w:p>
      <w:pPr>
        <w:ind w:firstLine="1080" w:firstLineChars="450"/>
        <w:rPr>
          <w:rFonts w:ascii="宋体" w:hAnsi="宋体"/>
          <w:color w:val="000000" w:themeColor="text1"/>
          <w14:textFill>
            <w14:solidFill>
              <w14:schemeClr w14:val="tx1"/>
            </w14:solidFill>
          </w14:textFill>
        </w:rPr>
      </w:pPr>
    </w:p>
    <w:bookmarkEnd w:id="1"/>
    <w:bookmarkEnd w:id="2"/>
    <w:bookmarkEnd w:id="3"/>
    <w:bookmarkEnd w:id="4"/>
    <w:bookmarkEnd w:id="5"/>
    <w:tbl>
      <w:tblPr>
        <w:tblStyle w:val="609"/>
        <w:tblW w:w="90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81"/>
        <w:gridCol w:w="2410"/>
        <w:gridCol w:w="567"/>
        <w:gridCol w:w="4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ermStart w:id="5" w:edGrp="everyone"/>
            <w:permEnd w:id="5"/>
            <w:bookmarkStart w:id="22" w:name="B_02_13"/>
            <w:bookmarkEnd w:id="22"/>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院长</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孙卫东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院 总 工 程 师</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高  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spacing w:val="28"/>
                <w:kern w:val="0"/>
                <w:sz w:val="32"/>
                <w:szCs w:val="32"/>
                <w14:textFill>
                  <w14:solidFill>
                    <w14:schemeClr w14:val="tx1"/>
                  </w14:solidFill>
                </w14:textFill>
              </w:rPr>
              <w:t>项目主管</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王  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spacing w:val="28"/>
                <w:kern w:val="0"/>
                <w:sz w:val="32"/>
                <w:szCs w:val="32"/>
                <w14:textFill>
                  <w14:solidFill>
                    <w14:schemeClr w14:val="tx1"/>
                  </w14:solidFill>
                </w14:textFill>
              </w:rPr>
            </w:pPr>
            <w:r>
              <w:rPr>
                <w:rFonts w:cs="Times New Roman"/>
                <w:b/>
                <w:color w:val="000000" w:themeColor="text1"/>
                <w:spacing w:val="28"/>
                <w:kern w:val="0"/>
                <w:sz w:val="32"/>
                <w:szCs w:val="32"/>
                <w14:textFill>
                  <w14:solidFill>
                    <w14:schemeClr w14:val="tx1"/>
                  </w14:solidFill>
                </w14:textFill>
              </w:rPr>
              <w:t>项目总负责人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魏海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专 业 审 核 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曹禄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专业负责人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丁国梁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81"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p>
        </w:tc>
        <w:tc>
          <w:tcPr>
            <w:tcW w:w="2410" w:type="dxa"/>
          </w:tcPr>
          <w:p>
            <w:pPr>
              <w:tabs>
                <w:tab w:val="left" w:pos="3675"/>
                <w:tab w:val="left" w:pos="3990"/>
              </w:tabs>
              <w:snapToGrid w:val="0"/>
              <w:ind w:firstLine="0" w:firstLineChars="0"/>
              <w:jc w:val="distribute"/>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主要专业设计人</w:t>
            </w:r>
          </w:p>
        </w:tc>
        <w:tc>
          <w:tcPr>
            <w:tcW w:w="567"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cs="Times New Roman"/>
                <w:b/>
                <w:color w:val="000000" w:themeColor="text1"/>
                <w:kern w:val="0"/>
                <w:sz w:val="32"/>
                <w:szCs w:val="32"/>
                <w14:textFill>
                  <w14:solidFill>
                    <w14:schemeClr w14:val="tx1"/>
                  </w14:solidFill>
                </w14:textFill>
              </w:rPr>
              <w:t>：</w:t>
            </w:r>
          </w:p>
        </w:tc>
        <w:tc>
          <w:tcPr>
            <w:tcW w:w="4819" w:type="dxa"/>
          </w:tcPr>
          <w:p>
            <w:pPr>
              <w:tabs>
                <w:tab w:val="left" w:pos="3675"/>
                <w:tab w:val="left" w:pos="3990"/>
              </w:tabs>
              <w:snapToGrid w:val="0"/>
              <w:ind w:firstLine="0" w:firstLineChars="0"/>
              <w:rPr>
                <w:rFonts w:cs="Times New Roman"/>
                <w:b/>
                <w:color w:val="000000" w:themeColor="text1"/>
                <w:kern w:val="0"/>
                <w:sz w:val="32"/>
                <w:szCs w:val="32"/>
                <w14:textFill>
                  <w14:solidFill>
                    <w14:schemeClr w14:val="tx1"/>
                  </w14:solidFill>
                </w14:textFill>
              </w:rPr>
            </w:pPr>
            <w:r>
              <w:rPr>
                <w:rFonts w:hint="eastAsia" w:cs="Times New Roman"/>
                <w:b/>
                <w:color w:val="000000" w:themeColor="text1"/>
                <w:kern w:val="0"/>
                <w:sz w:val="32"/>
                <w:szCs w:val="32"/>
                <w14:textFill>
                  <w14:solidFill>
                    <w14:schemeClr w14:val="tx1"/>
                  </w14:solidFill>
                </w14:textFill>
              </w:rPr>
              <w:t>凌洋</w:t>
            </w:r>
            <w:r>
              <w:rPr>
                <w:rFonts w:cs="Times New Roman"/>
                <w:b/>
                <w:color w:val="000000" w:themeColor="text1"/>
                <w:kern w:val="0"/>
                <w:sz w:val="32"/>
                <w:szCs w:val="32"/>
                <w14:textFill>
                  <w14:solidFill>
                    <w14:schemeClr w14:val="tx1"/>
                  </w14:solidFill>
                </w14:textFill>
              </w:rPr>
              <w:t xml:space="preserve"> </w:t>
            </w:r>
          </w:p>
        </w:tc>
      </w:tr>
    </w:tbl>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pStyle w:val="43"/>
        <w:ind w:firstLine="400"/>
        <w:rPr>
          <w:color w:val="000000" w:themeColor="text1"/>
          <w14:textFill>
            <w14:solidFill>
              <w14:schemeClr w14:val="tx1"/>
            </w14:solidFill>
          </w14:textFill>
        </w:rPr>
        <w:sectPr>
          <w:headerReference r:id="rId3" w:type="default"/>
          <w:footerReference r:id="rId4" w:type="default"/>
          <w:pgSz w:w="11907" w:h="16840"/>
          <w:pgMar w:top="1440" w:right="1197" w:bottom="1440" w:left="1797" w:header="851" w:footer="992" w:gutter="0"/>
          <w:cols w:space="425" w:num="1"/>
          <w:docGrid w:linePitch="312" w:charSpace="0"/>
        </w:sectPr>
      </w:pPr>
    </w:p>
    <w:p>
      <w:pPr>
        <w:ind w:firstLine="480"/>
        <w:jc w:val="center"/>
        <w:rPr>
          <w:rFonts w:ascii="宋体" w:hAnsi="宋体"/>
          <w:color w:val="000000" w:themeColor="text1"/>
          <w14:textFill>
            <w14:solidFill>
              <w14:schemeClr w14:val="tx1"/>
            </w14:solidFill>
          </w14:textFill>
        </w:rPr>
      </w:pPr>
    </w:p>
    <w:p>
      <w:pPr>
        <w:ind w:firstLine="48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项目文件分发表</w:t>
      </w:r>
    </w:p>
    <w:tbl>
      <w:tblPr>
        <w:tblStyle w:val="63"/>
        <w:tblW w:w="84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317"/>
        <w:gridCol w:w="1300"/>
        <w:gridCol w:w="1419"/>
        <w:gridCol w:w="1419"/>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3" w:hRule="atLeast"/>
          <w:jc w:val="center"/>
        </w:trPr>
        <w:tc>
          <w:tcPr>
            <w:tcW w:w="2317" w:type="dxa"/>
            <w:vMerge w:val="restart"/>
            <w:tcMar>
              <w:left w:w="142" w:type="dxa"/>
              <w:right w:w="142" w:type="dxa"/>
            </w:tcMar>
            <w:vAlign w:val="center"/>
          </w:tcPr>
          <w:p>
            <w:pPr>
              <w:spacing w:line="240" w:lineRule="auto"/>
              <w:ind w:firstLineChars="0"/>
              <w:jc w:val="left"/>
              <w:rPr>
                <w:color w:val="000000" w:themeColor="text1"/>
                <w14:textFill>
                  <w14:solidFill>
                    <w14:schemeClr w14:val="tx1"/>
                  </w14:solidFill>
                </w14:textFill>
              </w:rPr>
            </w:pPr>
            <w:permStart w:id="6" w:edGrp="everyone"/>
            <w:bookmarkStart w:id="23" w:name="B_03_10"/>
            <w:r>
              <w:rPr>
                <w:rFonts w:hint="eastAsia"/>
                <w:color w:val="000000" w:themeColor="text1"/>
                <w14:textFill>
                  <w14:solidFill>
                    <w14:schemeClr w14:val="tx1"/>
                  </w14:solidFill>
                </w14:textFill>
              </w:rPr>
              <w:t>单位名称</w:t>
            </w:r>
          </w:p>
        </w:tc>
        <w:tc>
          <w:tcPr>
            <w:tcW w:w="4138" w:type="dxa"/>
            <w:gridSpan w:val="3"/>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纸质版</w:t>
            </w:r>
          </w:p>
        </w:tc>
        <w:tc>
          <w:tcPr>
            <w:tcW w:w="1999" w:type="dxa"/>
            <w:vMerge w:val="restart"/>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全套电子文件（</w:t>
            </w:r>
            <w:r>
              <w:rPr>
                <w:color w:val="000000" w:themeColor="text1"/>
                <w14:textFill>
                  <w14:solidFill>
                    <w14:schemeClr w14:val="tx1"/>
                  </w14:solidFill>
                </w14:textFill>
              </w:rPr>
              <w:t>PDF</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43" w:hRule="atLeast"/>
          <w:jc w:val="center"/>
        </w:trPr>
        <w:tc>
          <w:tcPr>
            <w:tcW w:w="2317" w:type="dxa"/>
            <w:vMerge w:val="continue"/>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全套文件</w:t>
            </w: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图纸及说明</w:t>
            </w: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预算和说明</w:t>
            </w:r>
          </w:p>
        </w:tc>
        <w:tc>
          <w:tcPr>
            <w:tcW w:w="1999" w:type="dxa"/>
            <w:vMerge w:val="continue"/>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bookmarkStart w:id="24" w:name="B_03_01" w:colFirst="0" w:colLast="5"/>
            <w:r>
              <w:rPr>
                <w:rFonts w:hint="eastAsia"/>
                <w:color w:val="000000" w:themeColor="text1"/>
                <w14:textFill>
                  <w14:solidFill>
                    <w14:schemeClr w14:val="tx1"/>
                  </w14:solidFill>
                </w14:textFill>
              </w:rPr>
              <w:t>中国移动通信集团江苏有限公司</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中国移动通信集团江苏有限公司无锡分公司</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监理单位</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bookmarkStart w:id="25" w:name="_Toc128820051"/>
            <w:r>
              <w:rPr>
                <w:color w:val="000000" w:themeColor="text1"/>
                <w14:textFill>
                  <w14:solidFill>
                    <w14:schemeClr w14:val="tx1"/>
                  </w14:solidFill>
                </w14:textFill>
              </w:rPr>
              <w:t>施工单位</w:t>
            </w:r>
            <w:bookmarkEnd w:id="25"/>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院内存档</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317" w:type="dxa"/>
            <w:tcMar>
              <w:left w:w="142" w:type="dxa"/>
              <w:right w:w="142" w:type="dxa"/>
            </w:tcMar>
            <w:vAlign w:val="center"/>
          </w:tcPr>
          <w:p>
            <w:pPr>
              <w:spacing w:line="240" w:lineRule="auto"/>
              <w:ind w:left="74"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合计</w:t>
            </w:r>
          </w:p>
        </w:tc>
        <w:tc>
          <w:tcPr>
            <w:tcW w:w="1300"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p>
        </w:tc>
        <w:tc>
          <w:tcPr>
            <w:tcW w:w="1419" w:type="dxa"/>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419" w:type="dxa"/>
            <w:shd w:val="clear" w:color="auto" w:fill="auto"/>
            <w:tcMar>
              <w:left w:w="142" w:type="dxa"/>
              <w:right w:w="142" w:type="dxa"/>
            </w:tcMar>
            <w:vAlign w:val="center"/>
          </w:tcPr>
          <w:p>
            <w:pPr>
              <w:spacing w:line="240" w:lineRule="auto"/>
              <w:ind w:left="480" w:firstLine="0" w:firstLineChars="0"/>
              <w:jc w:val="left"/>
              <w:rPr>
                <w:color w:val="000000" w:themeColor="text1"/>
                <w14:textFill>
                  <w14:solidFill>
                    <w14:schemeClr w14:val="tx1"/>
                  </w14:solidFill>
                </w14:textFill>
              </w:rPr>
            </w:pPr>
          </w:p>
        </w:tc>
        <w:tc>
          <w:tcPr>
            <w:tcW w:w="1999" w:type="dxa"/>
            <w:shd w:val="clear" w:color="auto" w:fill="auto"/>
            <w:vAlign w:val="center"/>
          </w:tcPr>
          <w:p>
            <w:pPr>
              <w:spacing w:line="240" w:lineRule="auto"/>
              <w:ind w:left="480" w:firstLine="0" w:firstLineChars="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5</w:t>
            </w:r>
          </w:p>
        </w:tc>
      </w:tr>
      <w:bookmarkEnd w:id="24"/>
    </w:tbl>
    <w:p>
      <w:pPr>
        <w:ind w:firstLine="480"/>
        <w:rPr>
          <w:rFonts w:ascii="宋体" w:hAnsi="宋体"/>
          <w:color w:val="000000" w:themeColor="text1"/>
          <w14:textFill>
            <w14:solidFill>
              <w14:schemeClr w14:val="tx1"/>
            </w14:solidFill>
          </w14:textFill>
        </w:rPr>
      </w:pPr>
    </w:p>
    <w:p>
      <w:pPr>
        <w:ind w:firstLine="480"/>
        <w:rPr>
          <w:rFonts w:ascii="宋体" w:hAnsi="宋体"/>
          <w:color w:val="000000" w:themeColor="text1"/>
          <w14:textFill>
            <w14:solidFill>
              <w14:schemeClr w14:val="tx1"/>
            </w14:solidFill>
          </w14:textFill>
        </w:rPr>
      </w:pP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联系方式</w:t>
      </w: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通信地址：</w:t>
      </w:r>
      <w:bookmarkStart w:id="26" w:name="B_03_02"/>
      <w:bookmarkEnd w:id="26"/>
      <w:r>
        <w:rPr>
          <w:rFonts w:hint="eastAsia" w:ascii="宋体" w:hAnsi="宋体"/>
          <w:color w:val="000000" w:themeColor="text1"/>
          <w14:textFill>
            <w14:solidFill>
              <w14:schemeClr w14:val="tx1"/>
            </w14:solidFill>
          </w14:textFill>
        </w:rPr>
        <w:t>北京市海淀区丹棱街甲</w:t>
      </w:r>
      <w:r>
        <w:rPr>
          <w:rFonts w:ascii="宋体" w:hAnsi="宋体"/>
          <w:color w:val="000000" w:themeColor="text1"/>
          <w14:textFill>
            <w14:solidFill>
              <w14:schemeClr w14:val="tx1"/>
            </w14:solidFill>
          </w14:textFill>
        </w:rPr>
        <w:t>16号</w:t>
      </w: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邮政编码：</w:t>
      </w:r>
      <w:bookmarkStart w:id="27" w:name="B_03_03"/>
      <w:bookmarkEnd w:id="27"/>
      <w:r>
        <w:rPr>
          <w:rFonts w:ascii="宋体" w:hAnsi="宋体"/>
          <w:color w:val="000000" w:themeColor="text1"/>
          <w14:textFill>
            <w14:solidFill>
              <w14:schemeClr w14:val="tx1"/>
            </w14:solidFill>
          </w14:textFill>
        </w:rPr>
        <w:t>100080</w:t>
      </w:r>
    </w:p>
    <w:p>
      <w:pPr>
        <w:ind w:firstLine="480"/>
        <w:rPr>
          <w:rFonts w:ascii="宋体" w:hAnsi="宋体"/>
          <w:color w:val="000000" w:themeColor="text1"/>
          <w14:textFill>
            <w14:solidFill>
              <w14:schemeClr w14:val="tx1"/>
            </w14:solidFill>
          </w14:textFill>
        </w:rPr>
      </w:pPr>
    </w:p>
    <w:p>
      <w:pPr>
        <w:ind w:firstLine="480"/>
        <w:rPr>
          <w:rFonts w:ascii="宋体" w:hAnsi="宋体"/>
          <w:color w:val="FF0000"/>
          <w:lang w:val="zh-CN"/>
        </w:rPr>
      </w:pPr>
      <w:r>
        <w:rPr>
          <w:rFonts w:hint="eastAsia" w:ascii="宋体" w:hAnsi="宋体"/>
        </w:rPr>
        <w:t>项目总负责人：</w:t>
      </w:r>
      <w:bookmarkStart w:id="28" w:name="B_03_04"/>
      <w:bookmarkEnd w:id="28"/>
      <w:r>
        <w:rPr>
          <w:rFonts w:hint="eastAsia" w:ascii="宋体" w:hAnsi="宋体"/>
          <w:color w:val="FF0000"/>
        </w:rPr>
        <w:t>魏海</w:t>
      </w:r>
    </w:p>
    <w:p>
      <w:pPr>
        <w:ind w:firstLine="480"/>
        <w:rPr>
          <w:rFonts w:ascii="宋体" w:hAnsi="宋体"/>
          <w:color w:val="FF0000"/>
          <w:lang w:val="zh-CN"/>
        </w:rPr>
      </w:pPr>
      <w:r>
        <w:rPr>
          <w:rFonts w:hint="eastAsia" w:ascii="宋体" w:hAnsi="宋体"/>
        </w:rPr>
        <w:t>电话：</w:t>
      </w:r>
      <w:r>
        <w:rPr>
          <w:rFonts w:hint="eastAsia" w:ascii="宋体" w:hAnsi="宋体"/>
          <w:lang w:val="zh-CN"/>
        </w:rPr>
        <w:t xml:space="preserve"> </w:t>
      </w:r>
      <w:bookmarkStart w:id="29" w:name="B_03_05"/>
      <w:bookmarkEnd w:id="29"/>
      <w:r>
        <w:rPr>
          <w:rFonts w:ascii="宋体" w:hAnsi="宋体"/>
          <w:lang w:val="zh-CN"/>
        </w:rPr>
        <w:t xml:space="preserve"> </w:t>
      </w:r>
      <w:r>
        <w:rPr>
          <w:rFonts w:hAnsi="宋体"/>
          <w:color w:val="FF0000"/>
        </w:rPr>
        <w:t>13601336055</w:t>
      </w:r>
    </w:p>
    <w:p>
      <w:pPr>
        <w:ind w:firstLine="480"/>
        <w:rPr>
          <w:rFonts w:ascii="宋体" w:hAnsi="宋体"/>
        </w:rPr>
      </w:pPr>
      <w:r>
        <w:rPr>
          <w:rFonts w:hint="eastAsia" w:ascii="宋体" w:hAnsi="宋体"/>
        </w:rPr>
        <w:t>电子邮箱：</w:t>
      </w:r>
      <w:bookmarkStart w:id="30" w:name="B_03_06"/>
      <w:bookmarkEnd w:id="30"/>
      <w:r>
        <w:rPr>
          <w:rFonts w:hAnsi="宋体"/>
          <w:color w:val="FF0000"/>
        </w:rPr>
        <w:t>weihai@cmdi.chinamobile.com</w:t>
      </w:r>
    </w:p>
    <w:p>
      <w:pPr>
        <w:ind w:firstLine="480"/>
        <w:rPr>
          <w:lang w:val="zh-CN"/>
        </w:rPr>
      </w:pPr>
      <w:r>
        <w:rPr>
          <w:rFonts w:hint="eastAsia" w:ascii="宋体" w:hAnsi="宋体"/>
        </w:rPr>
        <w:t>专</w:t>
      </w:r>
      <w:r>
        <w:t>业负责人：</w:t>
      </w:r>
      <w:bookmarkStart w:id="31" w:name="B_03_07"/>
      <w:bookmarkEnd w:id="31"/>
      <w:r>
        <w:rPr>
          <w:rFonts w:hint="eastAsia"/>
          <w:color w:val="FF0000"/>
        </w:rPr>
        <w:t>丁国梁</w:t>
      </w:r>
    </w:p>
    <w:p>
      <w:pPr>
        <w:ind w:firstLine="480"/>
        <w:rPr>
          <w:lang w:val="zh-CN"/>
        </w:rPr>
      </w:pPr>
      <w:r>
        <w:t>电话：</w:t>
      </w:r>
      <w:r>
        <w:rPr>
          <w:lang w:val="zh-CN"/>
        </w:rPr>
        <w:t xml:space="preserve"> </w:t>
      </w:r>
      <w:bookmarkStart w:id="32" w:name="B_03_08"/>
      <w:bookmarkEnd w:id="32"/>
      <w:r>
        <w:rPr>
          <w:lang w:val="zh-CN"/>
        </w:rPr>
        <w:t xml:space="preserve"> </w:t>
      </w:r>
      <w:r>
        <w:rPr>
          <w:color w:val="FF0000"/>
          <w:lang w:val="zh-CN"/>
        </w:rPr>
        <w:t>15850797556</w:t>
      </w:r>
    </w:p>
    <w:p>
      <w:pPr>
        <w:ind w:firstLine="480"/>
        <w:rPr>
          <w:rFonts w:ascii="宋体" w:hAnsi="宋体"/>
        </w:rPr>
      </w:pPr>
      <w:r>
        <w:t xml:space="preserve">电子邮箱： </w:t>
      </w:r>
      <w:bookmarkStart w:id="33" w:name="B_03_09"/>
      <w:bookmarkEnd w:id="33"/>
      <w:r>
        <w:rPr>
          <w:color w:val="FF0000"/>
        </w:rPr>
        <w:t>dingguoliang@cmdi.chinamobile.com</w:t>
      </w:r>
      <w:r>
        <w:t xml:space="preserve"> </w:t>
      </w:r>
    </w:p>
    <w:p>
      <w:pPr>
        <w:ind w:firstLine="480"/>
        <w:rPr>
          <w:rFonts w:ascii="宋体" w:hAnsi="宋体"/>
          <w:color w:val="000000" w:themeColor="text1"/>
          <w14:textFill>
            <w14:solidFill>
              <w14:schemeClr w14:val="tx1"/>
            </w14:solidFill>
          </w14:textFill>
        </w:rPr>
      </w:pPr>
    </w:p>
    <w:p>
      <w:pPr>
        <w:ind w:firstLine="48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 xml:space="preserve"> </w:t>
      </w:r>
      <w:bookmarkEnd w:id="23"/>
      <w:permEnd w:id="6"/>
    </w:p>
    <w:p>
      <w:pPr>
        <w:pStyle w:val="43"/>
        <w:ind w:firstLine="400"/>
        <w:rPr>
          <w:color w:val="000000" w:themeColor="text1"/>
          <w14:textFill>
            <w14:solidFill>
              <w14:schemeClr w14:val="tx1"/>
            </w14:solidFill>
          </w14:textFill>
        </w:rPr>
        <w:sectPr>
          <w:footerReference r:id="rId5" w:type="default"/>
          <w:pgSz w:w="11907" w:h="16840"/>
          <w:pgMar w:top="1440" w:right="1800" w:bottom="1440" w:left="1800" w:header="851" w:footer="992" w:gutter="0"/>
          <w:cols w:space="425" w:num="1"/>
          <w:docGrid w:linePitch="326" w:charSpace="0"/>
        </w:sectPr>
      </w:pPr>
    </w:p>
    <w:p>
      <w:pPr>
        <w:ind w:firstLine="48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项目</w:t>
      </w:r>
      <w:r>
        <w:rPr>
          <w:rFonts w:ascii="宋体" w:hAnsi="宋体"/>
          <w:color w:val="000000" w:themeColor="text1"/>
          <w14:textFill>
            <w14:solidFill>
              <w14:schemeClr w14:val="tx1"/>
            </w14:solidFill>
          </w14:textFill>
        </w:rPr>
        <w:t>文件组成</w:t>
      </w:r>
    </w:p>
    <w:p>
      <w:pPr>
        <w:ind w:left="1279" w:leftChars="133" w:hanging="960" w:hangingChars="400"/>
        <w:rPr>
          <w:rFonts w:ascii="宋体" w:hAnsi="宋体"/>
          <w:color w:val="000000" w:themeColor="text1"/>
          <w14:textFill>
            <w14:solidFill>
              <w14:schemeClr w14:val="tx1"/>
            </w14:solidFill>
          </w14:textFill>
        </w:rPr>
      </w:pPr>
    </w:p>
    <w:p>
      <w:pPr>
        <w:ind w:firstLine="504" w:firstLineChars="210"/>
        <w:rPr>
          <w:rFonts w:ascii="宋体" w:hAnsi="宋体"/>
          <w:color w:val="000000" w:themeColor="text1"/>
          <w14:textFill>
            <w14:solidFill>
              <w14:schemeClr w14:val="tx1"/>
            </w14:solidFill>
          </w14:textFill>
        </w:rPr>
      </w:pPr>
      <w:r>
        <w:rPr>
          <w:rFonts w:ascii="宋体" w:hAnsi="宋体"/>
          <w:color w:val="000000" w:themeColor="text1"/>
          <w14:textFill>
            <w14:solidFill>
              <w14:schemeClr w14:val="tx1"/>
            </w14:solidFill>
          </w14:textFill>
        </w:rPr>
        <w:t>本项目文件由以下文件组成：</w:t>
      </w:r>
    </w:p>
    <w:p>
      <w:pPr>
        <w:ind w:firstLine="480"/>
        <w:rPr>
          <w:rFonts w:hint="eastAsia" w:cs="Arial"/>
          <w:color w:val="000000" w:themeColor="text1"/>
          <w14:textFill>
            <w14:solidFill>
              <w14:schemeClr w14:val="tx1"/>
            </w14:solidFill>
          </w14:textFill>
        </w:rPr>
      </w:pPr>
      <w:bookmarkStart w:id="34" w:name="B_04_01"/>
      <w:permStart w:id="7" w:edGrp="everyone"/>
      <w:r>
        <w:rPr>
          <w:rFonts w:hint="eastAsia" w:cs="Arial"/>
          <w:color w:val="000000" w:themeColor="text1"/>
          <w14:textFill>
            <w14:solidFill>
              <w14:schemeClr w14:val="tx1"/>
            </w14:solidFill>
          </w14:textFill>
        </w:rPr>
        <w:t>第一册 5G一期（预商用）无线主设备工程</w:t>
      </w:r>
    </w:p>
    <w:p>
      <w:pPr>
        <w:ind w:firstLine="360"/>
        <w:rPr>
          <w:rFonts w:hint="eastAsia" w:eastAsia="宋体" w:cs="Arial"/>
          <w:color w:val="000000" w:themeColor="text1"/>
          <w:sz w:val="18"/>
          <w:lang w:eastAsia="zh-CN"/>
          <w14:textFill>
            <w14:solidFill>
              <w14:schemeClr w14:val="tx1"/>
            </w14:solidFill>
          </w14:textFill>
        </w:rPr>
      </w:pPr>
      <w:r>
        <w:rPr>
          <w:sz w:val="18"/>
        </w:rPr>
        <w:t xml:space="preserve"> </w:t>
      </w:r>
      <w:r>
        <w:rPr>
          <w:rFonts w:hint="eastAsia"/>
          <w:sz w:val="18"/>
          <w:lang w:eastAsia="zh-CN"/>
        </w:rPr>
        <w:t>{{字段一}}</w:t>
      </w:r>
      <w:r>
        <w:rPr>
          <w:sz w:val="18"/>
        </w:rPr>
        <w:t xml:space="preserve"> </w:t>
      </w:r>
      <w:r>
        <w:rPr>
          <w:rFonts w:hint="eastAsia"/>
          <w:sz w:val="18"/>
          <w:lang w:eastAsia="zh-CN"/>
        </w:rPr>
        <w:t>{{字段二}}</w:t>
      </w:r>
    </w:p>
    <w:p>
      <w:pPr>
        <w:ind w:firstLine="480"/>
        <w:rPr>
          <w:rFonts w:cs="Arial"/>
          <w:color w:val="000000" w:themeColor="text1"/>
          <w14:textFill>
            <w14:solidFill>
              <w14:schemeClr w14:val="tx1"/>
            </w14:solidFill>
          </w14:textFill>
        </w:rPr>
      </w:pPr>
    </w:p>
    <w:bookmarkEnd w:id="34"/>
    <w:p>
      <w:pPr>
        <w:ind w:firstLine="378" w:firstLineChars="210"/>
        <w:rPr>
          <w:rFonts w:ascii="宋体" w:hAnsi="宋体"/>
          <w:color w:val="000000" w:themeColor="text1"/>
          <w14:textFill>
            <w14:solidFill>
              <w14:schemeClr w14:val="tx1"/>
            </w14:solidFill>
          </w14:textFill>
        </w:rPr>
      </w:pPr>
      <w:r>
        <w:rPr>
          <w:sz w:val="18"/>
        </w:rPr>
        <w:t xml:space="preserve">说明：本册为第一册 </w:t>
      </w:r>
      <w:r>
        <w:rPr>
          <w:rFonts w:hint="eastAsia"/>
          <w:sz w:val="18"/>
          <w:lang w:eastAsia="zh-CN"/>
        </w:rPr>
        <w:t>{{字段一}}</w:t>
      </w:r>
      <w:r>
        <w:rPr>
          <w:sz w:val="18"/>
        </w:rPr>
        <w:t xml:space="preserve"> </w:t>
      </w:r>
      <w:r>
        <w:rPr>
          <w:rFonts w:hint="eastAsia"/>
          <w:sz w:val="18"/>
          <w:lang w:eastAsia="zh-CN"/>
        </w:rPr>
        <w:t>{{字段二}}</w:t>
      </w:r>
      <w:r>
        <w:rPr>
          <w:sz w:val="18"/>
        </w:rPr>
        <w:t>。截至本分册编制完成时，</w:t>
      </w:r>
      <w:r>
        <w:rPr>
          <w:rFonts w:hint="eastAsia"/>
          <w:sz w:val="18"/>
        </w:rPr>
        <w:t>中国移动江苏公司2019年无锡地区5G一期（预商用）无线主设备工程</w:t>
      </w:r>
      <w:r>
        <w:rPr>
          <w:sz w:val="18"/>
        </w:rPr>
        <w:t>还未完成全部设计工作，勘察设计仍在进行中。本单项工程后续工作量的设计文件将在以上文件组成的基础上继续追加分册出版，特此说明。</w:t>
      </w:r>
    </w:p>
    <w:permEnd w:id="7"/>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480"/>
        <w:rPr>
          <w:rFonts w:ascii="Times New Roman" w:hAnsi="Times New Roman"/>
          <w:color w:val="000000"/>
          <w:sz w:val="32"/>
          <w:szCs w:val="32"/>
        </w:rPr>
      </w:pPr>
      <w:r>
        <w:rPr>
          <w:rFonts w:ascii="Times New Roman" w:hAnsi="Times New Roman"/>
          <w:lang w:bidi="ar-SA"/>
        </w:rPr>
        <mc:AlternateContent>
          <mc:Choice Requires="wps">
            <w:drawing>
              <wp:anchor distT="0" distB="0" distL="114300" distR="114300" simplePos="0" relativeHeight="251655168" behindDoc="0" locked="0" layoutInCell="1" allowOverlap="1">
                <wp:simplePos x="0" y="0"/>
                <wp:positionH relativeFrom="column">
                  <wp:posOffset>1107440</wp:posOffset>
                </wp:positionH>
                <wp:positionV relativeFrom="paragraph">
                  <wp:posOffset>140335</wp:posOffset>
                </wp:positionV>
                <wp:extent cx="3157855" cy="471805"/>
                <wp:effectExtent l="0" t="0" r="4445" b="4445"/>
                <wp:wrapNone/>
                <wp:docPr id="131" name="Text Box 255"/>
                <wp:cNvGraphicFramePr/>
                <a:graphic xmlns:a="http://schemas.openxmlformats.org/drawingml/2006/main">
                  <a:graphicData uri="http://schemas.microsoft.com/office/word/2010/wordprocessingShape">
                    <wps:wsp>
                      <wps:cNvSpPr txBox="1">
                        <a:spLocks noChangeArrowheads="1"/>
                      </wps:cNvSpPr>
                      <wps:spPr bwMode="auto">
                        <a:xfrm>
                          <a:off x="0" y="0"/>
                          <a:ext cx="3157855" cy="471805"/>
                        </a:xfrm>
                        <a:prstGeom prst="rect">
                          <a:avLst/>
                        </a:prstGeom>
                        <a:solidFill>
                          <a:srgbClr val="FFFFFF"/>
                        </a:solidFill>
                        <a:ln>
                          <a:noFill/>
                        </a:ln>
                      </wps:spPr>
                      <wps:txbx>
                        <w:txbxContent>
                          <w:p>
                            <w:pPr>
                              <w:pStyle w:val="384"/>
                              <w:ind w:firstLine="803"/>
                              <w:jc w:val="center"/>
                              <w:rPr>
                                <w:rFonts w:ascii="宋体" w:hAnsi="宋体" w:eastAsia="宋体"/>
                                <w:spacing w:val="40"/>
                                <w:sz w:val="32"/>
                                <w:szCs w:val="32"/>
                              </w:rPr>
                            </w:pPr>
                          </w:p>
                        </w:txbxContent>
                      </wps:txbx>
                      <wps:bodyPr rot="0" vert="horz" wrap="square" lIns="91440" tIns="45720" rIns="91440" bIns="45720" anchor="t" anchorCtr="0" upright="1">
                        <a:noAutofit/>
                      </wps:bodyPr>
                    </wps:wsp>
                  </a:graphicData>
                </a:graphic>
              </wp:anchor>
            </w:drawing>
          </mc:Choice>
          <mc:Fallback>
            <w:pict>
              <v:shape id="Text Box 255" o:spid="_x0000_s1026" o:spt="202" type="#_x0000_t202" style="position:absolute;left:0pt;margin-left:87.2pt;margin-top:11.05pt;height:37.15pt;width:248.65pt;z-index:251655168;mso-width-relative:page;mso-height-relative:page;" fillcolor="#FFFFFF" filled="t" stroked="f" coordsize="21600,21600" o:gfxdata="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c/UHx9cAAAAJAQAADwAAAAAAAAABACAAAAAiAAAAZHJzL2Rv&#10;d25yZXYueG1sUEsBAhQAFAAAAAgAh07iQPuzofoCAgAA8wMAAA4AAAAAAAAAAQAgAAAAJgEAAGRy&#10;cy9lMm9Eb2MueG1sUEsFBgAAAAAGAAYAWQEAAJoFAAAAAA==&#10;">
                <v:fill on="t" focussize="0,0"/>
                <v:stroke on="f"/>
                <v:imagedata o:title=""/>
                <o:lock v:ext="edit" aspectratio="f"/>
                <v:textbox>
                  <w:txbxContent>
                    <w:p>
                      <w:pPr>
                        <w:pStyle w:val="384"/>
                        <w:ind w:firstLine="803"/>
                        <w:jc w:val="center"/>
                        <w:rPr>
                          <w:rFonts w:ascii="宋体" w:hAnsi="宋体" w:eastAsia="宋体"/>
                          <w:spacing w:val="40"/>
                          <w:sz w:val="32"/>
                          <w:szCs w:val="32"/>
                        </w:rPr>
                      </w:pPr>
                    </w:p>
                  </w:txbxContent>
                </v:textbox>
              </v:shape>
            </w:pict>
          </mc:Fallback>
        </mc:AlternateContent>
      </w: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pStyle w:val="276"/>
        <w:ind w:firstLine="640"/>
        <w:rPr>
          <w:rFonts w:ascii="Times New Roman" w:hAnsi="Times New Roman"/>
          <w:color w:val="000000"/>
          <w:sz w:val="32"/>
          <w:szCs w:val="32"/>
        </w:rPr>
      </w:pPr>
    </w:p>
    <w:p>
      <w:pPr>
        <w:ind w:firstLine="480"/>
        <w:rPr>
          <w:color w:val="FF0000"/>
          <w:kern w:val="0"/>
        </w:rPr>
        <w:sectPr>
          <w:headerReference r:id="rId8" w:type="first"/>
          <w:footerReference r:id="rId11" w:type="first"/>
          <w:headerReference r:id="rId6" w:type="default"/>
          <w:footerReference r:id="rId9" w:type="default"/>
          <w:headerReference r:id="rId7" w:type="even"/>
          <w:footerReference r:id="rId10" w:type="even"/>
          <w:pgSz w:w="11906" w:h="16838"/>
          <w:pgMar w:top="1440" w:right="1800" w:bottom="1440" w:left="1800" w:header="851" w:footer="992" w:gutter="0"/>
          <w:pgNumType w:start="1"/>
          <w:cols w:space="425" w:num="1"/>
          <w:docGrid w:type="lines" w:linePitch="312" w:charSpace="0"/>
        </w:sectPr>
      </w:pPr>
    </w:p>
    <w:bookmarkEnd w:id="0"/>
    <w:p>
      <w:pPr>
        <w:ind w:firstLine="0" w:firstLineChars="0"/>
        <w:jc w:val="center"/>
        <w:rPr>
          <w:b/>
          <w:sz w:val="32"/>
          <w:szCs w:val="32"/>
        </w:rPr>
      </w:pPr>
      <w:r>
        <w:rPr>
          <w:rFonts w:hint="eastAsia"/>
          <w:b/>
          <w:sz w:val="32"/>
          <w:szCs w:val="32"/>
        </w:rPr>
        <w:t>目  录</w:t>
      </w:r>
    </w:p>
    <w:p>
      <w:pPr>
        <w:ind w:firstLine="480"/>
      </w:pPr>
    </w:p>
    <w:p>
      <w:pPr>
        <w:pStyle w:val="42"/>
        <w:tabs>
          <w:tab w:val="right" w:leader="dot" w:pos="8306"/>
          <w:tab w:val="clear" w:pos="8296"/>
        </w:tabs>
      </w:pPr>
      <w:r>
        <w:fldChar w:fldCharType="begin"/>
      </w:r>
      <w:r>
        <w:instrText xml:space="preserve"> TOC \o "1-3" \h \z \u </w:instrText>
      </w:r>
      <w:r>
        <w:fldChar w:fldCharType="separate"/>
      </w:r>
      <w:r>
        <w:fldChar w:fldCharType="begin"/>
      </w:r>
      <w:r>
        <w:instrText xml:space="preserve"> HYPERLINK \l "_Toc21928" </w:instrText>
      </w:r>
      <w:r>
        <w:fldChar w:fldCharType="separate"/>
      </w:r>
      <w:r>
        <w:rPr>
          <w:rFonts w:hint="eastAsia" w:cs="Times New Roman"/>
        </w:rPr>
        <w:t xml:space="preserve">一、 </w:t>
      </w:r>
      <w:r>
        <w:rPr>
          <w:rFonts w:cs="Times New Roman"/>
        </w:rPr>
        <w:t>设计说明</w:t>
      </w:r>
      <w:r>
        <w:tab/>
      </w:r>
      <w:r>
        <w:fldChar w:fldCharType="begin"/>
      </w:r>
      <w:r>
        <w:instrText xml:space="preserve"> PAGEREF _Toc21928 </w:instrText>
      </w:r>
      <w:r>
        <w:fldChar w:fldCharType="separate"/>
      </w:r>
      <w:r>
        <w:t>1</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"_Toc22790" </w:instrText>
      </w:r>
      <w:r>
        <w:fldChar w:fldCharType="separate"/>
      </w:r>
      <w:r>
        <w:rPr>
          <w:rFonts w:hint="eastAsia" w:cs="Times New Roman"/>
        </w:rPr>
        <w:t xml:space="preserve">1 </w:t>
      </w:r>
      <w:r>
        <w:rPr>
          <w:rFonts w:cs="Times New Roman"/>
        </w:rPr>
        <w:t>概述</w:t>
      </w:r>
      <w:r>
        <w:tab/>
      </w:r>
      <w:r>
        <w:fldChar w:fldCharType="begin"/>
      </w:r>
      <w:r>
        <w:instrText xml:space="preserve"> PAGEREF _Toc22790 </w:instrText>
      </w:r>
      <w:r>
        <w:fldChar w:fldCharType="separate"/>
      </w:r>
      <w:r>
        <w:t>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"_Toc28153" </w:instrText>
      </w:r>
      <w:r>
        <w:fldChar w:fldCharType="separate"/>
      </w:r>
      <w:r>
        <w:rPr>
          <w:rFonts w:hint="eastAsia" w:cs="Times New Roman"/>
        </w:rPr>
        <w:t xml:space="preserve">1.1 </w:t>
      </w:r>
      <w:r>
        <w:rPr>
          <w:rFonts w:cs="Times New Roman"/>
        </w:rPr>
        <w:t>工程概况</w:t>
      </w:r>
      <w:r>
        <w:tab/>
      </w:r>
      <w:r>
        <w:fldChar w:fldCharType="begin"/>
      </w:r>
      <w:r>
        <w:instrText xml:space="preserve"> PAGEREF _Toc28153 </w:instrText>
      </w:r>
      <w:r>
        <w:fldChar w:fldCharType="separate"/>
      </w:r>
      <w:r>
        <w:t>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"_Toc7209" </w:instrText>
      </w:r>
      <w:r>
        <w:fldChar w:fldCharType="separate"/>
      </w:r>
      <w:r>
        <w:rPr>
          <w:rFonts w:hint="eastAsia" w:cs="Times New Roman"/>
        </w:rPr>
        <w:t xml:space="preserve">1.2 </w:t>
      </w:r>
      <w:r>
        <w:rPr>
          <w:rFonts w:cs="Times New Roman"/>
        </w:rPr>
        <w:t>设计依据</w:t>
      </w:r>
      <w:r>
        <w:tab/>
      </w:r>
      <w:r>
        <w:fldChar w:fldCharType="begin"/>
      </w:r>
      <w:r>
        <w:instrText xml:space="preserve"> PAGEREF _Toc7209 </w:instrText>
      </w:r>
      <w:r>
        <w:fldChar w:fldCharType="separate"/>
      </w:r>
      <w:r>
        <w:t>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"_Toc11244" </w:instrText>
      </w:r>
      <w:r>
        <w:fldChar w:fldCharType="separate"/>
      </w:r>
      <w:r>
        <w:rPr>
          <w:rFonts w:hint="eastAsia" w:cs="Times New Roman"/>
        </w:rPr>
        <w:t xml:space="preserve">1.3 </w:t>
      </w:r>
      <w:r>
        <w:rPr>
          <w:rFonts w:cs="Times New Roman"/>
        </w:rPr>
        <w:t>设计范围</w:t>
      </w:r>
      <w:r>
        <w:tab/>
      </w:r>
      <w:r>
        <w:fldChar w:fldCharType="begin"/>
      </w:r>
      <w:r>
        <w:instrText xml:space="preserve"> PAGEREF _Toc11244 </w:instrText>
      </w:r>
      <w:r>
        <w:fldChar w:fldCharType="separate"/>
      </w:r>
      <w:r>
        <w:t>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"_Toc18779" </w:instrText>
      </w:r>
      <w:r>
        <w:fldChar w:fldCharType="separate"/>
      </w:r>
      <w:r>
        <w:rPr>
          <w:rFonts w:hint="eastAsia" w:cs="Times New Roman"/>
        </w:rPr>
        <w:t xml:space="preserve">1.4 </w:t>
      </w:r>
      <w:r>
        <w:rPr>
          <w:rFonts w:cs="Times New Roman"/>
        </w:rPr>
        <w:t>工程设计及责任分工</w:t>
      </w:r>
      <w:r>
        <w:tab/>
      </w:r>
      <w:r>
        <w:fldChar w:fldCharType="begin"/>
      </w:r>
      <w:r>
        <w:instrText xml:space="preserve"> PAGEREF _Toc18779 </w:instrText>
      </w:r>
      <w:r>
        <w:fldChar w:fldCharType="separate"/>
      </w:r>
      <w:r>
        <w:t>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"_Toc30682" </w:instrText>
      </w:r>
      <w:r>
        <w:fldChar w:fldCharType="separate"/>
      </w:r>
      <w:r>
        <w:rPr>
          <w:rFonts w:hint="eastAsia" w:cs="Times New Roman"/>
        </w:rPr>
        <w:t xml:space="preserve">1.5 </w:t>
      </w:r>
      <w:r>
        <w:rPr>
          <w:rFonts w:cs="Times New Roman"/>
        </w:rPr>
        <w:t>工程规模及主要工程量</w:t>
      </w:r>
      <w:r>
        <w:tab/>
      </w:r>
      <w:r>
        <w:fldChar w:fldCharType="begin"/>
      </w:r>
      <w:r>
        <w:instrText xml:space="preserve"> PAGEREF _Toc30682 </w:instrText>
      </w:r>
      <w:r>
        <w:fldChar w:fldCharType="separate"/>
      </w:r>
      <w:r>
        <w:t>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"_Toc20776" </w:instrText>
      </w:r>
      <w:r>
        <w:fldChar w:fldCharType="separate"/>
      </w:r>
      <w:r>
        <w:rPr>
          <w:rFonts w:hint="eastAsia" w:cs="Times New Roman"/>
        </w:rPr>
        <w:t xml:space="preserve">1.6 </w:t>
      </w:r>
      <w:r>
        <w:rPr>
          <w:rFonts w:cs="Times New Roman"/>
        </w:rPr>
        <w:t>工程投资</w:t>
      </w:r>
      <w:r>
        <w:tab/>
      </w:r>
      <w:r>
        <w:fldChar w:fldCharType="begin"/>
      </w:r>
      <w:r>
        <w:instrText xml:space="preserve"> PAGEREF _Toc20776 </w:instrText>
      </w:r>
      <w:r>
        <w:fldChar w:fldCharType="separate"/>
      </w:r>
      <w:r>
        <w:t>10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"_Toc27469" </w:instrText>
      </w:r>
      <w:r>
        <w:fldChar w:fldCharType="separate"/>
      </w:r>
      <w:r>
        <w:rPr>
          <w:rFonts w:hint="eastAsia" w:cs="Times New Roman"/>
        </w:rPr>
        <w:t xml:space="preserve">1.7 </w:t>
      </w:r>
      <w:r>
        <w:rPr>
          <w:rFonts w:cs="Times New Roman"/>
        </w:rPr>
        <w:t>与可研规模及投资对比</w:t>
      </w:r>
      <w:r>
        <w:tab/>
      </w:r>
      <w:r>
        <w:fldChar w:fldCharType="begin"/>
      </w:r>
      <w:r>
        <w:instrText xml:space="preserve"> PAGEREF _Toc27469 </w:instrText>
      </w:r>
      <w:r>
        <w:fldChar w:fldCharType="separate"/>
      </w:r>
      <w:r>
        <w:t>11</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"_Toc27995" </w:instrText>
      </w:r>
      <w:r>
        <w:fldChar w:fldCharType="separate"/>
      </w:r>
      <w:r>
        <w:rPr>
          <w:rFonts w:hint="eastAsia" w:cs="Times New Roman"/>
        </w:rPr>
        <w:t xml:space="preserve">2 </w:t>
      </w:r>
      <w:r>
        <w:rPr>
          <w:rFonts w:cs="Times New Roman"/>
        </w:rPr>
        <w:t>无线网络现状</w:t>
      </w:r>
      <w:r>
        <w:tab/>
      </w:r>
      <w:r>
        <w:fldChar w:fldCharType="begin"/>
      </w:r>
      <w:r>
        <w:instrText xml:space="preserve"> PAGEREF _Toc27995 </w:instrText>
      </w:r>
      <w:r>
        <w:fldChar w:fldCharType="separate"/>
      </w:r>
      <w:r>
        <w:t>11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"_Toc28074" </w:instrText>
      </w:r>
      <w:r>
        <w:fldChar w:fldCharType="separate"/>
      </w:r>
      <w:r>
        <w:rPr>
          <w:rFonts w:hint="eastAsia" w:cs="Times New Roman"/>
        </w:rPr>
        <w:t xml:space="preserve">2.1 </w:t>
      </w:r>
      <w:r>
        <w:rPr>
          <w:rFonts w:cs="Times New Roman"/>
        </w:rPr>
        <w:t>2G网络现状</w:t>
      </w:r>
      <w:r>
        <w:tab/>
      </w:r>
      <w:r>
        <w:fldChar w:fldCharType="begin"/>
      </w:r>
      <w:r>
        <w:instrText xml:space="preserve"> PAGEREF _Toc28074 </w:instrText>
      </w:r>
      <w:r>
        <w:fldChar w:fldCharType="separate"/>
      </w:r>
      <w:r>
        <w:t>11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"_Toc12677" </w:instrText>
      </w:r>
      <w:r>
        <w:fldChar w:fldCharType="separate"/>
      </w:r>
      <w:r>
        <w:rPr>
          <w:rFonts w:hint="eastAsia" w:cs="Times New Roman"/>
        </w:rPr>
        <w:t xml:space="preserve">2.2 </w:t>
      </w:r>
      <w:r>
        <w:rPr>
          <w:rFonts w:cs="Times New Roman"/>
        </w:rPr>
        <w:t>4G网络现状</w:t>
      </w:r>
      <w:r>
        <w:tab/>
      </w:r>
      <w:r>
        <w:fldChar w:fldCharType="begin"/>
      </w:r>
      <w:r>
        <w:instrText xml:space="preserve"> PAGEREF _Toc12677 </w:instrText>
      </w:r>
      <w:r>
        <w:fldChar w:fldCharType="separate"/>
      </w:r>
      <w:r>
        <w:t>12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"_Toc20240" </w:instrText>
      </w:r>
      <w:r>
        <w:fldChar w:fldCharType="separate"/>
      </w:r>
      <w:r>
        <w:rPr>
          <w:rFonts w:hint="eastAsia" w:cs="Times New Roman"/>
        </w:rPr>
        <w:t xml:space="preserve">2.3 </w:t>
      </w:r>
      <w:r>
        <w:rPr>
          <w:rFonts w:cs="Times New Roman"/>
        </w:rPr>
        <w:t>蜂窝物联网络现状</w:t>
      </w:r>
      <w:r>
        <w:tab/>
      </w:r>
      <w:r>
        <w:fldChar w:fldCharType="begin"/>
      </w:r>
      <w:r>
        <w:instrText xml:space="preserve"> PAGEREF _Toc20240 </w:instrText>
      </w:r>
      <w:r>
        <w:fldChar w:fldCharType="separate"/>
      </w:r>
      <w:r>
        <w:t>13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"_Toc21709" </w:instrText>
      </w:r>
      <w:r>
        <w:fldChar w:fldCharType="separate"/>
      </w:r>
      <w:r>
        <w:rPr>
          <w:rFonts w:hint="eastAsia" w:cs="Times New Roman"/>
        </w:rPr>
        <w:t xml:space="preserve">2.4 </w:t>
      </w:r>
      <w:r>
        <w:rPr>
          <w:rFonts w:cs="Times New Roman"/>
        </w:rPr>
        <w:t>5G一期网络建设现状</w:t>
      </w:r>
      <w:r>
        <w:tab/>
      </w:r>
      <w:r>
        <w:fldChar w:fldCharType="begin"/>
      </w:r>
      <w:r>
        <w:instrText xml:space="preserve"> PAGEREF _Toc21709 </w:instrText>
      </w:r>
      <w:r>
        <w:fldChar w:fldCharType="separate"/>
      </w:r>
      <w:r>
        <w:t>13</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"_Toc7015" </w:instrText>
      </w:r>
      <w:r>
        <w:fldChar w:fldCharType="separate"/>
      </w:r>
      <w:r>
        <w:rPr>
          <w:rFonts w:hint="eastAsia" w:cs="Times New Roman"/>
        </w:rPr>
        <w:t xml:space="preserve">3 </w:t>
      </w:r>
      <w:r>
        <w:rPr>
          <w:rFonts w:cs="Times New Roman"/>
        </w:rPr>
        <w:t>业务需求</w:t>
      </w:r>
      <w:r>
        <w:tab/>
      </w:r>
      <w:r>
        <w:fldChar w:fldCharType="begin"/>
      </w:r>
      <w:r>
        <w:instrText xml:space="preserve"> PAGEREF _Toc7015 </w:instrText>
      </w:r>
      <w:r>
        <w:fldChar w:fldCharType="separate"/>
      </w:r>
      <w:r>
        <w:t>13</w:t>
      </w:r>
      <w:r>
        <w:fldChar w:fldCharType="end"/>
      </w:r>
      <w:r>
        <w:fldChar w:fldCharType="end"/>
      </w:r>
    </w:p>
    <w:p>
      <w:pPr>
        <w:pStyle w:val="42"/>
        <w:tabs>
          <w:tab w:val="right" w:leader="dot" w:pos="8306"/>
          <w:tab w:val="clear" w:pos="8296"/>
        </w:tabs>
      </w:pPr>
      <w:r>
        <w:fldChar w:fldCharType="begin"/>
      </w:r>
      <w:r>
        <w:instrText xml:space="preserve"> HYPERLINK \l "_Toc10073" </w:instrText>
      </w:r>
      <w:r>
        <w:fldChar w:fldCharType="separate"/>
      </w:r>
      <w:r>
        <w:rPr>
          <w:rFonts w:hint="eastAsia" w:ascii="宋体" w:hAnsi="宋体" w:cs="Times New Roman"/>
          <w:vanish/>
          <w:kern w:val="44"/>
          <w:szCs w:val="24"/>
        </w:rPr>
        <w:t xml:space="preserve">1 </w:t>
      </w:r>
      <w:r>
        <w:tab/>
      </w:r>
      <w:r>
        <w:fldChar w:fldCharType="begin"/>
      </w:r>
      <w:r>
        <w:instrText xml:space="preserve"> PAGEREF _Toc10073 </w:instrText>
      </w:r>
      <w:r>
        <w:fldChar w:fldCharType="separate"/>
      </w:r>
      <w:r>
        <w:t>14</w:t>
      </w:r>
      <w:r>
        <w:fldChar w:fldCharType="end"/>
      </w:r>
      <w:r>
        <w:fldChar w:fldCharType="end"/>
      </w:r>
    </w:p>
    <w:p>
      <w:pPr>
        <w:pStyle w:val="42"/>
        <w:tabs>
          <w:tab w:val="right" w:leader="dot" w:pos="8306"/>
          <w:tab w:val="clear" w:pos="8296"/>
        </w:tabs>
      </w:pPr>
      <w:r>
        <w:fldChar w:fldCharType="begin"/>
      </w:r>
      <w:r>
        <w:instrText xml:space="preserve"> HYPERLINK \l "_Toc28339" </w:instrText>
      </w:r>
      <w:r>
        <w:fldChar w:fldCharType="separate"/>
      </w:r>
      <w:r>
        <w:rPr>
          <w:rFonts w:hint="eastAsia" w:ascii="宋体" w:hAnsi="宋体" w:cs="Times New Roman"/>
          <w:vanish/>
          <w:kern w:val="44"/>
          <w:szCs w:val="24"/>
        </w:rPr>
        <w:t xml:space="preserve">2 </w:t>
      </w:r>
      <w:r>
        <w:tab/>
      </w:r>
      <w:r>
        <w:fldChar w:fldCharType="begin"/>
      </w:r>
      <w:r>
        <w:instrText xml:space="preserve"> PAGEREF _Toc28339 </w:instrText>
      </w:r>
      <w:r>
        <w:fldChar w:fldCharType="separate"/>
      </w:r>
      <w:r>
        <w:t>14</w:t>
      </w:r>
      <w:r>
        <w:fldChar w:fldCharType="end"/>
      </w:r>
      <w:r>
        <w:fldChar w:fldCharType="end"/>
      </w:r>
    </w:p>
    <w:p>
      <w:pPr>
        <w:pStyle w:val="42"/>
        <w:tabs>
          <w:tab w:val="right" w:leader="dot" w:pos="8306"/>
          <w:tab w:val="clear" w:pos="8296"/>
        </w:tabs>
      </w:pPr>
      <w:r>
        <w:fldChar w:fldCharType="begin"/>
      </w:r>
      <w:r>
        <w:instrText xml:space="preserve"> HYPERLINK \l "_Toc30661" </w:instrText>
      </w:r>
      <w:r>
        <w:fldChar w:fldCharType="separate"/>
      </w:r>
      <w:r>
        <w:rPr>
          <w:rFonts w:hint="eastAsia" w:ascii="宋体" w:hAnsi="宋体" w:cs="Times New Roman"/>
          <w:vanish/>
          <w:kern w:val="44"/>
          <w:szCs w:val="24"/>
        </w:rPr>
        <w:t xml:space="preserve">3 </w:t>
      </w:r>
      <w:r>
        <w:tab/>
      </w:r>
      <w:r>
        <w:fldChar w:fldCharType="begin"/>
      </w:r>
      <w:r>
        <w:instrText xml:space="preserve"> PAGEREF _Toc30661 </w:instrText>
      </w:r>
      <w:r>
        <w:fldChar w:fldCharType="separate"/>
      </w:r>
      <w:r>
        <w:t>14</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"_Toc7457" </w:instrText>
      </w:r>
      <w:r>
        <w:fldChar w:fldCharType="separate"/>
      </w:r>
      <w:r>
        <w:rPr>
          <w:rFonts w:hint="eastAsia" w:cs="Times New Roman"/>
        </w:rPr>
        <w:t xml:space="preserve">4 </w:t>
      </w:r>
      <w:r>
        <w:rPr>
          <w:rFonts w:cs="Times New Roman"/>
        </w:rPr>
        <w:t>无线网络设计</w:t>
      </w:r>
      <w:r>
        <w:tab/>
      </w:r>
      <w:r>
        <w:fldChar w:fldCharType="begin"/>
      </w:r>
      <w:r>
        <w:instrText xml:space="preserve"> PAGEREF _Toc7457 </w:instrText>
      </w:r>
      <w:r>
        <w:fldChar w:fldCharType="separate"/>
      </w:r>
      <w:r>
        <w:t>14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"_Toc4482" </w:instrText>
      </w:r>
      <w:r>
        <w:fldChar w:fldCharType="separate"/>
      </w:r>
      <w:r>
        <w:rPr>
          <w:rFonts w:hint="eastAsia" w:cs="Times New Roman"/>
        </w:rPr>
        <w:t xml:space="preserve">4.1 </w:t>
      </w:r>
      <w:r>
        <w:rPr>
          <w:rFonts w:cs="Times New Roman"/>
        </w:rPr>
        <w:t>无线网组成</w:t>
      </w:r>
      <w:r>
        <w:tab/>
      </w:r>
      <w:r>
        <w:fldChar w:fldCharType="begin"/>
      </w:r>
      <w:r>
        <w:instrText xml:space="preserve"> PAGEREF _Toc4482 </w:instrText>
      </w:r>
      <w:r>
        <w:fldChar w:fldCharType="separate"/>
      </w:r>
      <w:r>
        <w:t>14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"_Toc21618" </w:instrText>
      </w:r>
      <w:r>
        <w:fldChar w:fldCharType="separate"/>
      </w:r>
      <w:r>
        <w:rPr>
          <w:rFonts w:hint="eastAsia" w:cs="Times New Roman"/>
        </w:rPr>
        <w:t xml:space="preserve">4.2 </w:t>
      </w:r>
      <w:r>
        <w:rPr>
          <w:rFonts w:cs="Times New Roman"/>
        </w:rPr>
        <w:t>5G无线新设计</w:t>
      </w:r>
      <w:r>
        <w:tab/>
      </w:r>
      <w:r>
        <w:fldChar w:fldCharType="begin"/>
      </w:r>
      <w:r>
        <w:instrText xml:space="preserve"> PAGEREF _Toc21618 </w:instrText>
      </w:r>
      <w:r>
        <w:fldChar w:fldCharType="separate"/>
      </w:r>
      <w:r>
        <w:t>15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"_Toc795" </w:instrText>
      </w:r>
      <w:r>
        <w:fldChar w:fldCharType="separate"/>
      </w:r>
      <w:r>
        <w:rPr>
          <w:rFonts w:hint="eastAsia" w:cs="Times New Roman"/>
        </w:rPr>
        <w:t xml:space="preserve">4.3 </w:t>
      </w:r>
      <w:r>
        <w:rPr>
          <w:rFonts w:cs="Times New Roman"/>
        </w:rPr>
        <w:t>工作频段</w:t>
      </w:r>
      <w:r>
        <w:tab/>
      </w:r>
      <w:r>
        <w:fldChar w:fldCharType="begin"/>
      </w:r>
      <w:r>
        <w:instrText xml:space="preserve"> PAGEREF _Toc795 </w:instrText>
      </w:r>
      <w:r>
        <w:fldChar w:fldCharType="separate"/>
      </w:r>
      <w:r>
        <w:t>18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"_Toc18852" </w:instrText>
      </w:r>
      <w:r>
        <w:fldChar w:fldCharType="separate"/>
      </w:r>
      <w:r>
        <w:rPr>
          <w:rFonts w:hint="eastAsia" w:cs="Times New Roman"/>
        </w:rPr>
        <w:t xml:space="preserve">4.4 </w:t>
      </w:r>
      <w:r>
        <w:rPr>
          <w:rFonts w:cs="Times New Roman"/>
        </w:rPr>
        <w:t>无线网建设要求</w:t>
      </w:r>
      <w:r>
        <w:tab/>
      </w:r>
      <w:r>
        <w:fldChar w:fldCharType="begin"/>
      </w:r>
      <w:r>
        <w:instrText xml:space="preserve"> PAGEREF _Toc18852 </w:instrText>
      </w:r>
      <w:r>
        <w:fldChar w:fldCharType="separate"/>
      </w:r>
      <w:r>
        <w:t>19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"_Toc5038" </w:instrText>
      </w:r>
      <w:r>
        <w:fldChar w:fldCharType="separate"/>
      </w:r>
      <w:r>
        <w:rPr>
          <w:rFonts w:hint="eastAsia" w:cs="Times New Roman"/>
        </w:rPr>
        <w:t xml:space="preserve">4.5 </w:t>
      </w:r>
      <w:r>
        <w:rPr>
          <w:rFonts w:cs="Times New Roman"/>
        </w:rPr>
        <w:t>无线网络设计指标</w:t>
      </w:r>
      <w:r>
        <w:tab/>
      </w:r>
      <w:r>
        <w:fldChar w:fldCharType="begin"/>
      </w:r>
      <w:r>
        <w:instrText xml:space="preserve"> PAGEREF _Toc5038 </w:instrText>
      </w:r>
      <w:r>
        <w:fldChar w:fldCharType="separate"/>
      </w:r>
      <w:r>
        <w:t>20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"_Toc23824" </w:instrText>
      </w:r>
      <w:r>
        <w:fldChar w:fldCharType="separate"/>
      </w:r>
      <w:r>
        <w:rPr>
          <w:rFonts w:hint="eastAsia" w:cs="Times New Roman"/>
        </w:rPr>
        <w:t xml:space="preserve">4.6 </w:t>
      </w:r>
      <w:r>
        <w:rPr>
          <w:rFonts w:cs="Times New Roman"/>
        </w:rPr>
        <w:t>基站同步要求</w:t>
      </w:r>
      <w:r>
        <w:tab/>
      </w:r>
      <w:r>
        <w:fldChar w:fldCharType="begin"/>
      </w:r>
      <w:r>
        <w:instrText xml:space="preserve"> PAGEREF _Toc23824 </w:instrText>
      </w:r>
      <w:r>
        <w:fldChar w:fldCharType="separate"/>
      </w:r>
      <w:r>
        <w:t>22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"_Toc18715" </w:instrText>
      </w:r>
      <w:r>
        <w:fldChar w:fldCharType="separate"/>
      </w:r>
      <w:r>
        <w:rPr>
          <w:rFonts w:hint="eastAsia" w:cs="Times New Roman"/>
        </w:rPr>
        <w:t xml:space="preserve">4.7 </w:t>
      </w:r>
      <w:r>
        <w:rPr>
          <w:rFonts w:cs="Times New Roman"/>
        </w:rPr>
        <w:t>4G基站升级改造需求</w:t>
      </w:r>
      <w:r>
        <w:tab/>
      </w:r>
      <w:r>
        <w:fldChar w:fldCharType="begin"/>
      </w:r>
      <w:r>
        <w:instrText xml:space="preserve"> PAGEREF _Toc18715 </w:instrText>
      </w:r>
      <w:r>
        <w:fldChar w:fldCharType="separate"/>
      </w:r>
      <w:r>
        <w:t>23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"_Toc12375" </w:instrText>
      </w:r>
      <w:r>
        <w:fldChar w:fldCharType="separate"/>
      </w:r>
      <w:r>
        <w:rPr>
          <w:rFonts w:hint="eastAsia" w:cs="Times New Roman"/>
        </w:rPr>
        <w:t xml:space="preserve">4.8 </w:t>
      </w:r>
      <w:r>
        <w:rPr>
          <w:rFonts w:cs="Times New Roman"/>
        </w:rPr>
        <w:t>基站传输带宽需求</w:t>
      </w:r>
      <w:r>
        <w:tab/>
      </w:r>
      <w:r>
        <w:fldChar w:fldCharType="begin"/>
      </w:r>
      <w:r>
        <w:instrText xml:space="preserve"> PAGEREF _Toc12375 </w:instrText>
      </w:r>
      <w:r>
        <w:fldChar w:fldCharType="separate"/>
      </w:r>
      <w:r>
        <w:t>23</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"_Toc11446" </w:instrText>
      </w:r>
      <w:r>
        <w:fldChar w:fldCharType="separate"/>
      </w:r>
      <w:r>
        <w:rPr>
          <w:rFonts w:hint="eastAsia" w:cs="Times New Roman"/>
        </w:rPr>
        <w:t xml:space="preserve">5 </w:t>
      </w:r>
      <w:r>
        <w:rPr>
          <w:rFonts w:cs="Times New Roman"/>
        </w:rPr>
        <w:t>SA/NSA组网方案</w:t>
      </w:r>
      <w:r>
        <w:tab/>
      </w:r>
      <w:r>
        <w:fldChar w:fldCharType="begin"/>
      </w:r>
      <w:r>
        <w:instrText xml:space="preserve"> PAGEREF _Toc11446 </w:instrText>
      </w:r>
      <w:r>
        <w:fldChar w:fldCharType="separate"/>
      </w:r>
      <w:r>
        <w:t>24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"_Toc17619" </w:instrText>
      </w:r>
      <w:r>
        <w:fldChar w:fldCharType="separate"/>
      </w:r>
      <w:r>
        <w:rPr>
          <w:rFonts w:hint="eastAsia" w:cs="Times New Roman"/>
        </w:rPr>
        <w:t xml:space="preserve">5.1 </w:t>
      </w:r>
      <w:r>
        <w:rPr>
          <w:rFonts w:cs="Times New Roman"/>
        </w:rPr>
        <w:t>组网方式</w:t>
      </w:r>
      <w:r>
        <w:tab/>
      </w:r>
      <w:r>
        <w:fldChar w:fldCharType="begin"/>
      </w:r>
      <w:r>
        <w:instrText xml:space="preserve"> PAGEREF _Toc17619 </w:instrText>
      </w:r>
      <w:r>
        <w:fldChar w:fldCharType="separate"/>
      </w:r>
      <w:r>
        <w:t>24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"_Toc10878" </w:instrText>
      </w:r>
      <w:r>
        <w:fldChar w:fldCharType="separate"/>
      </w:r>
      <w:r>
        <w:rPr>
          <w:rFonts w:hint="eastAsia" w:cs="Times New Roman"/>
        </w:rPr>
        <w:t xml:space="preserve">5.2 </w:t>
      </w:r>
      <w:r>
        <w:rPr>
          <w:rFonts w:cs="Times New Roman"/>
        </w:rPr>
        <w:t>NSA组网锚点方案</w:t>
      </w:r>
      <w:r>
        <w:tab/>
      </w:r>
      <w:r>
        <w:fldChar w:fldCharType="begin"/>
      </w:r>
      <w:r>
        <w:instrText xml:space="preserve"> PAGEREF _Toc10878 </w:instrText>
      </w:r>
      <w:r>
        <w:fldChar w:fldCharType="separate"/>
      </w:r>
      <w:r>
        <w:t>25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"_Toc11876" </w:instrText>
      </w:r>
      <w:r>
        <w:fldChar w:fldCharType="separate"/>
      </w:r>
      <w:r>
        <w:rPr>
          <w:rFonts w:hint="eastAsia" w:cs="Times New Roman"/>
        </w:rPr>
        <w:t xml:space="preserve">5.3 </w:t>
      </w:r>
      <w:r>
        <w:rPr>
          <w:rFonts w:cs="Times New Roman"/>
        </w:rPr>
        <w:t>SA组网方案</w:t>
      </w:r>
      <w:r>
        <w:tab/>
      </w:r>
      <w:r>
        <w:fldChar w:fldCharType="begin"/>
      </w:r>
      <w:r>
        <w:instrText xml:space="preserve"> PAGEREF _Toc11876 </w:instrText>
      </w:r>
      <w:r>
        <w:fldChar w:fldCharType="separate"/>
      </w:r>
      <w:r>
        <w:t>25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"_Toc1838" </w:instrText>
      </w:r>
      <w:r>
        <w:fldChar w:fldCharType="separate"/>
      </w:r>
      <w:r>
        <w:rPr>
          <w:rFonts w:hint="eastAsia" w:cs="Times New Roman"/>
        </w:rPr>
        <w:t xml:space="preserve">6 </w:t>
      </w:r>
      <w:r>
        <w:rPr>
          <w:rFonts w:cs="Times New Roman"/>
        </w:rPr>
        <w:t>C-RAN建设方案</w:t>
      </w:r>
      <w:r>
        <w:tab/>
      </w:r>
      <w:r>
        <w:fldChar w:fldCharType="begin"/>
      </w:r>
      <w:r>
        <w:instrText xml:space="preserve"> PAGEREF _Toc1838 </w:instrText>
      </w:r>
      <w:r>
        <w:fldChar w:fldCharType="separate"/>
      </w:r>
      <w:r>
        <w:t>27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"_Toc1489" </w:instrText>
      </w:r>
      <w:r>
        <w:fldChar w:fldCharType="separate"/>
      </w:r>
      <w:r>
        <w:rPr>
          <w:rFonts w:hint="eastAsia" w:cs="Times New Roman"/>
        </w:rPr>
        <w:t xml:space="preserve">6.1 </w:t>
      </w:r>
      <w:r>
        <w:rPr>
          <w:rFonts w:cs="Times New Roman"/>
        </w:rPr>
        <w:t>C-RAN 规划原则</w:t>
      </w:r>
      <w:r>
        <w:tab/>
      </w:r>
      <w:r>
        <w:fldChar w:fldCharType="begin"/>
      </w:r>
      <w:r>
        <w:instrText xml:space="preserve"> PAGEREF _Toc1489 </w:instrText>
      </w:r>
      <w:r>
        <w:fldChar w:fldCharType="separate"/>
      </w:r>
      <w:r>
        <w:t>27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"_Toc2970" </w:instrText>
      </w:r>
      <w:r>
        <w:fldChar w:fldCharType="separate"/>
      </w:r>
      <w:r>
        <w:rPr>
          <w:rFonts w:hint="eastAsia" w:cs="Times New Roman"/>
        </w:rPr>
        <w:t xml:space="preserve">6.2 </w:t>
      </w:r>
      <w:r>
        <w:rPr>
          <w:rFonts w:cs="Times New Roman"/>
        </w:rPr>
        <w:t>C-RAN 组网基本要求</w:t>
      </w:r>
      <w:r>
        <w:tab/>
      </w:r>
      <w:r>
        <w:fldChar w:fldCharType="begin"/>
      </w:r>
      <w:r>
        <w:instrText xml:space="preserve"> PAGEREF _Toc2970 </w:instrText>
      </w:r>
      <w:r>
        <w:fldChar w:fldCharType="separate"/>
      </w:r>
      <w:r>
        <w:t>28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"_Toc24345" </w:instrText>
      </w:r>
      <w:r>
        <w:fldChar w:fldCharType="separate"/>
      </w:r>
      <w:r>
        <w:rPr>
          <w:rFonts w:hint="eastAsia" w:cs="Times New Roman"/>
        </w:rPr>
        <w:t xml:space="preserve">6.3 </w:t>
      </w:r>
      <w:r>
        <w:rPr>
          <w:rFonts w:cs="Times New Roman"/>
        </w:rPr>
        <w:t>C-RAN 组网分场景要求</w:t>
      </w:r>
      <w:r>
        <w:tab/>
      </w:r>
      <w:r>
        <w:fldChar w:fldCharType="begin"/>
      </w:r>
      <w:r>
        <w:instrText xml:space="preserve"> PAGEREF _Toc24345 </w:instrText>
      </w:r>
      <w:r>
        <w:fldChar w:fldCharType="separate"/>
      </w:r>
      <w:r>
        <w:t>28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"_Toc14394" </w:instrText>
      </w:r>
      <w:r>
        <w:fldChar w:fldCharType="separate"/>
      </w:r>
      <w:r>
        <w:rPr>
          <w:rFonts w:hint="eastAsia" w:cs="Times New Roman"/>
        </w:rPr>
        <w:t xml:space="preserve">6.4 </w:t>
      </w:r>
      <w:r>
        <w:rPr>
          <w:rFonts w:cs="Times New Roman"/>
        </w:rPr>
        <w:t>C-RAN 传输建设要求</w:t>
      </w:r>
      <w:r>
        <w:tab/>
      </w:r>
      <w:r>
        <w:fldChar w:fldCharType="begin"/>
      </w:r>
      <w:r>
        <w:instrText xml:space="preserve"> PAGEREF _Toc14394 </w:instrText>
      </w:r>
      <w:r>
        <w:fldChar w:fldCharType="separate"/>
      </w:r>
      <w:r>
        <w:t>29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"_Toc27498" </w:instrText>
      </w:r>
      <w:r>
        <w:fldChar w:fldCharType="separate"/>
      </w:r>
      <w:r>
        <w:rPr>
          <w:rFonts w:hint="eastAsia" w:cs="Times New Roman"/>
        </w:rPr>
        <w:t xml:space="preserve">6.5 </w:t>
      </w:r>
      <w:r>
        <w:rPr>
          <w:rFonts w:cs="Times New Roman"/>
        </w:rPr>
        <w:t>C-RAN</w:t>
      </w:r>
      <w:r>
        <w:rPr>
          <w:rFonts w:hint="eastAsia" w:cs="Times New Roman"/>
        </w:rPr>
        <w:t xml:space="preserve"> </w:t>
      </w:r>
      <w:r>
        <w:rPr>
          <w:rFonts w:cs="Times New Roman"/>
        </w:rPr>
        <w:t>集中机房建设要求</w:t>
      </w:r>
      <w:r>
        <w:tab/>
      </w:r>
      <w:r>
        <w:fldChar w:fldCharType="begin"/>
      </w:r>
      <w:r>
        <w:instrText xml:space="preserve"> PAGEREF _Toc27498 </w:instrText>
      </w:r>
      <w:r>
        <w:fldChar w:fldCharType="separate"/>
      </w:r>
      <w:r>
        <w:t>30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"_Toc10709" </w:instrText>
      </w:r>
      <w:r>
        <w:fldChar w:fldCharType="separate"/>
      </w:r>
      <w:r>
        <w:rPr>
          <w:rFonts w:hint="eastAsia" w:cs="Times New Roman"/>
        </w:rPr>
        <w:t xml:space="preserve">6.6 </w:t>
      </w:r>
      <w:r>
        <w:rPr>
          <w:rFonts w:cs="Times New Roman"/>
        </w:rPr>
        <w:t>C-RAN 设置方案</w:t>
      </w:r>
      <w:r>
        <w:tab/>
      </w:r>
      <w:r>
        <w:fldChar w:fldCharType="begin"/>
      </w:r>
      <w:r>
        <w:instrText xml:space="preserve"> PAGEREF _Toc10709 </w:instrText>
      </w:r>
      <w:r>
        <w:fldChar w:fldCharType="separate"/>
      </w:r>
      <w:r>
        <w:t>31</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"_Toc27535" </w:instrText>
      </w:r>
      <w:r>
        <w:fldChar w:fldCharType="separate"/>
      </w:r>
      <w:r>
        <w:rPr>
          <w:rFonts w:hint="eastAsia" w:cs="Times New Roman"/>
        </w:rPr>
        <w:t xml:space="preserve">7 </w:t>
      </w:r>
      <w:r>
        <w:rPr>
          <w:rFonts w:cs="Times New Roman"/>
        </w:rPr>
        <w:t>室外基站建设方案</w:t>
      </w:r>
      <w:r>
        <w:tab/>
      </w:r>
      <w:r>
        <w:fldChar w:fldCharType="begin"/>
      </w:r>
      <w:r>
        <w:instrText xml:space="preserve"> PAGEREF _Toc27535 </w:instrText>
      </w:r>
      <w:r>
        <w:fldChar w:fldCharType="separate"/>
      </w:r>
      <w:r>
        <w:t>31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"_Toc24738" </w:instrText>
      </w:r>
      <w:r>
        <w:fldChar w:fldCharType="separate"/>
      </w:r>
      <w:r>
        <w:rPr>
          <w:rFonts w:hint="eastAsia" w:cs="Times New Roman"/>
        </w:rPr>
        <w:t xml:space="preserve">7.1 </w:t>
      </w:r>
      <w:r>
        <w:rPr>
          <w:rFonts w:cs="Times New Roman"/>
        </w:rPr>
        <w:t>覆盖范围</w:t>
      </w:r>
      <w:r>
        <w:tab/>
      </w:r>
      <w:r>
        <w:fldChar w:fldCharType="begin"/>
      </w:r>
      <w:r>
        <w:instrText xml:space="preserve"> PAGEREF _Toc24738 </w:instrText>
      </w:r>
      <w:r>
        <w:fldChar w:fldCharType="separate"/>
      </w:r>
      <w:r>
        <w:t>31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"_Toc32534" </w:instrText>
      </w:r>
      <w:r>
        <w:fldChar w:fldCharType="separate"/>
      </w:r>
      <w:r>
        <w:rPr>
          <w:rFonts w:hint="eastAsia" w:cs="Times New Roman"/>
        </w:rPr>
        <w:t xml:space="preserve">7.2 </w:t>
      </w:r>
      <w:r>
        <w:rPr>
          <w:rFonts w:cs="Times New Roman"/>
        </w:rPr>
        <w:t>基站配置</w:t>
      </w:r>
      <w:r>
        <w:tab/>
      </w:r>
      <w:r>
        <w:fldChar w:fldCharType="begin"/>
      </w:r>
      <w:r>
        <w:instrText xml:space="preserve"> PAGEREF _Toc32534 </w:instrText>
      </w:r>
      <w:r>
        <w:fldChar w:fldCharType="separate"/>
      </w:r>
      <w:r>
        <w:t>33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"_Toc25951" </w:instrText>
      </w:r>
      <w:r>
        <w:fldChar w:fldCharType="separate"/>
      </w:r>
      <w:r>
        <w:rPr>
          <w:rFonts w:hint="eastAsia" w:cs="Times New Roman"/>
        </w:rPr>
        <w:t xml:space="preserve">7.3 </w:t>
      </w:r>
      <w:r>
        <w:rPr>
          <w:rFonts w:cs="Times New Roman"/>
        </w:rPr>
        <w:t>站址设置原则</w:t>
      </w:r>
      <w:r>
        <w:tab/>
      </w:r>
      <w:r>
        <w:fldChar w:fldCharType="begin"/>
      </w:r>
      <w:r>
        <w:instrText xml:space="preserve"> PAGEREF _Toc25951 </w:instrText>
      </w:r>
      <w:r>
        <w:fldChar w:fldCharType="separate"/>
      </w:r>
      <w:r>
        <w:t>33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"_Toc32137" </w:instrText>
      </w:r>
      <w:r>
        <w:fldChar w:fldCharType="separate"/>
      </w:r>
      <w:r>
        <w:rPr>
          <w:rFonts w:hint="eastAsia" w:cs="Times New Roman"/>
        </w:rPr>
        <w:t xml:space="preserve">7.4 </w:t>
      </w:r>
      <w:r>
        <w:rPr>
          <w:rFonts w:cs="Times New Roman"/>
        </w:rPr>
        <w:t>天馈设置原则</w:t>
      </w:r>
      <w:r>
        <w:tab/>
      </w:r>
      <w:r>
        <w:fldChar w:fldCharType="begin"/>
      </w:r>
      <w:r>
        <w:instrText xml:space="preserve"> PAGEREF _Toc32137 </w:instrText>
      </w:r>
      <w:r>
        <w:fldChar w:fldCharType="separate"/>
      </w:r>
      <w:r>
        <w:t>34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"_Toc25641" </w:instrText>
      </w:r>
      <w:r>
        <w:fldChar w:fldCharType="separate"/>
      </w:r>
      <w:r>
        <w:rPr>
          <w:rFonts w:hint="eastAsia" w:cs="Times New Roman"/>
        </w:rPr>
        <w:t xml:space="preserve">7.5 </w:t>
      </w:r>
      <w:r>
        <w:rPr>
          <w:rFonts w:cs="Times New Roman"/>
        </w:rPr>
        <w:t>基站设置方案</w:t>
      </w:r>
      <w:r>
        <w:tab/>
      </w:r>
      <w:r>
        <w:fldChar w:fldCharType="begin"/>
      </w:r>
      <w:r>
        <w:instrText xml:space="preserve"> PAGEREF _Toc25641 </w:instrText>
      </w:r>
      <w:r>
        <w:fldChar w:fldCharType="separate"/>
      </w:r>
      <w:r>
        <w:t>37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"_Toc12897" </w:instrText>
      </w:r>
      <w:r>
        <w:fldChar w:fldCharType="separate"/>
      </w:r>
      <w:r>
        <w:rPr>
          <w:rFonts w:hint="eastAsia" w:cs="Times New Roman"/>
        </w:rPr>
        <w:t xml:space="preserve">7.6 </w:t>
      </w:r>
      <w:r>
        <w:rPr>
          <w:rFonts w:cs="Times New Roman"/>
        </w:rPr>
        <w:t>建设规模</w:t>
      </w:r>
      <w:r>
        <w:tab/>
      </w:r>
      <w:r>
        <w:fldChar w:fldCharType="begin"/>
      </w:r>
      <w:r>
        <w:instrText xml:space="preserve"> PAGEREF _Toc12897 </w:instrText>
      </w:r>
      <w:r>
        <w:fldChar w:fldCharType="separate"/>
      </w:r>
      <w:r>
        <w:t>40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"_Toc21281" </w:instrText>
      </w:r>
      <w:r>
        <w:fldChar w:fldCharType="separate"/>
      </w:r>
      <w:r>
        <w:rPr>
          <w:rFonts w:hint="eastAsia" w:cs="Times New Roman"/>
        </w:rPr>
        <w:t xml:space="preserve">7.7 </w:t>
      </w:r>
      <w:r>
        <w:rPr>
          <w:rFonts w:cs="Times New Roman"/>
        </w:rPr>
        <w:t>主要工程量</w:t>
      </w:r>
      <w:r>
        <w:tab/>
      </w:r>
      <w:r>
        <w:fldChar w:fldCharType="begin"/>
      </w:r>
      <w:r>
        <w:instrText xml:space="preserve"> PAGEREF _Toc21281 </w:instrText>
      </w:r>
      <w:r>
        <w:fldChar w:fldCharType="separate"/>
      </w:r>
      <w:r>
        <w:t>43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"_Toc22942" </w:instrText>
      </w:r>
      <w:r>
        <w:fldChar w:fldCharType="separate"/>
      </w:r>
      <w:r>
        <w:rPr>
          <w:rFonts w:hint="eastAsia" w:cs="Times New Roman"/>
        </w:rPr>
        <w:t xml:space="preserve">7.8 </w:t>
      </w:r>
      <w:r>
        <w:rPr>
          <w:rFonts w:cs="Times New Roman"/>
        </w:rPr>
        <w:t>室外基站安装工程量参见附表3。无线网络仿真</w:t>
      </w:r>
      <w:r>
        <w:tab/>
      </w:r>
      <w:r>
        <w:fldChar w:fldCharType="begin"/>
      </w:r>
      <w:r>
        <w:instrText xml:space="preserve"> PAGEREF _Toc22942 </w:instrText>
      </w:r>
      <w:r>
        <w:fldChar w:fldCharType="separate"/>
      </w:r>
      <w:r>
        <w:t>43</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"_Toc11035" </w:instrText>
      </w:r>
      <w:r>
        <w:fldChar w:fldCharType="separate"/>
      </w:r>
      <w:r>
        <w:rPr>
          <w:rFonts w:hint="eastAsia" w:cs="Times New Roman"/>
        </w:rPr>
        <w:t xml:space="preserve">8 </w:t>
      </w:r>
      <w:r>
        <w:rPr>
          <w:rFonts w:cs="Times New Roman"/>
        </w:rPr>
        <w:t>主要参数设置方案</w:t>
      </w:r>
      <w:r>
        <w:tab/>
      </w:r>
      <w:r>
        <w:fldChar w:fldCharType="begin"/>
      </w:r>
      <w:r>
        <w:instrText xml:space="preserve"> PAGEREF _Toc11035 </w:instrText>
      </w:r>
      <w:r>
        <w:fldChar w:fldCharType="separate"/>
      </w:r>
      <w:r>
        <w:t>44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"_Toc27187" </w:instrText>
      </w:r>
      <w:r>
        <w:fldChar w:fldCharType="separate"/>
      </w:r>
      <w:r>
        <w:rPr>
          <w:rFonts w:hint="eastAsia" w:cs="Times New Roman"/>
        </w:rPr>
        <w:t xml:space="preserve">8.1 </w:t>
      </w:r>
      <w:r>
        <w:rPr>
          <w:rFonts w:cs="Times New Roman"/>
        </w:rPr>
        <w:t>PCI设置</w:t>
      </w:r>
      <w:r>
        <w:tab/>
      </w:r>
      <w:r>
        <w:fldChar w:fldCharType="begin"/>
      </w:r>
      <w:r>
        <w:instrText xml:space="preserve"> PAGEREF _Toc27187 </w:instrText>
      </w:r>
      <w:r>
        <w:fldChar w:fldCharType="separate"/>
      </w:r>
      <w:r>
        <w:t>44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"_Toc10992" </w:instrText>
      </w:r>
      <w:r>
        <w:fldChar w:fldCharType="separate"/>
      </w:r>
      <w:r>
        <w:rPr>
          <w:rFonts w:hint="eastAsia" w:cs="Times New Roman"/>
        </w:rPr>
        <w:t xml:space="preserve">8.2 </w:t>
      </w:r>
      <w:r>
        <w:rPr>
          <w:rFonts w:cs="Times New Roman"/>
        </w:rPr>
        <w:t>TA及TAI</w:t>
      </w:r>
      <w:r>
        <w:rPr>
          <w:rFonts w:cs="Times New Roman"/>
          <w:kern w:val="0"/>
        </w:rPr>
        <w:t>设置</w:t>
      </w:r>
      <w:r>
        <w:tab/>
      </w:r>
      <w:r>
        <w:fldChar w:fldCharType="begin"/>
      </w:r>
      <w:r>
        <w:instrText xml:space="preserve"> PAGEREF _Toc10992 </w:instrText>
      </w:r>
      <w:r>
        <w:fldChar w:fldCharType="separate"/>
      </w:r>
      <w:r>
        <w:t>44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"_Toc25755" </w:instrText>
      </w:r>
      <w:r>
        <w:fldChar w:fldCharType="separate"/>
      </w:r>
      <w:r>
        <w:rPr>
          <w:rFonts w:hint="eastAsia" w:cs="Times New Roman"/>
        </w:rPr>
        <w:t xml:space="preserve">8.3 </w:t>
      </w:r>
      <w:r>
        <w:rPr>
          <w:rFonts w:cs="Times New Roman"/>
        </w:rPr>
        <w:t>基站标识</w:t>
      </w:r>
      <w:r>
        <w:tab/>
      </w:r>
      <w:r>
        <w:fldChar w:fldCharType="begin"/>
      </w:r>
      <w:r>
        <w:instrText xml:space="preserve"> PAGEREF _Toc25755 </w:instrText>
      </w:r>
      <w:r>
        <w:fldChar w:fldCharType="separate"/>
      </w:r>
      <w:r>
        <w:t>45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"_Toc8742" </w:instrText>
      </w:r>
      <w:r>
        <w:fldChar w:fldCharType="separate"/>
      </w:r>
      <w:r>
        <w:rPr>
          <w:rFonts w:hint="eastAsia" w:cs="Times New Roman"/>
        </w:rPr>
        <w:t xml:space="preserve">8.4 </w:t>
      </w:r>
      <w:r>
        <w:rPr>
          <w:rFonts w:cs="Times New Roman"/>
        </w:rPr>
        <w:t>小区标识NCGI</w:t>
      </w:r>
      <w:r>
        <w:tab/>
      </w:r>
      <w:r>
        <w:fldChar w:fldCharType="begin"/>
      </w:r>
      <w:r>
        <w:instrText xml:space="preserve"> PAGEREF _Toc8742 </w:instrText>
      </w:r>
      <w:r>
        <w:fldChar w:fldCharType="separate"/>
      </w:r>
      <w:r>
        <w:t>47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"_Toc20309" </w:instrText>
      </w:r>
      <w:r>
        <w:fldChar w:fldCharType="separate"/>
      </w:r>
      <w:r>
        <w:rPr>
          <w:rFonts w:hint="eastAsia" w:cs="Times New Roman"/>
        </w:rPr>
        <w:t xml:space="preserve">8.5 </w:t>
      </w:r>
      <w:r>
        <w:rPr>
          <w:rFonts w:cs="Times New Roman"/>
        </w:rPr>
        <w:t>IP地址</w:t>
      </w:r>
      <w:r>
        <w:tab/>
      </w:r>
      <w:r>
        <w:fldChar w:fldCharType="begin"/>
      </w:r>
      <w:r>
        <w:instrText xml:space="preserve"> PAGEREF _Toc20309 </w:instrText>
      </w:r>
      <w:r>
        <w:fldChar w:fldCharType="separate"/>
      </w:r>
      <w:r>
        <w:t>47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"_Toc26119" </w:instrText>
      </w:r>
      <w:r>
        <w:fldChar w:fldCharType="separate"/>
      </w:r>
      <w:r>
        <w:rPr>
          <w:rFonts w:hint="eastAsia" w:cs="Times New Roman"/>
        </w:rPr>
        <w:t xml:space="preserve">9 </w:t>
      </w:r>
      <w:r>
        <w:rPr>
          <w:rFonts w:cs="Times New Roman"/>
        </w:rPr>
        <w:t>OMC-R设置方案</w:t>
      </w:r>
      <w:r>
        <w:tab/>
      </w:r>
      <w:r>
        <w:fldChar w:fldCharType="begin"/>
      </w:r>
      <w:r>
        <w:instrText xml:space="preserve"> PAGEREF _Toc26119 </w:instrText>
      </w:r>
      <w:r>
        <w:fldChar w:fldCharType="separate"/>
      </w:r>
      <w:r>
        <w:t>47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"_Toc6179" </w:instrText>
      </w:r>
      <w:r>
        <w:fldChar w:fldCharType="separate"/>
      </w:r>
      <w:r>
        <w:rPr>
          <w:rFonts w:hint="eastAsia"/>
        </w:rPr>
        <w:t xml:space="preserve">9.1 </w:t>
      </w:r>
      <w:r>
        <w:t>OMC-R</w:t>
      </w:r>
      <w:r>
        <w:rPr>
          <w:rFonts w:hint="eastAsia"/>
        </w:rPr>
        <w:t>系统组网方式</w:t>
      </w:r>
      <w:r>
        <w:tab/>
      </w:r>
      <w:r>
        <w:fldChar w:fldCharType="begin"/>
      </w:r>
      <w:r>
        <w:instrText xml:space="preserve"> PAGEREF _Toc6179 </w:instrText>
      </w:r>
      <w:r>
        <w:fldChar w:fldCharType="separate"/>
      </w:r>
      <w:r>
        <w:t>48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"_Toc27754" </w:instrText>
      </w:r>
      <w:r>
        <w:fldChar w:fldCharType="separate"/>
      </w:r>
      <w:r>
        <w:rPr>
          <w:rFonts w:hint="eastAsia"/>
        </w:rPr>
        <w:t>9.2 基站与</w:t>
      </w:r>
      <w:r>
        <w:t>OMC-R</w:t>
      </w:r>
      <w:r>
        <w:rPr>
          <w:rFonts w:hint="eastAsia"/>
        </w:rPr>
        <w:t>的连接方式</w:t>
      </w:r>
      <w:r>
        <w:tab/>
      </w:r>
      <w:r>
        <w:fldChar w:fldCharType="begin"/>
      </w:r>
      <w:r>
        <w:instrText xml:space="preserve"> PAGEREF _Toc27754 </w:instrText>
      </w:r>
      <w:r>
        <w:fldChar w:fldCharType="separate"/>
      </w:r>
      <w:r>
        <w:t>48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"_Toc2097" </w:instrText>
      </w:r>
      <w:r>
        <w:fldChar w:fldCharType="separate"/>
      </w:r>
      <w:r>
        <w:rPr>
          <w:rFonts w:hint="eastAsia"/>
        </w:rPr>
        <w:t xml:space="preserve">9.3 </w:t>
      </w:r>
      <w:r>
        <w:t>OMC-R</w:t>
      </w:r>
      <w:r>
        <w:rPr>
          <w:rFonts w:hint="eastAsia"/>
        </w:rPr>
        <w:t>与</w:t>
      </w:r>
      <w:r>
        <w:t>OMC</w:t>
      </w:r>
      <w:r>
        <w:rPr>
          <w:rFonts w:hint="eastAsia"/>
        </w:rPr>
        <w:t>操作维护终端组网方式</w:t>
      </w:r>
      <w:r>
        <w:tab/>
      </w:r>
      <w:r>
        <w:fldChar w:fldCharType="begin"/>
      </w:r>
      <w:r>
        <w:instrText xml:space="preserve"> PAGEREF _Toc2097 </w:instrText>
      </w:r>
      <w:r>
        <w:fldChar w:fldCharType="separate"/>
      </w:r>
      <w:r>
        <w:t>48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"_Toc8628" </w:instrText>
      </w:r>
      <w:r>
        <w:fldChar w:fldCharType="separate"/>
      </w:r>
      <w:r>
        <w:rPr>
          <w:rFonts w:hint="eastAsia"/>
        </w:rPr>
        <w:t xml:space="preserve">9.4 </w:t>
      </w:r>
      <w:r>
        <w:t>OMC-R</w:t>
      </w:r>
      <w:r>
        <w:rPr>
          <w:rFonts w:hint="eastAsia"/>
        </w:rPr>
        <w:t>建设方案</w:t>
      </w:r>
      <w:r>
        <w:tab/>
      </w:r>
      <w:r>
        <w:fldChar w:fldCharType="begin"/>
      </w:r>
      <w:r>
        <w:instrText xml:space="preserve"> PAGEREF _Toc8628 </w:instrText>
      </w:r>
      <w:r>
        <w:fldChar w:fldCharType="separate"/>
      </w:r>
      <w:r>
        <w:t>49</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"_Toc10904" </w:instrText>
      </w:r>
      <w:r>
        <w:fldChar w:fldCharType="separate"/>
      </w:r>
      <w:r>
        <w:rPr>
          <w:rFonts w:hint="eastAsia" w:cs="Times New Roman"/>
        </w:rPr>
        <w:t xml:space="preserve">10 </w:t>
      </w:r>
      <w:r>
        <w:rPr>
          <w:rFonts w:cs="Times New Roman"/>
        </w:rPr>
        <w:t>系统间干扰规避</w:t>
      </w:r>
      <w:r>
        <w:tab/>
      </w:r>
      <w:r>
        <w:fldChar w:fldCharType="begin"/>
      </w:r>
      <w:r>
        <w:instrText xml:space="preserve"> PAGEREF _Toc10904 </w:instrText>
      </w:r>
      <w:r>
        <w:fldChar w:fldCharType="separate"/>
      </w:r>
      <w:r>
        <w:t>49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"_Toc31699" </w:instrText>
      </w:r>
      <w:r>
        <w:fldChar w:fldCharType="separate"/>
      </w:r>
      <w:r>
        <w:rPr>
          <w:rFonts w:hint="eastAsia" w:cs="Times New Roman"/>
        </w:rPr>
        <w:t xml:space="preserve">10.1 </w:t>
      </w:r>
      <w:r>
        <w:rPr>
          <w:rFonts w:cs="Times New Roman"/>
        </w:rPr>
        <w:t>5G NR（2.6GHz频段）与其它移动通信系统共站时的干扰协调</w:t>
      </w:r>
      <w:r>
        <w:tab/>
      </w:r>
      <w:r>
        <w:fldChar w:fldCharType="begin"/>
      </w:r>
      <w:r>
        <w:instrText xml:space="preserve"> PAGEREF _Toc31699 </w:instrText>
      </w:r>
      <w:r>
        <w:fldChar w:fldCharType="separate"/>
      </w:r>
      <w:r>
        <w:t>49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"_Toc16345" </w:instrText>
      </w:r>
      <w:r>
        <w:fldChar w:fldCharType="separate"/>
      </w:r>
      <w:r>
        <w:rPr>
          <w:rFonts w:hint="eastAsia" w:cs="Times New Roman"/>
        </w:rPr>
        <w:t xml:space="preserve">10.2 </w:t>
      </w:r>
      <w:r>
        <w:rPr>
          <w:rFonts w:cs="Times New Roman"/>
        </w:rPr>
        <w:t>5G NR（4.9GHz频段）与其它移动通信系统共站时的干扰协调</w:t>
      </w:r>
      <w:r>
        <w:tab/>
      </w:r>
      <w:r>
        <w:fldChar w:fldCharType="begin"/>
      </w:r>
      <w:r>
        <w:instrText xml:space="preserve"> PAGEREF _Toc16345 </w:instrText>
      </w:r>
      <w:r>
        <w:fldChar w:fldCharType="separate"/>
      </w:r>
      <w:r>
        <w:t>50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"_Toc6737" </w:instrText>
      </w:r>
      <w:r>
        <w:fldChar w:fldCharType="separate"/>
      </w:r>
      <w:r>
        <w:rPr>
          <w:rFonts w:hint="eastAsia" w:cs="Times New Roman"/>
        </w:rPr>
        <w:t xml:space="preserve">10.3 </w:t>
      </w:r>
      <w:r>
        <w:rPr>
          <w:rFonts w:cs="Times New Roman"/>
        </w:rPr>
        <w:t>5G NR（2.6GHz频段）与其他无线电台（站）的干扰协调</w:t>
      </w:r>
      <w:r>
        <w:tab/>
      </w:r>
      <w:r>
        <w:fldChar w:fldCharType="begin"/>
      </w:r>
      <w:r>
        <w:instrText xml:space="preserve"> PAGEREF _Toc6737 </w:instrText>
      </w:r>
      <w:r>
        <w:fldChar w:fldCharType="separate"/>
      </w:r>
      <w:r>
        <w:t>51</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"_Toc28223" </w:instrText>
      </w:r>
      <w:r>
        <w:fldChar w:fldCharType="separate"/>
      </w:r>
      <w:r>
        <w:rPr>
          <w:rFonts w:hint="eastAsia" w:cs="Times New Roman"/>
        </w:rPr>
        <w:t xml:space="preserve">10.4 </w:t>
      </w:r>
      <w:r>
        <w:rPr>
          <w:rFonts w:cs="Times New Roman"/>
        </w:rPr>
        <w:t>5G NR（4.9GHz频段）与卫星地球站等无线电台（站）的干扰协调</w:t>
      </w:r>
      <w:r>
        <w:tab/>
      </w:r>
      <w:r>
        <w:fldChar w:fldCharType="begin"/>
      </w:r>
      <w:r>
        <w:instrText xml:space="preserve"> PAGEREF _Toc28223 </w:instrText>
      </w:r>
      <w:r>
        <w:fldChar w:fldCharType="separate"/>
      </w:r>
      <w:r>
        <w:t>52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"_Toc935" </w:instrText>
      </w:r>
      <w:r>
        <w:fldChar w:fldCharType="separate"/>
      </w:r>
      <w:r>
        <w:rPr>
          <w:rFonts w:hint="eastAsia" w:cs="Times New Roman"/>
        </w:rPr>
        <w:t xml:space="preserve">10.5 </w:t>
      </w:r>
      <w:r>
        <w:rPr>
          <w:rFonts w:cs="Times New Roman"/>
        </w:rPr>
        <w:t>5G NR与室内覆盖系统的干扰协调</w:t>
      </w:r>
      <w:r>
        <w:tab/>
      </w:r>
      <w:r>
        <w:fldChar w:fldCharType="begin"/>
      </w:r>
      <w:r>
        <w:instrText xml:space="preserve"> PAGEREF _Toc935 </w:instrText>
      </w:r>
      <w:r>
        <w:fldChar w:fldCharType="separate"/>
      </w:r>
      <w:r>
        <w:t>55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"_Toc7755" </w:instrText>
      </w:r>
      <w:r>
        <w:fldChar w:fldCharType="separate"/>
      </w:r>
      <w:r>
        <w:rPr>
          <w:rFonts w:hint="eastAsia" w:cs="Times New Roman"/>
        </w:rPr>
        <w:t xml:space="preserve">11 </w:t>
      </w:r>
      <w:r>
        <w:rPr>
          <w:rFonts w:cs="Times New Roman"/>
        </w:rPr>
        <w:t>设备选型</w:t>
      </w:r>
      <w:r>
        <w:tab/>
      </w:r>
      <w:r>
        <w:fldChar w:fldCharType="begin"/>
      </w:r>
      <w:r>
        <w:instrText xml:space="preserve"> PAGEREF _Toc7755 </w:instrText>
      </w:r>
      <w:r>
        <w:fldChar w:fldCharType="separate"/>
      </w:r>
      <w:r>
        <w:t>56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"_Toc21110" </w:instrText>
      </w:r>
      <w:r>
        <w:fldChar w:fldCharType="separate"/>
      </w:r>
      <w:r>
        <w:rPr>
          <w:rFonts w:hint="eastAsia" w:cs="Times New Roman"/>
        </w:rPr>
        <w:t xml:space="preserve">11.1 </w:t>
      </w:r>
      <w:r>
        <w:rPr>
          <w:rFonts w:cs="Times New Roman"/>
        </w:rPr>
        <w:t>gNB</w:t>
      </w:r>
      <w:r>
        <w:tab/>
      </w:r>
      <w:r>
        <w:fldChar w:fldCharType="begin"/>
      </w:r>
      <w:r>
        <w:instrText xml:space="preserve"> PAGEREF _Toc21110 </w:instrText>
      </w:r>
      <w:r>
        <w:fldChar w:fldCharType="separate"/>
      </w:r>
      <w:r>
        <w:t>56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"_Toc11166" </w:instrText>
      </w:r>
      <w:r>
        <w:fldChar w:fldCharType="separate"/>
      </w:r>
      <w:r>
        <w:rPr>
          <w:rFonts w:hint="eastAsia" w:cs="Times New Roman"/>
        </w:rPr>
        <w:t xml:space="preserve">11.2 </w:t>
      </w:r>
      <w:r>
        <w:rPr>
          <w:rFonts w:cs="Times New Roman"/>
        </w:rPr>
        <w:t>OMC-R</w:t>
      </w:r>
      <w:r>
        <w:tab/>
      </w:r>
      <w:r>
        <w:fldChar w:fldCharType="begin"/>
      </w:r>
      <w:r>
        <w:instrText xml:space="preserve"> PAGEREF _Toc11166 </w:instrText>
      </w:r>
      <w:r>
        <w:fldChar w:fldCharType="separate"/>
      </w:r>
      <w:r>
        <w:t>58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"_Toc31067" </w:instrText>
      </w:r>
      <w:r>
        <w:fldChar w:fldCharType="separate"/>
      </w:r>
      <w:r>
        <w:rPr>
          <w:rFonts w:hint="eastAsia" w:cs="Times New Roman"/>
        </w:rPr>
        <w:t xml:space="preserve">11.3 </w:t>
      </w:r>
      <w:r>
        <w:rPr>
          <w:rFonts w:cs="Times New Roman"/>
        </w:rPr>
        <w:t>设备抗地震性能要求</w:t>
      </w:r>
      <w:r>
        <w:tab/>
      </w:r>
      <w:r>
        <w:fldChar w:fldCharType="begin"/>
      </w:r>
      <w:r>
        <w:instrText xml:space="preserve"> PAGEREF _Toc31067 </w:instrText>
      </w:r>
      <w:r>
        <w:fldChar w:fldCharType="separate"/>
      </w:r>
      <w:r>
        <w:t>58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"_Toc5620" </w:instrText>
      </w:r>
      <w:r>
        <w:fldChar w:fldCharType="separate"/>
      </w:r>
      <w:r>
        <w:rPr>
          <w:rFonts w:hint="eastAsia" w:cs="Times New Roman"/>
        </w:rPr>
        <w:t xml:space="preserve">11.4 </w:t>
      </w:r>
      <w:r>
        <w:rPr>
          <w:rFonts w:cs="Times New Roman"/>
        </w:rPr>
        <w:t>基站主设备电力电缆要求</w:t>
      </w:r>
      <w:r>
        <w:tab/>
      </w:r>
      <w:r>
        <w:fldChar w:fldCharType="begin"/>
      </w:r>
      <w:r>
        <w:instrText xml:space="preserve"> PAGEREF _Toc5620 </w:instrText>
      </w:r>
      <w:r>
        <w:fldChar w:fldCharType="separate"/>
      </w:r>
      <w:r>
        <w:t>58</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"_Toc14957" </w:instrText>
      </w:r>
      <w:r>
        <w:fldChar w:fldCharType="separate"/>
      </w:r>
      <w:r>
        <w:rPr>
          <w:rFonts w:hint="eastAsia" w:cs="Times New Roman"/>
        </w:rPr>
        <w:t xml:space="preserve">12 </w:t>
      </w:r>
      <w:r>
        <w:rPr>
          <w:rFonts w:cs="Times New Roman"/>
        </w:rPr>
        <w:t>设备安装及抗震加固</w:t>
      </w:r>
      <w:r>
        <w:tab/>
      </w:r>
      <w:r>
        <w:fldChar w:fldCharType="begin"/>
      </w:r>
      <w:r>
        <w:instrText xml:space="preserve"> PAGEREF _Toc14957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"_Toc31529" </w:instrText>
      </w:r>
      <w:r>
        <w:fldChar w:fldCharType="separate"/>
      </w:r>
      <w:r>
        <w:rPr>
          <w:rFonts w:hint="eastAsia" w:cs="Times New Roman"/>
        </w:rPr>
        <w:t xml:space="preserve">12.1 </w:t>
      </w:r>
      <w:r>
        <w:rPr>
          <w:rFonts w:cs="Times New Roman"/>
        </w:rPr>
        <w:t>基站设备平面布置及安装</w:t>
      </w:r>
      <w:r>
        <w:tab/>
      </w:r>
      <w:r>
        <w:fldChar w:fldCharType="begin"/>
      </w:r>
      <w:r>
        <w:instrText xml:space="preserve"> PAGEREF _Toc31529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"_Toc6059" </w:instrText>
      </w:r>
      <w:r>
        <w:fldChar w:fldCharType="separate"/>
      </w:r>
      <w:r>
        <w:rPr>
          <w:rFonts w:hint="eastAsia" w:cs="Times New Roman"/>
        </w:rPr>
        <w:t xml:space="preserve">12.2 </w:t>
      </w:r>
      <w:r>
        <w:rPr>
          <w:rFonts w:cs="Times New Roman"/>
        </w:rPr>
        <w:t>基站走线架平面布置及安装</w:t>
      </w:r>
      <w:r>
        <w:tab/>
      </w:r>
      <w:r>
        <w:fldChar w:fldCharType="begin"/>
      </w:r>
      <w:r>
        <w:instrText xml:space="preserve"> PAGEREF _Toc6059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"_Toc10866" </w:instrText>
      </w:r>
      <w:r>
        <w:fldChar w:fldCharType="separate"/>
      </w:r>
      <w:r>
        <w:rPr>
          <w:rFonts w:hint="eastAsia" w:cs="Times New Roman"/>
        </w:rPr>
        <w:t xml:space="preserve">12.3 </w:t>
      </w:r>
      <w:r>
        <w:rPr>
          <w:rFonts w:cs="Times New Roman"/>
        </w:rPr>
        <w:t>基站天馈</w:t>
      </w:r>
      <w:r>
        <w:rPr>
          <w:rFonts w:hint="eastAsia" w:cs="Times New Roman"/>
        </w:rPr>
        <w:t>设备</w:t>
      </w:r>
      <w:r>
        <w:rPr>
          <w:rFonts w:cs="Times New Roman"/>
        </w:rPr>
        <w:t>布置及安装</w:t>
      </w:r>
      <w:r>
        <w:tab/>
      </w:r>
      <w:r>
        <w:fldChar w:fldCharType="begin"/>
      </w:r>
      <w:r>
        <w:instrText xml:space="preserve"> PAGEREF _Toc10866 </w:instrText>
      </w:r>
      <w:r>
        <w:fldChar w:fldCharType="separate"/>
      </w:r>
      <w:r>
        <w:t>59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"_Toc27622" </w:instrText>
      </w:r>
      <w:r>
        <w:fldChar w:fldCharType="separate"/>
      </w:r>
      <w:r>
        <w:rPr>
          <w:rFonts w:hint="eastAsia" w:cs="Times New Roman"/>
        </w:rPr>
        <w:t xml:space="preserve">12.4 </w:t>
      </w:r>
      <w:r>
        <w:rPr>
          <w:rFonts w:cs="Times New Roman"/>
        </w:rPr>
        <w:t>基站</w:t>
      </w:r>
      <w:r>
        <w:rPr>
          <w:rFonts w:hint="eastAsia" w:cs="Times New Roman"/>
        </w:rPr>
        <w:t>线缆布放</w:t>
      </w:r>
      <w:r>
        <w:tab/>
      </w:r>
      <w:r>
        <w:fldChar w:fldCharType="begin"/>
      </w:r>
      <w:r>
        <w:instrText xml:space="preserve"> PAGEREF _Toc27622 </w:instrText>
      </w:r>
      <w:r>
        <w:fldChar w:fldCharType="separate"/>
      </w:r>
      <w:r>
        <w:t>62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"_Toc25118" </w:instrText>
      </w:r>
      <w:r>
        <w:fldChar w:fldCharType="separate"/>
      </w:r>
      <w:r>
        <w:rPr>
          <w:rFonts w:hint="eastAsia" w:cs="Times New Roman"/>
        </w:rPr>
        <w:t xml:space="preserve">12.5 </w:t>
      </w:r>
      <w:r>
        <w:rPr>
          <w:rFonts w:cs="Times New Roman"/>
        </w:rPr>
        <w:t>抗震加固要求</w:t>
      </w:r>
      <w:r>
        <w:tab/>
      </w:r>
      <w:r>
        <w:fldChar w:fldCharType="begin"/>
      </w:r>
      <w:r>
        <w:instrText xml:space="preserve"> PAGEREF _Toc25118 </w:instrText>
      </w:r>
      <w:r>
        <w:fldChar w:fldCharType="separate"/>
      </w:r>
      <w:r>
        <w:t>62</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"_Toc6122" </w:instrText>
      </w:r>
      <w:r>
        <w:fldChar w:fldCharType="separate"/>
      </w:r>
      <w:r>
        <w:rPr>
          <w:rFonts w:hint="eastAsia" w:cs="Times New Roman"/>
        </w:rPr>
        <w:t xml:space="preserve">13 </w:t>
      </w:r>
      <w:r>
        <w:rPr>
          <w:rFonts w:cs="Times New Roman"/>
        </w:rPr>
        <w:t>工艺要求</w:t>
      </w:r>
      <w:r>
        <w:tab/>
      </w:r>
      <w:r>
        <w:fldChar w:fldCharType="begin"/>
      </w:r>
      <w:r>
        <w:instrText xml:space="preserve"> PAGEREF _Toc6122 </w:instrText>
      </w:r>
      <w:r>
        <w:fldChar w:fldCharType="separate"/>
      </w:r>
      <w:r>
        <w:t>73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"_Toc5278" </w:instrText>
      </w:r>
      <w:r>
        <w:fldChar w:fldCharType="separate"/>
      </w:r>
      <w:r>
        <w:rPr>
          <w:rFonts w:hint="eastAsia" w:cs="Times New Roman"/>
        </w:rPr>
        <w:t xml:space="preserve">13.1 </w:t>
      </w:r>
      <w:r>
        <w:rPr>
          <w:rFonts w:cs="Times New Roman"/>
        </w:rPr>
        <w:t>机房土建工艺要求</w:t>
      </w:r>
      <w:r>
        <w:tab/>
      </w:r>
      <w:r>
        <w:fldChar w:fldCharType="begin"/>
      </w:r>
      <w:r>
        <w:instrText xml:space="preserve"> PAGEREF _Toc5278 </w:instrText>
      </w:r>
      <w:r>
        <w:fldChar w:fldCharType="separate"/>
      </w:r>
      <w:r>
        <w:t>73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"_Toc19948" </w:instrText>
      </w:r>
      <w:r>
        <w:fldChar w:fldCharType="separate"/>
      </w:r>
      <w:r>
        <w:rPr>
          <w:rFonts w:hint="eastAsia" w:cs="Times New Roman"/>
        </w:rPr>
        <w:t xml:space="preserve">13.2 </w:t>
      </w:r>
      <w:r>
        <w:rPr>
          <w:rFonts w:cs="Times New Roman"/>
        </w:rPr>
        <w:t>铁塔工艺要求</w:t>
      </w:r>
      <w:r>
        <w:tab/>
      </w:r>
      <w:r>
        <w:fldChar w:fldCharType="begin"/>
      </w:r>
      <w:r>
        <w:instrText xml:space="preserve"> PAGEREF _Toc19948 </w:instrText>
      </w:r>
      <w:r>
        <w:fldChar w:fldCharType="separate"/>
      </w:r>
      <w:r>
        <w:t>74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"_Toc13998" </w:instrText>
      </w:r>
      <w:r>
        <w:fldChar w:fldCharType="separate"/>
      </w:r>
      <w:r>
        <w:rPr>
          <w:rFonts w:hint="eastAsia" w:cs="Times New Roman"/>
        </w:rPr>
        <w:t xml:space="preserve">13.3 </w:t>
      </w:r>
      <w:r>
        <w:rPr>
          <w:rFonts w:cs="Times New Roman"/>
        </w:rPr>
        <w:t>防雷与接地要求</w:t>
      </w:r>
      <w:r>
        <w:tab/>
      </w:r>
      <w:r>
        <w:fldChar w:fldCharType="begin"/>
      </w:r>
      <w:r>
        <w:instrText xml:space="preserve"> PAGEREF _Toc13998 </w:instrText>
      </w:r>
      <w:r>
        <w:fldChar w:fldCharType="separate"/>
      </w:r>
      <w:r>
        <w:t>75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"_Toc5526" </w:instrText>
      </w:r>
      <w:r>
        <w:fldChar w:fldCharType="separate"/>
      </w:r>
      <w:r>
        <w:rPr>
          <w:rFonts w:hint="eastAsia" w:cs="Times New Roman"/>
        </w:rPr>
        <w:t xml:space="preserve">14 </w:t>
      </w:r>
      <w:r>
        <w:rPr>
          <w:rFonts w:cs="Times New Roman"/>
        </w:rPr>
        <w:t>消防安全</w:t>
      </w:r>
      <w:r>
        <w:tab/>
      </w:r>
      <w:r>
        <w:fldChar w:fldCharType="begin"/>
      </w:r>
      <w:r>
        <w:instrText xml:space="preserve"> PAGEREF _Toc5526 </w:instrText>
      </w:r>
      <w:r>
        <w:fldChar w:fldCharType="separate"/>
      </w:r>
      <w:r>
        <w:t>77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"_Toc26570" </w:instrText>
      </w:r>
      <w:r>
        <w:fldChar w:fldCharType="separate"/>
      </w:r>
      <w:r>
        <w:rPr>
          <w:rFonts w:hint="eastAsia" w:cs="Times New Roman"/>
        </w:rPr>
        <w:t xml:space="preserve">15 </w:t>
      </w:r>
      <w:r>
        <w:rPr>
          <w:rFonts w:cs="Times New Roman"/>
        </w:rPr>
        <w:t>共建共享</w:t>
      </w:r>
      <w:r>
        <w:tab/>
      </w:r>
      <w:r>
        <w:fldChar w:fldCharType="begin"/>
      </w:r>
      <w:r>
        <w:instrText xml:space="preserve"> PAGEREF _Toc26570 </w:instrText>
      </w:r>
      <w:r>
        <w:fldChar w:fldCharType="separate"/>
      </w:r>
      <w:r>
        <w:t>78</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"_Toc13592" </w:instrText>
      </w:r>
      <w:r>
        <w:fldChar w:fldCharType="separate"/>
      </w:r>
      <w:r>
        <w:rPr>
          <w:rFonts w:hint="eastAsia" w:cs="Times New Roman"/>
        </w:rPr>
        <w:t xml:space="preserve">16 </w:t>
      </w:r>
      <w:r>
        <w:rPr>
          <w:rFonts w:cs="Times New Roman"/>
        </w:rPr>
        <w:t>节能环保</w:t>
      </w:r>
      <w:r>
        <w:tab/>
      </w:r>
      <w:r>
        <w:fldChar w:fldCharType="begin"/>
      </w:r>
      <w:r>
        <w:instrText xml:space="preserve"> PAGEREF _Toc13592 </w:instrText>
      </w:r>
      <w:r>
        <w:fldChar w:fldCharType="separate"/>
      </w:r>
      <w:r>
        <w:t>78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"_Toc3933" </w:instrText>
      </w:r>
      <w:r>
        <w:fldChar w:fldCharType="separate"/>
      </w:r>
      <w:r>
        <w:rPr>
          <w:rFonts w:hint="eastAsia" w:cs="Times New Roman"/>
        </w:rPr>
        <w:t xml:space="preserve">16.1 </w:t>
      </w:r>
      <w:r>
        <w:rPr>
          <w:rFonts w:cs="Times New Roman"/>
        </w:rPr>
        <w:t>设备能耗</w:t>
      </w:r>
      <w:r>
        <w:tab/>
      </w:r>
      <w:r>
        <w:fldChar w:fldCharType="begin"/>
      </w:r>
      <w:r>
        <w:instrText xml:space="preserve"> PAGEREF _Toc3933 </w:instrText>
      </w:r>
      <w:r>
        <w:fldChar w:fldCharType="separate"/>
      </w:r>
      <w:r>
        <w:t>78</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"_Toc20527" </w:instrText>
      </w:r>
      <w:r>
        <w:fldChar w:fldCharType="separate"/>
      </w:r>
      <w:r>
        <w:rPr>
          <w:rFonts w:hint="eastAsia" w:cs="Times New Roman"/>
        </w:rPr>
        <w:t xml:space="preserve">16.2 </w:t>
      </w:r>
      <w:r>
        <w:rPr>
          <w:rFonts w:cs="Times New Roman"/>
        </w:rPr>
        <w:t>电磁防护与环境保护</w:t>
      </w:r>
      <w:r>
        <w:tab/>
      </w:r>
      <w:r>
        <w:fldChar w:fldCharType="begin"/>
      </w:r>
      <w:r>
        <w:instrText xml:space="preserve"> PAGEREF _Toc20527 </w:instrText>
      </w:r>
      <w:r>
        <w:fldChar w:fldCharType="separate"/>
      </w:r>
      <w:r>
        <w:t>78</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"_Toc7239" </w:instrText>
      </w:r>
      <w:r>
        <w:fldChar w:fldCharType="separate"/>
      </w:r>
      <w:r>
        <w:rPr>
          <w:rFonts w:hint="eastAsia" w:cs="Times New Roman"/>
        </w:rPr>
        <w:t xml:space="preserve">17 </w:t>
      </w:r>
      <w:r>
        <w:rPr>
          <w:rFonts w:cs="Times New Roman"/>
        </w:rPr>
        <w:t>网络安全</w:t>
      </w:r>
      <w:r>
        <w:tab/>
      </w:r>
      <w:r>
        <w:fldChar w:fldCharType="begin"/>
      </w:r>
      <w:r>
        <w:instrText xml:space="preserve"> PAGEREF _Toc7239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"_Toc21509" </w:instrText>
      </w:r>
      <w:r>
        <w:fldChar w:fldCharType="separate"/>
      </w:r>
      <w:r>
        <w:rPr>
          <w:rFonts w:hint="eastAsia" w:cs="Times New Roman"/>
        </w:rPr>
        <w:t xml:space="preserve">17.1 </w:t>
      </w:r>
      <w:r>
        <w:rPr>
          <w:rFonts w:cs="Times New Roman"/>
        </w:rPr>
        <w:t>安全域划分</w:t>
      </w:r>
      <w:r>
        <w:tab/>
      </w:r>
      <w:r>
        <w:fldChar w:fldCharType="begin"/>
      </w:r>
      <w:r>
        <w:instrText xml:space="preserve"> PAGEREF _Toc21509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"_Toc16811" </w:instrText>
      </w:r>
      <w:r>
        <w:fldChar w:fldCharType="separate"/>
      </w:r>
      <w:r>
        <w:rPr>
          <w:rFonts w:hint="eastAsia" w:cs="Times New Roman"/>
        </w:rPr>
        <w:t xml:space="preserve">17.2 </w:t>
      </w:r>
      <w:r>
        <w:rPr>
          <w:rFonts w:cs="Times New Roman"/>
        </w:rPr>
        <w:t>系统自身安全功能</w:t>
      </w:r>
      <w:r>
        <w:tab/>
      </w:r>
      <w:r>
        <w:fldChar w:fldCharType="begin"/>
      </w:r>
      <w:r>
        <w:instrText xml:space="preserve"> PAGEREF _Toc16811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"_Toc16201" </w:instrText>
      </w:r>
      <w:r>
        <w:fldChar w:fldCharType="separate"/>
      </w:r>
      <w:r>
        <w:rPr>
          <w:rFonts w:hint="eastAsia" w:cs="Times New Roman"/>
        </w:rPr>
        <w:t xml:space="preserve">17.3 </w:t>
      </w:r>
      <w:r>
        <w:rPr>
          <w:rFonts w:cs="Times New Roman"/>
        </w:rPr>
        <w:t>系统安全加固</w:t>
      </w:r>
      <w:r>
        <w:tab/>
      </w:r>
      <w:r>
        <w:fldChar w:fldCharType="begin"/>
      </w:r>
      <w:r>
        <w:instrText xml:space="preserve"> PAGEREF _Toc16201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"_Toc9003" </w:instrText>
      </w:r>
      <w:r>
        <w:fldChar w:fldCharType="separate"/>
      </w:r>
      <w:r>
        <w:rPr>
          <w:rFonts w:hint="eastAsia" w:cs="Times New Roman"/>
        </w:rPr>
        <w:t xml:space="preserve">17.4 </w:t>
      </w:r>
      <w:r>
        <w:rPr>
          <w:rFonts w:cs="Times New Roman"/>
        </w:rPr>
        <w:t>安全防护手段</w:t>
      </w:r>
      <w:r>
        <w:tab/>
      </w:r>
      <w:r>
        <w:fldChar w:fldCharType="begin"/>
      </w:r>
      <w:r>
        <w:instrText xml:space="preserve"> PAGEREF _Toc9003 </w:instrText>
      </w:r>
      <w:r>
        <w:fldChar w:fldCharType="separate"/>
      </w:r>
      <w:r>
        <w:t>82</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"_Toc4099" </w:instrText>
      </w:r>
      <w:r>
        <w:fldChar w:fldCharType="separate"/>
      </w:r>
      <w:r>
        <w:rPr>
          <w:rFonts w:hint="eastAsia" w:cs="Times New Roman"/>
        </w:rPr>
        <w:t xml:space="preserve">17.5 </w:t>
      </w:r>
      <w:r>
        <w:rPr>
          <w:rFonts w:cs="Times New Roman"/>
        </w:rPr>
        <w:t>安全管理系统接入</w:t>
      </w:r>
      <w:r>
        <w:tab/>
      </w:r>
      <w:r>
        <w:fldChar w:fldCharType="begin"/>
      </w:r>
      <w:r>
        <w:instrText xml:space="preserve"> PAGEREF _Toc4099 </w:instrText>
      </w:r>
      <w:r>
        <w:fldChar w:fldCharType="separate"/>
      </w:r>
      <w:r>
        <w:t>82</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"_Toc13300" </w:instrText>
      </w:r>
      <w:r>
        <w:fldChar w:fldCharType="separate"/>
      </w:r>
      <w:r>
        <w:rPr>
          <w:rFonts w:hint="eastAsia" w:cs="Times New Roman"/>
        </w:rPr>
        <w:t xml:space="preserve">18 </w:t>
      </w:r>
      <w:r>
        <w:rPr>
          <w:rFonts w:cs="Times New Roman"/>
        </w:rPr>
        <w:t>生产组织与进度安排</w:t>
      </w:r>
      <w:r>
        <w:tab/>
      </w:r>
      <w:r>
        <w:fldChar w:fldCharType="begin"/>
      </w:r>
      <w:r>
        <w:instrText xml:space="preserve"> PAGEREF _Toc13300 </w:instrText>
      </w:r>
      <w:r>
        <w:fldChar w:fldCharType="separate"/>
      </w:r>
      <w:r>
        <w:t>82</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"_Toc11489" </w:instrText>
      </w:r>
      <w:r>
        <w:fldChar w:fldCharType="separate"/>
      </w:r>
      <w:r>
        <w:rPr>
          <w:rFonts w:hint="eastAsia" w:cs="Times New Roman"/>
        </w:rPr>
        <w:t xml:space="preserve">19 </w:t>
      </w:r>
      <w:r>
        <w:rPr>
          <w:rFonts w:cs="Times New Roman"/>
        </w:rPr>
        <w:t>安全生产要求</w:t>
      </w:r>
      <w:r>
        <w:tab/>
      </w:r>
      <w:r>
        <w:fldChar w:fldCharType="begin"/>
      </w:r>
      <w:r>
        <w:instrText xml:space="preserve"> PAGEREF _Toc11489 </w:instrText>
      </w:r>
      <w:r>
        <w:fldChar w:fldCharType="separate"/>
      </w:r>
      <w:r>
        <w:t>83</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"_Toc26448" </w:instrText>
      </w:r>
      <w:r>
        <w:fldChar w:fldCharType="separate"/>
      </w:r>
      <w:r>
        <w:rPr>
          <w:rFonts w:hint="eastAsia" w:cs="Times New Roman"/>
        </w:rPr>
        <w:t xml:space="preserve">19.1 </w:t>
      </w:r>
      <w:r>
        <w:rPr>
          <w:rFonts w:cs="Times New Roman"/>
        </w:rPr>
        <w:t>安全生产责任</w:t>
      </w:r>
      <w:r>
        <w:tab/>
      </w:r>
      <w:r>
        <w:fldChar w:fldCharType="begin"/>
      </w:r>
      <w:r>
        <w:instrText xml:space="preserve"> PAGEREF _Toc26448 </w:instrText>
      </w:r>
      <w:r>
        <w:fldChar w:fldCharType="separate"/>
      </w:r>
      <w:r>
        <w:t>84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"_Toc3600" </w:instrText>
      </w:r>
      <w:r>
        <w:fldChar w:fldCharType="separate"/>
      </w:r>
      <w:r>
        <w:rPr>
          <w:rFonts w:hint="eastAsia" w:cs="Times New Roman"/>
        </w:rPr>
        <w:t xml:space="preserve">19.2 </w:t>
      </w:r>
      <w:r>
        <w:rPr>
          <w:rFonts w:cs="Times New Roman"/>
        </w:rPr>
        <w:t>易发问题及安全风险点说明</w:t>
      </w:r>
      <w:r>
        <w:tab/>
      </w:r>
      <w:r>
        <w:fldChar w:fldCharType="begin"/>
      </w:r>
      <w:r>
        <w:instrText xml:space="preserve"> PAGEREF _Toc3600 </w:instrText>
      </w:r>
      <w:r>
        <w:fldChar w:fldCharType="separate"/>
      </w:r>
      <w:r>
        <w:t>87</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"_Toc1685" </w:instrText>
      </w:r>
      <w:r>
        <w:fldChar w:fldCharType="separate"/>
      </w:r>
      <w:r>
        <w:rPr>
          <w:rFonts w:hint="eastAsia" w:cs="Times New Roman"/>
        </w:rPr>
        <w:t xml:space="preserve">19.3 </w:t>
      </w:r>
      <w:r>
        <w:rPr>
          <w:rFonts w:cs="Times New Roman"/>
        </w:rPr>
        <w:t>安全生产要求</w:t>
      </w:r>
      <w:r>
        <w:tab/>
      </w:r>
      <w:r>
        <w:fldChar w:fldCharType="begin"/>
      </w:r>
      <w:r>
        <w:instrText xml:space="preserve"> PAGEREF _Toc1685 </w:instrText>
      </w:r>
      <w:r>
        <w:fldChar w:fldCharType="separate"/>
      </w:r>
      <w:r>
        <w:t>90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"_Toc18925" </w:instrText>
      </w:r>
      <w:r>
        <w:fldChar w:fldCharType="separate"/>
      </w:r>
      <w:r>
        <w:rPr>
          <w:rFonts w:hint="eastAsia" w:cs="Times New Roman"/>
        </w:rPr>
        <w:t xml:space="preserve">19.4 </w:t>
      </w:r>
      <w:r>
        <w:rPr>
          <w:rFonts w:cs="Times New Roman"/>
        </w:rPr>
        <w:t>安全生产保障措施</w:t>
      </w:r>
      <w:r>
        <w:tab/>
      </w:r>
      <w:r>
        <w:fldChar w:fldCharType="begin"/>
      </w:r>
      <w:r>
        <w:instrText xml:space="preserve"> PAGEREF _Toc18925 </w:instrText>
      </w:r>
      <w:r>
        <w:fldChar w:fldCharType="separate"/>
      </w:r>
      <w:r>
        <w:t>94</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"_Toc24480" </w:instrText>
      </w:r>
      <w:r>
        <w:fldChar w:fldCharType="separate"/>
      </w:r>
      <w:r>
        <w:rPr>
          <w:rFonts w:hint="eastAsia" w:cs="Times New Roman"/>
        </w:rPr>
        <w:t xml:space="preserve">19.5 </w:t>
      </w:r>
      <w:r>
        <w:rPr>
          <w:rFonts w:cs="Times New Roman"/>
        </w:rPr>
        <w:t>安全应急预案</w:t>
      </w:r>
      <w:r>
        <w:tab/>
      </w:r>
      <w:r>
        <w:fldChar w:fldCharType="begin"/>
      </w:r>
      <w:r>
        <w:instrText xml:space="preserve"> PAGEREF _Toc24480 </w:instrText>
      </w:r>
      <w:r>
        <w:fldChar w:fldCharType="separate"/>
      </w:r>
      <w:r>
        <w:t>105</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"_Toc3076" </w:instrText>
      </w:r>
      <w:r>
        <w:fldChar w:fldCharType="separate"/>
      </w:r>
      <w:r>
        <w:rPr>
          <w:rFonts w:hint="eastAsia" w:cs="Times New Roman"/>
        </w:rPr>
        <w:t xml:space="preserve">20 </w:t>
      </w:r>
      <w:r>
        <w:rPr>
          <w:rFonts w:cs="Times New Roman"/>
        </w:rPr>
        <w:t>人员编制和人员培训</w:t>
      </w:r>
      <w:r>
        <w:tab/>
      </w:r>
      <w:r>
        <w:fldChar w:fldCharType="begin"/>
      </w:r>
      <w:r>
        <w:instrText xml:space="preserve"> PAGEREF _Toc3076 </w:instrText>
      </w:r>
      <w:r>
        <w:fldChar w:fldCharType="separate"/>
      </w:r>
      <w:r>
        <w:t>105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"_Toc22608" </w:instrText>
      </w:r>
      <w:r>
        <w:fldChar w:fldCharType="separate"/>
      </w:r>
      <w:r>
        <w:rPr>
          <w:rFonts w:hint="eastAsia" w:cs="Times New Roman"/>
        </w:rPr>
        <w:t xml:space="preserve">20.1 </w:t>
      </w:r>
      <w:r>
        <w:rPr>
          <w:rFonts w:cs="Times New Roman"/>
        </w:rPr>
        <w:t>人员编制</w:t>
      </w:r>
      <w:r>
        <w:tab/>
      </w:r>
      <w:r>
        <w:fldChar w:fldCharType="begin"/>
      </w:r>
      <w:r>
        <w:instrText xml:space="preserve"> PAGEREF _Toc22608 </w:instrText>
      </w:r>
      <w:r>
        <w:fldChar w:fldCharType="separate"/>
      </w:r>
      <w:r>
        <w:t>105</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"_Toc28982" </w:instrText>
      </w:r>
      <w:r>
        <w:fldChar w:fldCharType="separate"/>
      </w:r>
      <w:r>
        <w:rPr>
          <w:rFonts w:hint="eastAsia" w:cs="Times New Roman"/>
        </w:rPr>
        <w:t xml:space="preserve">20.2 </w:t>
      </w:r>
      <w:r>
        <w:rPr>
          <w:rFonts w:cs="Times New Roman"/>
        </w:rPr>
        <w:t>人员培训</w:t>
      </w:r>
      <w:r>
        <w:tab/>
      </w:r>
      <w:r>
        <w:fldChar w:fldCharType="begin"/>
      </w:r>
      <w:r>
        <w:instrText xml:space="preserve"> PAGEREF _Toc28982 </w:instrText>
      </w:r>
      <w:r>
        <w:fldChar w:fldCharType="separate"/>
      </w:r>
      <w:r>
        <w:t>106</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"_Toc5776" </w:instrText>
      </w:r>
      <w:r>
        <w:fldChar w:fldCharType="separate"/>
      </w:r>
      <w:r>
        <w:rPr>
          <w:rFonts w:hint="eastAsia" w:cs="Times New Roman"/>
        </w:rPr>
        <w:t xml:space="preserve">21 </w:t>
      </w:r>
      <w:r>
        <w:rPr>
          <w:rFonts w:cs="Times New Roman"/>
        </w:rPr>
        <w:t>工程验收</w:t>
      </w:r>
      <w:r>
        <w:tab/>
      </w:r>
      <w:r>
        <w:fldChar w:fldCharType="begin"/>
      </w:r>
      <w:r>
        <w:instrText xml:space="preserve"> PAGEREF _Toc5776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"_Toc23051" </w:instrText>
      </w:r>
      <w:r>
        <w:fldChar w:fldCharType="separate"/>
      </w:r>
      <w:r>
        <w:rPr>
          <w:rFonts w:hint="eastAsia" w:cs="Times New Roman"/>
        </w:rPr>
        <w:t xml:space="preserve">21.1 </w:t>
      </w:r>
      <w:r>
        <w:rPr>
          <w:rFonts w:cs="Times New Roman"/>
        </w:rPr>
        <w:t>工程验收前检查</w:t>
      </w:r>
      <w:r>
        <w:tab/>
      </w:r>
      <w:r>
        <w:fldChar w:fldCharType="begin"/>
      </w:r>
      <w:r>
        <w:instrText xml:space="preserve"> PAGEREF _Toc23051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"_Toc10738" </w:instrText>
      </w:r>
      <w:r>
        <w:fldChar w:fldCharType="separate"/>
      </w:r>
      <w:r>
        <w:rPr>
          <w:rFonts w:hint="eastAsia" w:cs="Times New Roman"/>
        </w:rPr>
        <w:t xml:space="preserve">21.2 </w:t>
      </w:r>
      <w:r>
        <w:rPr>
          <w:rFonts w:cs="Times New Roman"/>
        </w:rPr>
        <w:t>工程初验</w:t>
      </w:r>
      <w:r>
        <w:tab/>
      </w:r>
      <w:r>
        <w:fldChar w:fldCharType="begin"/>
      </w:r>
      <w:r>
        <w:instrText xml:space="preserve"> PAGEREF _Toc10738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"_Toc3178" </w:instrText>
      </w:r>
      <w:r>
        <w:fldChar w:fldCharType="separate"/>
      </w:r>
      <w:r>
        <w:rPr>
          <w:rFonts w:hint="eastAsia" w:cs="Times New Roman"/>
        </w:rPr>
        <w:t xml:space="preserve">21.3 </w:t>
      </w:r>
      <w:r>
        <w:rPr>
          <w:rFonts w:cs="Times New Roman"/>
        </w:rPr>
        <w:t>工程试运行</w:t>
      </w:r>
      <w:r>
        <w:tab/>
      </w:r>
      <w:r>
        <w:fldChar w:fldCharType="begin"/>
      </w:r>
      <w:r>
        <w:instrText xml:space="preserve"> PAGEREF _Toc3178 </w:instrText>
      </w:r>
      <w:r>
        <w:fldChar w:fldCharType="separate"/>
      </w:r>
      <w:r>
        <w:t>106</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"_Toc19179" </w:instrText>
      </w:r>
      <w:r>
        <w:fldChar w:fldCharType="separate"/>
      </w:r>
      <w:r>
        <w:rPr>
          <w:rFonts w:hint="eastAsia" w:cs="Times New Roman"/>
        </w:rPr>
        <w:t xml:space="preserve">21.4 </w:t>
      </w:r>
      <w:r>
        <w:rPr>
          <w:rFonts w:cs="Times New Roman"/>
        </w:rPr>
        <w:t>工程终验</w:t>
      </w:r>
      <w:r>
        <w:tab/>
      </w:r>
      <w:r>
        <w:fldChar w:fldCharType="begin"/>
      </w:r>
      <w:r>
        <w:instrText xml:space="preserve"> PAGEREF _Toc19179 </w:instrText>
      </w:r>
      <w:r>
        <w:fldChar w:fldCharType="separate"/>
      </w:r>
      <w:r>
        <w:t>107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"_Toc2136" </w:instrText>
      </w:r>
      <w:r>
        <w:fldChar w:fldCharType="separate"/>
      </w:r>
      <w:r>
        <w:rPr>
          <w:rFonts w:hint="eastAsia" w:cs="Times New Roman"/>
        </w:rPr>
        <w:t xml:space="preserve">22 </w:t>
      </w:r>
      <w:r>
        <w:rPr>
          <w:rFonts w:cs="Times New Roman"/>
        </w:rPr>
        <w:t>工程合理使用年限</w:t>
      </w:r>
      <w:r>
        <w:tab/>
      </w:r>
      <w:r>
        <w:fldChar w:fldCharType="begin"/>
      </w:r>
      <w:r>
        <w:instrText xml:space="preserve"> PAGEREF _Toc2136 </w:instrText>
      </w:r>
      <w:r>
        <w:fldChar w:fldCharType="separate"/>
      </w:r>
      <w:r>
        <w:t>107</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"_Toc9522" </w:instrText>
      </w:r>
      <w:r>
        <w:fldChar w:fldCharType="separate"/>
      </w:r>
      <w:r>
        <w:rPr>
          <w:rFonts w:hint="eastAsia" w:cs="Times New Roman"/>
        </w:rPr>
        <w:t xml:space="preserve">23 </w:t>
      </w:r>
      <w:r>
        <w:rPr>
          <w:rFonts w:cs="Times New Roman"/>
        </w:rPr>
        <w:t>附表</w:t>
      </w:r>
      <w:r>
        <w:tab/>
      </w:r>
      <w:r>
        <w:fldChar w:fldCharType="begin"/>
      </w:r>
      <w:r>
        <w:instrText xml:space="preserve"> PAGEREF _Toc9522 </w:instrText>
      </w:r>
      <w:r>
        <w:fldChar w:fldCharType="separate"/>
      </w:r>
      <w:r>
        <w:t>107</w:t>
      </w:r>
      <w:r>
        <w:fldChar w:fldCharType="end"/>
      </w:r>
      <w:r>
        <w:fldChar w:fldCharType="end"/>
      </w:r>
    </w:p>
    <w:p>
      <w:pPr>
        <w:pStyle w:val="42"/>
        <w:tabs>
          <w:tab w:val="right" w:leader="dot" w:pos="8306"/>
          <w:tab w:val="clear" w:pos="8296"/>
        </w:tabs>
      </w:pPr>
      <w:r>
        <w:fldChar w:fldCharType="begin"/>
      </w:r>
      <w:r>
        <w:instrText xml:space="preserve"> HYPERLINK \l "_Toc20333" </w:instrText>
      </w:r>
      <w:r>
        <w:fldChar w:fldCharType="separate"/>
      </w:r>
      <w:r>
        <w:rPr>
          <w:rFonts w:hint="eastAsia" w:cs="Times New Roman"/>
        </w:rPr>
        <w:t xml:space="preserve">二、 </w:t>
      </w:r>
      <w:r>
        <w:rPr>
          <w:rFonts w:cs="Times New Roman"/>
        </w:rPr>
        <w:t>工程概算</w:t>
      </w:r>
      <w:r>
        <w:tab/>
      </w:r>
      <w:r>
        <w:fldChar w:fldCharType="begin"/>
      </w:r>
      <w:r>
        <w:instrText xml:space="preserve"> PAGEREF _Toc20333 </w:instrText>
      </w:r>
      <w:r>
        <w:fldChar w:fldCharType="separate"/>
      </w:r>
      <w:r>
        <w:t>109</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"_Toc3537" </w:instrText>
      </w:r>
      <w:r>
        <w:fldChar w:fldCharType="separate"/>
      </w:r>
      <w:r>
        <w:rPr>
          <w:rFonts w:hint="eastAsia" w:cs="Times New Roman"/>
        </w:rPr>
        <w:t xml:space="preserve">1 </w:t>
      </w:r>
      <w:r>
        <w:rPr>
          <w:rFonts w:cs="Times New Roman"/>
        </w:rPr>
        <w:t>编制说明</w:t>
      </w:r>
      <w:r>
        <w:tab/>
      </w:r>
      <w:r>
        <w:fldChar w:fldCharType="begin"/>
      </w:r>
      <w:r>
        <w:instrText xml:space="preserve"> PAGEREF _Toc3537 </w:instrText>
      </w:r>
      <w:r>
        <w:fldChar w:fldCharType="separate"/>
      </w:r>
      <w:r>
        <w:t>109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"_Toc7448" </w:instrText>
      </w:r>
      <w:r>
        <w:fldChar w:fldCharType="separate"/>
      </w:r>
      <w:r>
        <w:rPr>
          <w:rFonts w:hint="eastAsia" w:cs="Times New Roman"/>
        </w:rPr>
        <w:t xml:space="preserve">1.1 </w:t>
      </w:r>
      <w:r>
        <w:rPr>
          <w:rFonts w:cs="Times New Roman"/>
        </w:rPr>
        <w:t>工程概况及概算总额</w:t>
      </w:r>
      <w:r>
        <w:tab/>
      </w:r>
      <w:r>
        <w:fldChar w:fldCharType="begin"/>
      </w:r>
      <w:r>
        <w:instrText xml:space="preserve"> PAGEREF _Toc7448 </w:instrText>
      </w:r>
      <w:r>
        <w:fldChar w:fldCharType="separate"/>
      </w:r>
      <w:r>
        <w:t>109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"_Toc19165" </w:instrText>
      </w:r>
      <w:r>
        <w:fldChar w:fldCharType="separate"/>
      </w:r>
      <w:r>
        <w:rPr>
          <w:rFonts w:hint="eastAsia" w:cs="Times New Roman"/>
        </w:rPr>
        <w:t xml:space="preserve">1.2 </w:t>
      </w:r>
      <w:r>
        <w:rPr>
          <w:rFonts w:cs="Times New Roman"/>
        </w:rPr>
        <w:t>编制依据</w:t>
      </w:r>
      <w:r>
        <w:tab/>
      </w:r>
      <w:r>
        <w:fldChar w:fldCharType="begin"/>
      </w:r>
      <w:r>
        <w:instrText xml:space="preserve"> PAGEREF _Toc19165 </w:instrText>
      </w:r>
      <w:r>
        <w:fldChar w:fldCharType="separate"/>
      </w:r>
      <w:r>
        <w:t>109</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"_Toc15857" </w:instrText>
      </w:r>
      <w:r>
        <w:fldChar w:fldCharType="separate"/>
      </w:r>
      <w:r>
        <w:rPr>
          <w:rFonts w:hint="eastAsia" w:cs="Times New Roman"/>
        </w:rPr>
        <w:t xml:space="preserve">1.3 </w:t>
      </w:r>
      <w:r>
        <w:rPr>
          <w:rFonts w:cs="Times New Roman"/>
        </w:rPr>
        <w:t>概算费率取定</w:t>
      </w:r>
      <w:r>
        <w:tab/>
      </w:r>
      <w:r>
        <w:fldChar w:fldCharType="begin"/>
      </w:r>
      <w:r>
        <w:instrText xml:space="preserve"> PAGEREF _Toc15857 </w:instrText>
      </w:r>
      <w:r>
        <w:fldChar w:fldCharType="separate"/>
      </w:r>
      <w:r>
        <w:t>110</w:t>
      </w:r>
      <w:r>
        <w:fldChar w:fldCharType="end"/>
      </w:r>
      <w:r>
        <w:fldChar w:fldCharType="end"/>
      </w:r>
    </w:p>
    <w:p>
      <w:pPr>
        <w:pStyle w:val="32"/>
        <w:tabs>
          <w:tab w:val="right" w:leader="dot" w:pos="8306"/>
          <w:tab w:val="clear" w:pos="567"/>
          <w:tab w:val="clear" w:pos="8296"/>
        </w:tabs>
        <w:ind w:left="720" w:hanging="720"/>
      </w:pPr>
      <w:r>
        <w:fldChar w:fldCharType="begin"/>
      </w:r>
      <w:r>
        <w:instrText xml:space="preserve"> HYPERLINK \l "_Toc511" </w:instrText>
      </w:r>
      <w:r>
        <w:fldChar w:fldCharType="separate"/>
      </w:r>
      <w:r>
        <w:rPr>
          <w:rFonts w:hint="eastAsia" w:cs="Times New Roman"/>
        </w:rPr>
        <w:t xml:space="preserve">1.4 </w:t>
      </w:r>
      <w:r>
        <w:rPr>
          <w:rFonts w:cs="Times New Roman"/>
        </w:rPr>
        <w:t>其他需要说明的问题</w:t>
      </w:r>
      <w:r>
        <w:tab/>
      </w:r>
      <w:r>
        <w:fldChar w:fldCharType="begin"/>
      </w:r>
      <w:r>
        <w:instrText xml:space="preserve"> PAGEREF _Toc511 </w:instrText>
      </w:r>
      <w:r>
        <w:fldChar w:fldCharType="separate"/>
      </w:r>
      <w:r>
        <w:t>119</w:t>
      </w:r>
      <w:r>
        <w:fldChar w:fldCharType="end"/>
      </w:r>
      <w:r>
        <w:fldChar w:fldCharType="end"/>
      </w:r>
    </w:p>
    <w:p>
      <w:pPr>
        <w:pStyle w:val="52"/>
        <w:tabs>
          <w:tab w:val="right" w:leader="dot" w:pos="8306"/>
          <w:tab w:val="clear" w:pos="567"/>
          <w:tab w:val="clear" w:pos="8296"/>
        </w:tabs>
        <w:ind w:left="672" w:hanging="672"/>
      </w:pPr>
      <w:r>
        <w:fldChar w:fldCharType="begin"/>
      </w:r>
      <w:r>
        <w:instrText xml:space="preserve"> HYPERLINK \l "_Toc26277" </w:instrText>
      </w:r>
      <w:r>
        <w:fldChar w:fldCharType="separate"/>
      </w:r>
      <w:r>
        <w:rPr>
          <w:rFonts w:hint="eastAsia" w:cs="Times New Roman"/>
        </w:rPr>
        <w:t xml:space="preserve">2 </w:t>
      </w:r>
      <w:r>
        <w:rPr>
          <w:rFonts w:cs="Times New Roman"/>
        </w:rPr>
        <w:t>概算表格</w:t>
      </w:r>
      <w:r>
        <w:tab/>
      </w:r>
      <w:r>
        <w:fldChar w:fldCharType="begin"/>
      </w:r>
      <w:r>
        <w:instrText xml:space="preserve"> PAGEREF _Toc26277 </w:instrText>
      </w:r>
      <w:r>
        <w:fldChar w:fldCharType="separate"/>
      </w:r>
      <w:r>
        <w:t>119</w:t>
      </w:r>
      <w:r>
        <w:fldChar w:fldCharType="end"/>
      </w:r>
      <w:r>
        <w:fldChar w:fldCharType="end"/>
      </w:r>
    </w:p>
    <w:p>
      <w:pPr>
        <w:pStyle w:val="42"/>
        <w:tabs>
          <w:tab w:val="right" w:leader="dot" w:pos="8306"/>
          <w:tab w:val="clear" w:pos="8296"/>
        </w:tabs>
      </w:pPr>
      <w:r>
        <w:fldChar w:fldCharType="begin"/>
      </w:r>
      <w:r>
        <w:instrText xml:space="preserve"> HYPERLINK \l "_Toc19504" </w:instrText>
      </w:r>
      <w:r>
        <w:fldChar w:fldCharType="separate"/>
      </w:r>
      <w:r>
        <w:rPr>
          <w:rFonts w:hint="eastAsia" w:cs="Times New Roman"/>
        </w:rPr>
        <w:t xml:space="preserve">三、 </w:t>
      </w:r>
      <w:r>
        <w:rPr>
          <w:rFonts w:cs="Times New Roman"/>
        </w:rPr>
        <w:t>图纸</w:t>
      </w:r>
      <w:r>
        <w:tab/>
      </w:r>
      <w:r>
        <w:fldChar w:fldCharType="begin"/>
      </w:r>
      <w:r>
        <w:instrText xml:space="preserve"> PAGEREF _Toc19504 </w:instrText>
      </w:r>
      <w:r>
        <w:fldChar w:fldCharType="separate"/>
      </w:r>
      <w:r>
        <w:t>120</w:t>
      </w:r>
      <w:r>
        <w:fldChar w:fldCharType="end"/>
      </w:r>
      <w:r>
        <w:fldChar w:fldCharType="end"/>
      </w:r>
    </w:p>
    <w:p>
      <w:pPr>
        <w:pStyle w:val="52"/>
        <w:ind w:left="672" w:hanging="672"/>
        <w:rPr>
          <w:szCs w:val="24"/>
        </w:rPr>
      </w:pPr>
      <w:r>
        <w:rPr>
          <w:szCs w:val="24"/>
        </w:rPr>
        <w:fldChar w:fldCharType="end"/>
      </w:r>
    </w:p>
    <w:p>
      <w:pPr>
        <w:ind w:firstLine="480"/>
      </w:pPr>
    </w:p>
    <w:p>
      <w:pPr>
        <w:ind w:firstLine="480"/>
      </w:pPr>
    </w:p>
    <w:p>
      <w:pPr>
        <w:ind w:firstLine="480"/>
        <w:sectPr>
          <w:headerReference r:id="rId12" w:type="default"/>
          <w:footerReference r:id="rId13" w:type="default"/>
          <w:pgSz w:w="11906" w:h="16838"/>
          <w:pgMar w:top="1440" w:right="1800" w:bottom="1440" w:left="1800" w:header="851" w:footer="992" w:gutter="0"/>
          <w:pgNumType w:start="1"/>
          <w:cols w:space="425" w:num="1"/>
          <w:docGrid w:type="lines" w:linePitch="312" w:charSpace="0"/>
        </w:sectPr>
      </w:pPr>
    </w:p>
    <w:p>
      <w:pPr>
        <w:pStyle w:val="3"/>
        <w:rPr>
          <w:rFonts w:cs="Times New Roman"/>
        </w:rPr>
      </w:pPr>
      <w:bookmarkStart w:id="35" w:name="_Toc21928"/>
      <w:bookmarkStart w:id="36" w:name="_Toc176345455"/>
      <w:bookmarkStart w:id="37" w:name="_Toc2868645"/>
      <w:bookmarkStart w:id="38" w:name="_Toc162879711"/>
      <w:r>
        <w:rPr>
          <w:rFonts w:cs="Times New Roman"/>
        </w:rPr>
        <w:t>设计说明</w:t>
      </w:r>
      <w:bookmarkEnd w:id="35"/>
      <w:bookmarkEnd w:id="36"/>
      <w:bookmarkEnd w:id="37"/>
    </w:p>
    <w:bookmarkEnd w:id="38"/>
    <w:p>
      <w:pPr>
        <w:pStyle w:val="4"/>
        <w:rPr>
          <w:rFonts w:cs="Times New Roman"/>
        </w:rPr>
      </w:pPr>
      <w:bookmarkStart w:id="39" w:name="_Toc465330934"/>
      <w:bookmarkEnd w:id="39"/>
      <w:bookmarkStart w:id="40" w:name="_Toc465376607"/>
      <w:bookmarkEnd w:id="40"/>
      <w:bookmarkStart w:id="41" w:name="_Toc435782266"/>
      <w:bookmarkEnd w:id="41"/>
      <w:bookmarkStart w:id="42" w:name="_Toc435785406"/>
      <w:bookmarkEnd w:id="42"/>
      <w:bookmarkStart w:id="43" w:name="_Toc439251811"/>
      <w:bookmarkEnd w:id="43"/>
      <w:bookmarkStart w:id="44" w:name="_Toc435785225"/>
      <w:bookmarkEnd w:id="44"/>
      <w:bookmarkStart w:id="45" w:name="_Toc439260951"/>
      <w:bookmarkEnd w:id="45"/>
      <w:bookmarkStart w:id="46" w:name="_Toc436144768"/>
      <w:bookmarkEnd w:id="46"/>
      <w:bookmarkStart w:id="47" w:name="_Toc435781622"/>
      <w:bookmarkEnd w:id="47"/>
      <w:bookmarkStart w:id="48" w:name="_Toc436394159"/>
      <w:bookmarkEnd w:id="48"/>
      <w:bookmarkStart w:id="49" w:name="_Toc447204493"/>
      <w:bookmarkStart w:id="50" w:name="_Toc22790"/>
      <w:bookmarkStart w:id="51" w:name="_Toc452131562"/>
      <w:bookmarkStart w:id="52" w:name="_Toc447202444"/>
      <w:bookmarkStart w:id="53" w:name="_Toc2868646"/>
      <w:r>
        <w:rPr>
          <w:rFonts w:cs="Times New Roman"/>
        </w:rPr>
        <w:t>概述</w:t>
      </w:r>
      <w:bookmarkEnd w:id="49"/>
      <w:bookmarkEnd w:id="50"/>
      <w:bookmarkEnd w:id="51"/>
      <w:bookmarkEnd w:id="52"/>
      <w:bookmarkEnd w:id="53"/>
    </w:p>
    <w:p>
      <w:pPr>
        <w:pStyle w:val="5"/>
        <w:rPr>
          <w:rFonts w:cs="Times New Roman"/>
        </w:rPr>
      </w:pPr>
      <w:bookmarkStart w:id="54" w:name="_Toc447202445"/>
      <w:bookmarkStart w:id="55" w:name="_Toc2868647"/>
      <w:bookmarkStart w:id="56" w:name="_Toc447204494"/>
      <w:bookmarkStart w:id="57" w:name="_Toc452131563"/>
      <w:bookmarkStart w:id="58" w:name="_Toc28153"/>
      <w:r>
        <w:rPr>
          <w:rFonts w:cs="Times New Roman"/>
        </w:rPr>
        <w:t>工程概况</w:t>
      </w:r>
      <w:bookmarkEnd w:id="54"/>
      <w:bookmarkEnd w:id="55"/>
      <w:bookmarkEnd w:id="56"/>
      <w:bookmarkEnd w:id="57"/>
      <w:bookmarkEnd w:id="58"/>
    </w:p>
    <w:p>
      <w:pPr>
        <w:ind w:firstLine="480"/>
        <w:rPr>
          <w:rFonts w:cs="Times New Roman"/>
        </w:rPr>
      </w:pPr>
      <w:bookmarkStart w:id="59" w:name="_Toc2868648"/>
      <w:bookmarkStart w:id="60" w:name="_Toc447204495"/>
      <w:bookmarkStart w:id="61" w:name="_Toc447202446"/>
      <w:bookmarkStart w:id="62" w:name="_Toc452131564"/>
      <w:bookmarkStart w:id="63" w:name="_Toc176345478"/>
      <w:bookmarkStart w:id="64" w:name="_Toc162879712"/>
      <w:r>
        <w:rPr>
          <w:rFonts w:cs="Times New Roman"/>
        </w:rPr>
        <w:t>5G网络面向增强型移动宽带、大规模机器通信、高可靠低时延通信三大业务场景，以全新的网络架构，提供至少十倍于4G的峰值速率、毫秒级的传输时延和千亿级的连接能力，开启万物广泛互联、人机深度交互的新时代。5G支撑应用场景由移动互联网向移动物联网拓展，将构建起高速、移动、安全、泛在的新一代信息基础设施。与此同时，5G将加速许多行业的数字化转型，并且更多用于工业互联网、车联网等，拓展大市场，带来新机遇，有力支撑数字经济蓬勃发展。</w:t>
      </w:r>
    </w:p>
    <w:p>
      <w:pPr>
        <w:ind w:firstLine="480"/>
        <w:rPr>
          <w:rFonts w:cs="Times New Roman"/>
          <w:color w:val="000000"/>
          <w:kern w:val="0"/>
        </w:rPr>
      </w:pPr>
      <w:r>
        <w:rPr>
          <w:rFonts w:cs="Times New Roman"/>
        </w:rPr>
        <w:t>从国家战略层面，全球各国在国家数字化战略中均把5G作为优先发展领域，强化产业布局，塑造竞争新优势。我国在《国家信息化发展战略纲要》指出，到2020年，第五代移动通信技术研发和标准要取得突破性进展，从国家战略层面提出实现5G全面引领目标，通过5G助推制造强国、网络强国建设，全面构筑经济社会数字化转型的关键基础设施，从线上到线下、从消费到生产，从平台到生态，推动我国数字经济发展迈上新台阶，助力“中国制造2025”和“互联网+”战略实施。</w:t>
      </w:r>
    </w:p>
    <w:p>
      <w:pPr>
        <w:ind w:firstLine="480"/>
        <w:rPr>
          <w:rFonts w:cs="Times New Roman"/>
        </w:rPr>
      </w:pPr>
      <w:r>
        <w:rPr>
          <w:rFonts w:cs="Times New Roman"/>
        </w:rPr>
        <w:t>从中国移动企业层面，一方面，移动通信用户网络、业务高速发展，截至2020年1月底，移动通信用户数达到9.49亿户、其中4G网络用户数7.58亿户。随着业务发展及“提速降费”策略实施，网络整体容量增长和局部区域频谱资源不足的矛盾日益凸显，用户业务感知保障压力不断增长，对5G网络需求日益强烈；另一方面，“大连接”发展战略要求中国移动借助5G网络产业推动网络商用部署，积极拓展垂直行业市场，增强数字化运营能力，通过从单一领域创新向跨行业融合创新转变，深入各行各业开展紧密合作，推动需求对接、业务融合、终端定制开发和产业拉动、平台定制开发和建设等，从而实现真正的融合创新。</w:t>
      </w:r>
    </w:p>
    <w:p>
      <w:pPr>
        <w:ind w:firstLine="480"/>
        <w:rPr>
          <w:rFonts w:cs="Times New Roman"/>
        </w:rPr>
      </w:pPr>
      <w:r>
        <w:rPr>
          <w:rFonts w:cs="Times New Roman"/>
        </w:rPr>
        <w:t>中国移动已于2019年开展5G一期工程建设，截至2020年1月底，在全国52个城市主城区或热点区域部署开通5G基站7.4万个，发展674万5G套餐客户，成为全球最大的5G运营商。未来中国移动将加快推进5G部署、精准规划建设、加大4G/5G协同，以建设一张“覆盖全国、技术先进、品质优良”5G精品网络为目标，支撑中国移动“5G+”计划全面实施。</w:t>
      </w:r>
      <w:r>
        <w:rPr>
          <w:rFonts w:hint="eastAsia" w:cs="Times New Roman"/>
        </w:rPr>
        <w:t>无锡，简称“锡”，古称梁溪、金匮，被誉为“太湖明珠”。无锡市位于长江三角洲平原腹地，江苏南部，太湖流域的交通中枢，京杭大运河从中穿过。无锡北倚长江，南濒太湖，东接苏州，西连常州，构成苏锡常都市圈。全市总面积为4628平方公里（市区1643.88平方公里，其中建成区面积231.3平方公里），其中，山区和丘陵面积为782平方公里，占总面积的16.90%；水面面积为1342平方公里，占总面积的29.0%。无锡市区面积1643.88平方公里，（另有太湖水域397.8平方公里），人口362.09万人（2015年末）。邮政编码214000。下辖共5个区2个市、7个镇、41个街道。</w:t>
      </w:r>
    </w:p>
    <w:p>
      <w:pPr>
        <w:ind w:firstLine="480"/>
        <w:rPr>
          <w:rFonts w:cs="Times New Roman"/>
        </w:rPr>
      </w:pPr>
      <w:r>
        <w:rPr>
          <w:rFonts w:cs="Times New Roman"/>
        </w:rPr>
        <w:t>截至2018年底，全市户籍人口497.21万人，比上年增长0.84%。全年出生人口42117人，出生率8.5‰；死亡人口 36939人，死亡率7.5‰，人口自然增长率为1.0‰。户籍人口城镇化率76.02%。年末全市常住人口657.45万人，比上年增长0.33%，其中城镇常住人口501.50万人，比上年增长0.7%，常住人口城镇化率 76.28 %</w:t>
      </w:r>
      <w:r>
        <w:rPr>
          <w:rFonts w:hint="eastAsia" w:cs="Times New Roman"/>
        </w:rPr>
        <w:t>。</w:t>
      </w:r>
    </w:p>
    <w:p>
      <w:pPr>
        <w:ind w:firstLine="480"/>
        <w:rPr>
          <w:rFonts w:cs="Times New Roman"/>
        </w:rPr>
      </w:pPr>
      <w:r>
        <w:rPr>
          <w:rFonts w:hint="eastAsia" w:cs="Times New Roman"/>
        </w:rPr>
        <w:t>无锡市境内以平原为主，星散分布着低山、残丘。南部为水网平原；北部为高沙平原；中部为低地辟成的水网圩田；西南部地势较高，为宜兴的低山和丘陵地区。无锡自古就是鱼米之乡，素有布码头、钱码头、窑码头、丝都、米市之称，是中国国家历史文化名城。无锡是中国民族工业和乡镇工业的摇篮，是苏南模式的发祥地。</w:t>
      </w:r>
    </w:p>
    <w:p>
      <w:pPr>
        <w:ind w:firstLine="480"/>
        <w:rPr>
          <w:rFonts w:cs="Times New Roman"/>
        </w:rPr>
      </w:pPr>
      <w:r>
        <w:rPr>
          <w:rFonts w:cs="Times New Roman"/>
        </w:rPr>
        <w:t>2018年，无锡市实现地区生产总值11438.62亿元，按可比价格计算，比上年增长7.4%。按常住人口计算人均生产总值达到17.43万元。全市实现第一产业增加值125.07亿元，比上年下降0.3%；第二产业增加值5464.01亿元，比上年增长8.0%；第三产业增加值5849.54亿元，比上年增长7.1%；三次产业比例调整为1.1:47.8:51.1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落实中央经济会议精神、加快5G商用，保持适度领先。5G网络应“整体规划、分步实施”，通盘考虑网络架构、站址布局，在面向中长期的目标网络结构基础上逐步开展建设。5G网络建设，初期以满足eMBB业务为主，在城市区域实现浅层连续覆盖，随技术和市场的成熟逐步支持uRLLC业务。</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做好5G与4G网络协同发展，特别是2.6GHz频段的4G/5G的统筹规划，兼顾移动通信网络不断增长的流量需求和5G网络专有的业务需求，保障业务发展和未来业务的顺利迁移。</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现网多数城市主城区宏站站间距已达300-400米，进一步获取新的站址资源非常困难，且会进一步增加铁塔租赁成本；因此，5G原则上不新增站址、而充分利用现有4G站址进行规划。</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为做好4G网络向5G网络演进期的科学规划和投资保护，5G业务需求热点区域划分主要参考4G数据业务密度。</w:t>
      </w:r>
    </w:p>
    <w:p>
      <w:pPr>
        <w:ind w:firstLine="480"/>
        <w:rPr>
          <w:color w:val="000000" w:themeColor="text1"/>
          <w14:textFill>
            <w14:solidFill>
              <w14:schemeClr w14:val="tx1"/>
            </w14:solidFill>
          </w14:textFill>
        </w:rPr>
      </w:pPr>
    </w:p>
    <w:p>
      <w:pPr>
        <w:ind w:firstLine="480"/>
        <w:rPr>
          <w:rFonts w:cs="Times New Roman"/>
        </w:rPr>
      </w:pPr>
    </w:p>
    <w:p>
      <w:pPr>
        <w:ind w:firstLine="480"/>
        <w:rPr>
          <w:rFonts w:cs="Times New Roman"/>
        </w:rPr>
      </w:pPr>
      <w:r>
        <w:rPr>
          <w:rFonts w:cs="Times New Roman"/>
        </w:rPr>
        <w:t>本设计文件为</w:t>
      </w:r>
      <w:r>
        <w:rPr>
          <w:rFonts w:hint="eastAsia" w:cs="Times New Roman"/>
          <w:color w:val="FF0000"/>
        </w:rPr>
        <w:t>中国</w:t>
      </w:r>
      <w:r>
        <w:rPr>
          <w:rFonts w:cs="Times New Roman"/>
          <w:color w:val="FF0000"/>
        </w:rPr>
        <w:t>移动</w:t>
      </w:r>
      <w:r>
        <w:rPr>
          <w:rFonts w:hint="eastAsia" w:cs="Times New Roman"/>
          <w:color w:val="FF0000"/>
        </w:rPr>
        <w:t>江苏公司无锡地区5G二期一阶段无线主设备</w:t>
      </w:r>
      <w:r>
        <w:rPr>
          <w:rFonts w:cs="Times New Roman"/>
        </w:rPr>
        <w:t>安装工程初步设计。</w:t>
      </w:r>
    </w:p>
    <w:p>
      <w:pPr>
        <w:pStyle w:val="5"/>
        <w:rPr>
          <w:rFonts w:cs="Times New Roman"/>
        </w:rPr>
      </w:pPr>
      <w:bookmarkStart w:id="65" w:name="_Toc7209"/>
      <w:r>
        <w:rPr>
          <w:rFonts w:cs="Times New Roman"/>
        </w:rPr>
        <w:t>设计依据</w:t>
      </w:r>
      <w:bookmarkEnd w:id="59"/>
      <w:bookmarkEnd w:id="65"/>
    </w:p>
    <w:bookmarkEnd w:id="60"/>
    <w:bookmarkEnd w:id="61"/>
    <w:bookmarkEnd w:id="62"/>
    <w:bookmarkEnd w:id="63"/>
    <w:bookmarkEnd w:id="64"/>
    <w:p>
      <w:pPr>
        <w:numPr>
          <w:ilvl w:val="0"/>
          <w:numId w:val="49"/>
        </w:numPr>
        <w:ind w:firstLine="480"/>
        <w:rPr>
          <w:rFonts w:cs="Times New Roman"/>
        </w:rPr>
      </w:pPr>
      <w:bookmarkStart w:id="66" w:name="_Toc452131566"/>
      <w:bookmarkStart w:id="67" w:name="_Toc447202448"/>
      <w:bookmarkStart w:id="68" w:name="_Toc2868649"/>
      <w:bookmarkStart w:id="69" w:name="_Toc447204497"/>
      <w:bookmarkStart w:id="70" w:name="_Toc176345480"/>
      <w:bookmarkStart w:id="71" w:name="_Toc162879713"/>
      <w:r>
        <w:rPr>
          <w:rFonts w:cs="Times New Roman"/>
        </w:rPr>
        <w:t>建设单位设计任务委托书，</w:t>
      </w:r>
      <w:r>
        <w:rPr>
          <w:rFonts w:cs="Times New Roman"/>
          <w:color w:val="FF0000"/>
        </w:rPr>
        <w:t>中国移动通信集团</w:t>
      </w:r>
      <w:r>
        <w:rPr>
          <w:rFonts w:hint="eastAsia" w:cs="Times New Roman"/>
          <w:color w:val="FF0000"/>
        </w:rPr>
        <w:t>江苏</w:t>
      </w:r>
      <w:r>
        <w:rPr>
          <w:rFonts w:cs="Times New Roman"/>
          <w:color w:val="FF0000"/>
        </w:rPr>
        <w:t>有限公司</w:t>
      </w:r>
      <w:r>
        <w:rPr>
          <w:rFonts w:hint="eastAsia" w:cs="Times New Roman"/>
          <w:color w:val="FF0000"/>
        </w:rPr>
        <w:t>5G二期一阶段</w:t>
      </w:r>
      <w:r>
        <w:rPr>
          <w:color w:val="000000" w:themeColor="text1"/>
          <w14:textFill>
            <w14:solidFill>
              <w14:schemeClr w14:val="tx1"/>
            </w14:solidFill>
          </w14:textFill>
        </w:rPr>
        <w:t>无线工程</w:t>
      </w:r>
      <w:r>
        <w:rPr>
          <w:rFonts w:hint="eastAsia"/>
          <w:color w:val="000000" w:themeColor="text1"/>
          <w14:textFill>
            <w14:solidFill>
              <w14:schemeClr w14:val="tx1"/>
            </w14:solidFill>
          </w14:textFill>
        </w:rPr>
        <w:t>设计及</w:t>
      </w:r>
      <w:r>
        <w:rPr>
          <w:color w:val="000000" w:themeColor="text1"/>
          <w14:textFill>
            <w14:solidFill>
              <w14:schemeClr w14:val="tx1"/>
            </w14:solidFill>
          </w14:textFill>
        </w:rPr>
        <w:t>可行性研究</w:t>
      </w:r>
      <w:r>
        <w:rPr>
          <w:rFonts w:hint="eastAsia"/>
          <w:color w:val="000000" w:themeColor="text1"/>
          <w14:textFill>
            <w14:solidFill>
              <w14:schemeClr w14:val="tx1"/>
            </w14:solidFill>
          </w14:textFill>
        </w:rPr>
        <w:t>服务集中采购“中标通知书”</w:t>
      </w:r>
      <w:r>
        <w:rPr>
          <w:rFonts w:cs="Times New Roman"/>
        </w:rPr>
        <w:t>；</w:t>
      </w:r>
    </w:p>
    <w:p>
      <w:pPr>
        <w:ind w:firstLine="480"/>
        <w:rPr>
          <w:rFonts w:cs="Times New Roman"/>
        </w:rPr>
      </w:pPr>
      <w:r>
        <w:rPr>
          <w:rFonts w:cs="Times New Roman"/>
        </w:rPr>
        <w:t>（2）中国移动通信集团设计院有限公司编制的</w:t>
      </w:r>
      <w:r>
        <w:rPr>
          <w:rFonts w:cs="Times New Roman"/>
          <w:color w:val="FF0000"/>
        </w:rPr>
        <w:t>《</w:t>
      </w:r>
      <w:r>
        <w:rPr>
          <w:rFonts w:hint="eastAsia" w:cs="Times New Roman"/>
          <w:color w:val="FF0000"/>
        </w:rPr>
        <w:t>中国移动江苏公司无锡地区5G二期一阶段无线主设备工程可行性研究报告</w:t>
      </w:r>
      <w:r>
        <w:rPr>
          <w:rFonts w:cs="Times New Roman"/>
          <w:color w:val="FF0000"/>
        </w:rPr>
        <w:t>》</w:t>
      </w:r>
      <w:r>
        <w:rPr>
          <w:rFonts w:cs="Times New Roman"/>
        </w:rPr>
        <w:t>；</w:t>
      </w:r>
    </w:p>
    <w:p>
      <w:pPr>
        <w:ind w:firstLine="480"/>
        <w:jc w:val="left"/>
        <w:rPr>
          <w:rFonts w:cs="Times New Roman"/>
          <w:color w:val="FF0000"/>
        </w:rPr>
      </w:pPr>
      <w:r>
        <w:rPr>
          <w:rFonts w:cs="Times New Roman"/>
        </w:rPr>
        <w:t>（3）</w:t>
      </w:r>
      <w:r>
        <w:rPr>
          <w:rFonts w:cs="Times New Roman"/>
          <w:color w:val="FF0000"/>
        </w:rPr>
        <w:t>中国移动通信集团</w:t>
      </w:r>
      <w:r>
        <w:rPr>
          <w:rFonts w:hint="eastAsia" w:cs="Times New Roman"/>
          <w:color w:val="FF0000"/>
        </w:rPr>
        <w:t>江苏</w:t>
      </w:r>
      <w:r>
        <w:rPr>
          <w:rFonts w:cs="Times New Roman"/>
          <w:color w:val="FF0000"/>
        </w:rPr>
        <w:t>有限公司</w:t>
      </w:r>
      <w:r>
        <w:rPr>
          <w:rFonts w:hint="eastAsia" w:cs="Times New Roman"/>
          <w:color w:val="FF0000"/>
        </w:rPr>
        <w:t>苏移批〔2019〕2439</w:t>
      </w:r>
      <w:r>
        <w:rPr>
          <w:rFonts w:cs="Times New Roman"/>
          <w:color w:val="FF0000"/>
        </w:rPr>
        <w:t>号关于《</w:t>
      </w:r>
      <w:r>
        <w:rPr>
          <w:rFonts w:hint="eastAsia" w:cs="Times New Roman"/>
          <w:color w:val="FF0000"/>
        </w:rPr>
        <w:t>中国移动江苏公司无锡地区5G二期一阶段无线主设备工程可行性研究报告</w:t>
      </w:r>
      <w:r>
        <w:rPr>
          <w:rFonts w:cs="Times New Roman"/>
          <w:color w:val="FF0000"/>
        </w:rPr>
        <w:t>》的批复；</w:t>
      </w:r>
    </w:p>
    <w:p>
      <w:pPr>
        <w:ind w:firstLine="480"/>
        <w:jc w:val="left"/>
        <w:rPr>
          <w:rFonts w:cs="Times New Roman"/>
        </w:rPr>
      </w:pPr>
      <w:r>
        <w:rPr>
          <w:rFonts w:cs="Times New Roman"/>
        </w:rPr>
        <w:t>（4）中国移动通信集团有限公司“关于印发《中国移动2020年5G无线网建设指导意见》的通知”（中移有限计〔2020〕1 号）。</w:t>
      </w:r>
    </w:p>
    <w:p>
      <w:pPr>
        <w:ind w:firstLine="480"/>
        <w:jc w:val="left"/>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（5）中国移动通信集团有限公司《关于下发C-RAN指导意见及开展规划编制工作的通知》（计通[2019]522号）。</w:t>
      </w:r>
    </w:p>
    <w:p>
      <w:pPr>
        <w:ind w:firstLine="480"/>
        <w:rPr>
          <w:rFonts w:cs="Times New Roman"/>
        </w:rPr>
      </w:pPr>
      <w:r>
        <w:rPr>
          <w:rFonts w:cs="Times New Roman"/>
        </w:rPr>
        <w:t>（6）中国移动企业标准《基站防雷与接地技术规范》（QB-A-029-2011）；</w:t>
      </w:r>
    </w:p>
    <w:p>
      <w:pPr>
        <w:ind w:firstLine="480"/>
        <w:rPr>
          <w:rFonts w:cs="Times New Roman"/>
        </w:rPr>
      </w:pPr>
      <w:r>
        <w:rPr>
          <w:rFonts w:cs="Times New Roman"/>
        </w:rPr>
        <w:t>（7）中华人民共和国通信行业标准《通信建筑工程设计规范》（YD 5003-2014）；</w:t>
      </w:r>
    </w:p>
    <w:p>
      <w:pPr>
        <w:ind w:firstLine="480"/>
        <w:rPr>
          <w:rFonts w:cs="Times New Roman"/>
        </w:rPr>
      </w:pPr>
      <w:r>
        <w:rPr>
          <w:rFonts w:cs="Times New Roman"/>
        </w:rPr>
        <w:t>（8）中华人民共和国通信行业标准《通信建设工程安全生产操作规范》（YD 5201-2014）；</w:t>
      </w:r>
    </w:p>
    <w:p>
      <w:pPr>
        <w:ind w:firstLine="480"/>
        <w:rPr>
          <w:rFonts w:cs="Times New Roman"/>
        </w:rPr>
      </w:pPr>
      <w:r>
        <w:rPr>
          <w:rFonts w:cs="Times New Roman"/>
        </w:rPr>
        <w:t>（9）中华人民共和国通信行业标准《通信工程设计文件编制规定》（YD/T 5211-2014）；</w:t>
      </w:r>
    </w:p>
    <w:p>
      <w:pPr>
        <w:ind w:firstLine="480"/>
        <w:rPr>
          <w:rFonts w:cs="Times New Roman"/>
        </w:rPr>
      </w:pPr>
      <w:r>
        <w:rPr>
          <w:rFonts w:cs="Times New Roman"/>
        </w:rPr>
        <w:t>（10）</w:t>
      </w:r>
      <w:r>
        <w:rPr>
          <w:rFonts w:cs="Times New Roman"/>
          <w:color w:val="FF0000"/>
        </w:rPr>
        <w:t>中华人民共和国通信行业标准《通信建筑抗震设防分类标准》（YD 5054-2010）</w:t>
      </w:r>
      <w:r>
        <w:rPr>
          <w:rFonts w:cs="Times New Roman"/>
        </w:rPr>
        <w:t>；</w:t>
      </w:r>
    </w:p>
    <w:p>
      <w:pPr>
        <w:ind w:firstLine="480"/>
        <w:rPr>
          <w:rFonts w:cs="Times New Roman"/>
        </w:rPr>
      </w:pPr>
      <w:r>
        <w:rPr>
          <w:rFonts w:cs="Times New Roman"/>
        </w:rPr>
        <w:t>（11）</w:t>
      </w:r>
      <w:r>
        <w:rPr>
          <w:rFonts w:cs="Times New Roman"/>
          <w:color w:val="FF0000"/>
        </w:rPr>
        <w:t>中华人民共和国通信行业标准《通信设备安装抗震设计图集》（YD 5060-2010）</w:t>
      </w:r>
      <w:r>
        <w:rPr>
          <w:rFonts w:cs="Times New Roman"/>
        </w:rPr>
        <w:t>；</w:t>
      </w:r>
    </w:p>
    <w:p>
      <w:pPr>
        <w:ind w:firstLine="480"/>
        <w:rPr>
          <w:rFonts w:cs="Times New Roman"/>
        </w:rPr>
      </w:pPr>
      <w:r>
        <w:rPr>
          <w:rFonts w:cs="Times New Roman"/>
        </w:rPr>
        <w:t>（12）中华人民共和国通信行业标准《通信机房防火封堵安全技术要求》（YD/T 2199-2010）；</w:t>
      </w:r>
    </w:p>
    <w:p>
      <w:pPr>
        <w:ind w:firstLine="480"/>
        <w:rPr>
          <w:rFonts w:cs="Times New Roman"/>
        </w:rPr>
      </w:pPr>
      <w:r>
        <w:rPr>
          <w:rFonts w:cs="Times New Roman"/>
        </w:rPr>
        <w:t>（13）中华人民共和国通信行业标准《通信局（站）节能设计规范》（YD/T 5184-2018）；</w:t>
      </w:r>
    </w:p>
    <w:p>
      <w:pPr>
        <w:ind w:firstLine="480"/>
        <w:rPr>
          <w:rFonts w:cs="Times New Roman"/>
        </w:rPr>
      </w:pPr>
      <w:r>
        <w:rPr>
          <w:rFonts w:cs="Times New Roman"/>
        </w:rPr>
        <w:t>（14）中华人民共和国通信行业标准《通信工程建设环境保护技术暂行规定》（YD 5039-2009）；</w:t>
      </w:r>
    </w:p>
    <w:p>
      <w:pPr>
        <w:ind w:firstLine="480"/>
        <w:rPr>
          <w:rFonts w:cs="Times New Roman"/>
        </w:rPr>
      </w:pPr>
      <w:r>
        <w:rPr>
          <w:rFonts w:cs="Times New Roman"/>
        </w:rPr>
        <w:t>（15）中华人民共和国通信行业标准《电信基础设施共建共享工程技术暂行规定》（YD 5191-2009）；</w:t>
      </w:r>
    </w:p>
    <w:p>
      <w:pPr>
        <w:ind w:firstLine="480"/>
        <w:rPr>
          <w:rFonts w:cs="Times New Roman"/>
        </w:rPr>
      </w:pPr>
      <w:r>
        <w:rPr>
          <w:rFonts w:cs="Times New Roman"/>
        </w:rPr>
        <w:t>（16）中华人民共和国通信行业标准《电信机房铁架安装设计标准》（YD/T 5026-2005）；</w:t>
      </w:r>
    </w:p>
    <w:p>
      <w:pPr>
        <w:ind w:firstLine="480"/>
        <w:rPr>
          <w:rFonts w:cs="Times New Roman"/>
        </w:rPr>
      </w:pPr>
      <w:r>
        <w:rPr>
          <w:rFonts w:cs="Times New Roman"/>
        </w:rPr>
        <w:t>（17）中华人民共和国通信行业标准《电信设备安装抗震设计规范》（YD 5059-2005）；</w:t>
      </w:r>
    </w:p>
    <w:p>
      <w:pPr>
        <w:ind w:firstLine="480"/>
        <w:rPr>
          <w:rFonts w:cs="Times New Roman"/>
        </w:rPr>
      </w:pPr>
      <w:r>
        <w:rPr>
          <w:rFonts w:cs="Times New Roman"/>
        </w:rPr>
        <w:t>（18）中华人民共和国通信行业标准《电信设备抗地震性能检测规范》（YD 5083-2005）；</w:t>
      </w:r>
    </w:p>
    <w:p>
      <w:pPr>
        <w:ind w:firstLine="480"/>
        <w:rPr>
          <w:rFonts w:cs="Times New Roman"/>
        </w:rPr>
      </w:pPr>
      <w:r>
        <w:rPr>
          <w:rFonts w:cs="Times New Roman"/>
        </w:rPr>
        <w:t>（19）中华人民共和国建筑行业标准《混凝土结构后锚固技术规程》（JGJ145-2013）；</w:t>
      </w:r>
    </w:p>
    <w:p>
      <w:pPr>
        <w:ind w:firstLine="480"/>
        <w:rPr>
          <w:rFonts w:cs="Times New Roman"/>
        </w:rPr>
      </w:pPr>
      <w:r>
        <w:rPr>
          <w:rFonts w:cs="Times New Roman"/>
        </w:rPr>
        <w:t>（20）中华人民共和国环境保护行业标准《辐射环境保护管理导则-电磁辐射环境影响评价方法与标准》（HJ/T 10.3-1996）；</w:t>
      </w:r>
    </w:p>
    <w:p>
      <w:pPr>
        <w:ind w:firstLine="480"/>
        <w:rPr>
          <w:rFonts w:cs="Times New Roman"/>
        </w:rPr>
      </w:pPr>
      <w:r>
        <w:rPr>
          <w:rFonts w:cs="Times New Roman"/>
        </w:rPr>
        <w:t>（21）中华人民共和国国家标准《通信电源设备安装工程设计规范》（GB 51194-2016）；</w:t>
      </w:r>
    </w:p>
    <w:p>
      <w:pPr>
        <w:ind w:firstLine="480"/>
        <w:rPr>
          <w:rFonts w:cs="Times New Roman"/>
        </w:rPr>
      </w:pPr>
      <w:r>
        <w:rPr>
          <w:rFonts w:cs="Times New Roman"/>
        </w:rPr>
        <w:t>（22）中华人民共和国国家标准《通信电源设备安装工程验收规范》（GB 51199-2016）；</w:t>
      </w:r>
    </w:p>
    <w:p>
      <w:pPr>
        <w:ind w:firstLine="480"/>
        <w:rPr>
          <w:rFonts w:cs="Times New Roman"/>
        </w:rPr>
      </w:pPr>
      <w:r>
        <w:rPr>
          <w:rFonts w:cs="Times New Roman"/>
        </w:rPr>
        <w:t>（23）中华人民共和国国家标准《电磁环境控制限值》（GB 8702-2014）；</w:t>
      </w:r>
    </w:p>
    <w:p>
      <w:pPr>
        <w:ind w:firstLine="480"/>
        <w:rPr>
          <w:rFonts w:cs="Times New Roman"/>
        </w:rPr>
      </w:pPr>
      <w:r>
        <w:rPr>
          <w:rFonts w:cs="Times New Roman"/>
        </w:rPr>
        <w:t>（24）中华人民共和国国家标准《混凝土结构加固设计规范》（GB 50367-2013）；</w:t>
      </w:r>
    </w:p>
    <w:p>
      <w:pPr>
        <w:ind w:firstLine="480"/>
        <w:rPr>
          <w:rFonts w:cs="Times New Roman"/>
        </w:rPr>
      </w:pPr>
      <w:r>
        <w:rPr>
          <w:rFonts w:cs="Times New Roman"/>
        </w:rPr>
        <w:t>（25）中华人民共和国国家标准《通信局（站）防雷与接地工程设计规范》（GB 50689-2011）；</w:t>
      </w:r>
    </w:p>
    <w:p>
      <w:pPr>
        <w:ind w:firstLine="480"/>
        <w:rPr>
          <w:rFonts w:cs="Times New Roman"/>
        </w:rPr>
      </w:pPr>
      <w:r>
        <w:rPr>
          <w:rFonts w:cs="Times New Roman"/>
        </w:rPr>
        <w:t>（26）中华人民共和国国家标准《建筑抗震设计规范（2016年版）》（GB 50011-2010）；</w:t>
      </w:r>
    </w:p>
    <w:p>
      <w:pPr>
        <w:ind w:firstLine="480"/>
        <w:rPr>
          <w:rFonts w:cs="Times New Roman"/>
        </w:rPr>
      </w:pPr>
      <w:r>
        <w:rPr>
          <w:rFonts w:cs="Times New Roman"/>
        </w:rPr>
        <w:t>（27）工业和信息化部关于同意中国移动通信集团有限公司使用2600MHz和4800MHz频段用于第五代移动通信系统试验的批复（工信部无函[2018]440号）。</w:t>
      </w:r>
    </w:p>
    <w:p>
      <w:pPr>
        <w:ind w:firstLine="480"/>
        <w:rPr>
          <w:rFonts w:cs="Times New Roman"/>
        </w:rPr>
      </w:pPr>
      <w:r>
        <w:rPr>
          <w:rFonts w:cs="Times New Roman"/>
        </w:rPr>
        <w:t>（28）工业和信息化部关于收回2600MHz频段部分无线电频率的通知（工信部无函[2018]439号）。</w:t>
      </w:r>
    </w:p>
    <w:p>
      <w:pPr>
        <w:ind w:firstLine="480"/>
        <w:rPr>
          <w:rFonts w:cs="Times New Roman"/>
        </w:rPr>
      </w:pPr>
      <w:r>
        <w:rPr>
          <w:rFonts w:cs="Times New Roman"/>
        </w:rPr>
        <w:t>（29）工业和信息化部关于印发《3000－5000MHz频段第五代移动通信基站与卫星地球站等无线电台（站）干扰协调管理办法》的通知（工信部无[2018]266号）。</w:t>
      </w:r>
    </w:p>
    <w:p>
      <w:pPr>
        <w:ind w:firstLine="480"/>
        <w:rPr>
          <w:rFonts w:cs="Times New Roman"/>
        </w:rPr>
      </w:pPr>
      <w:r>
        <w:rPr>
          <w:rFonts w:cs="Times New Roman"/>
        </w:rPr>
        <w:t>（30）中华人民共和国工业和信息化部印发的《通信建设工程安全生产管理规定》（工信部通信[2015]406号）；</w:t>
      </w:r>
    </w:p>
    <w:p>
      <w:pPr>
        <w:ind w:firstLine="480"/>
        <w:rPr>
          <w:rFonts w:cs="Times New Roman"/>
        </w:rPr>
      </w:pPr>
      <w:r>
        <w:rPr>
          <w:rFonts w:cs="Times New Roman"/>
        </w:rPr>
        <w:t>（31）中华人民共和国工业和信息化部印发的《通信网络安全防护管理办法》（工信部令第11号）；</w:t>
      </w:r>
    </w:p>
    <w:p>
      <w:pPr>
        <w:ind w:firstLine="480"/>
        <w:rPr>
          <w:rFonts w:cs="Times New Roman"/>
        </w:rPr>
      </w:pPr>
      <w:r>
        <w:rPr>
          <w:rFonts w:cs="Times New Roman"/>
        </w:rPr>
        <w:t>（32）中华人民共和国工业和信息化部、国务院国有资产监督管理委员会联合印发的《关于2019年推进电信基础设施共建共享的实施意见》（工信部联通信函〔2019〕123号）；</w:t>
      </w:r>
    </w:p>
    <w:p>
      <w:pPr>
        <w:ind w:firstLine="480"/>
        <w:rPr>
          <w:rFonts w:cs="Times New Roman"/>
        </w:rPr>
      </w:pPr>
      <w:r>
        <w:rPr>
          <w:rFonts w:cs="Times New Roman"/>
        </w:rPr>
        <w:t>（33）中华人民共和国工业和信息化部、国务院国有资产监督管理委员会联合印发的《工业和信息化部国务院国有资产监督管理委员会关于2015年推进电信基础设施共建共享的实施意见》（工信部联通[2014]586号）；</w:t>
      </w:r>
    </w:p>
    <w:p>
      <w:pPr>
        <w:ind w:firstLine="480"/>
        <w:rPr>
          <w:rFonts w:cs="Times New Roman"/>
        </w:rPr>
      </w:pPr>
      <w:r>
        <w:rPr>
          <w:rFonts w:cs="Times New Roman"/>
        </w:rPr>
        <w:t>（34）中国移动通信集团</w:t>
      </w:r>
      <w:r>
        <w:rPr>
          <w:rFonts w:hint="eastAsia" w:cs="Times New Roman"/>
        </w:rPr>
        <w:t>江苏</w:t>
      </w:r>
      <w:r>
        <w:rPr>
          <w:rFonts w:cs="Times New Roman"/>
          <w:color w:val="FF0000"/>
        </w:rPr>
        <w:t>有限公司</w:t>
      </w:r>
      <w:r>
        <w:rPr>
          <w:rFonts w:cs="Times New Roman"/>
        </w:rPr>
        <w:t>提供的现网资料；</w:t>
      </w:r>
    </w:p>
    <w:p>
      <w:pPr>
        <w:ind w:firstLine="480"/>
        <w:rPr>
          <w:rFonts w:cs="Times New Roman"/>
        </w:rPr>
      </w:pPr>
      <w:r>
        <w:rPr>
          <w:rFonts w:cs="Times New Roman"/>
        </w:rPr>
        <w:t>（35）中国移动通信集团设计院有限公司现场勘察资料和勘察报告；</w:t>
      </w:r>
    </w:p>
    <w:p>
      <w:pPr>
        <w:ind w:firstLine="480"/>
        <w:rPr>
          <w:rFonts w:cs="Times New Roman"/>
        </w:rPr>
      </w:pPr>
      <w:r>
        <w:rPr>
          <w:rFonts w:cs="Times New Roman"/>
        </w:rPr>
        <w:t>（36）</w:t>
      </w:r>
      <w:r>
        <w:rPr>
          <w:rFonts w:cs="Times New Roman"/>
          <w:color w:val="FF0000"/>
        </w:rPr>
        <w:t>设备厂商提供的5G网络设备参数资料。</w:t>
      </w:r>
    </w:p>
    <w:p>
      <w:pPr>
        <w:pStyle w:val="5"/>
        <w:rPr>
          <w:rFonts w:cs="Times New Roman"/>
        </w:rPr>
      </w:pPr>
      <w:bookmarkStart w:id="72" w:name="_Toc11244"/>
      <w:r>
        <w:rPr>
          <w:rFonts w:cs="Times New Roman"/>
        </w:rPr>
        <w:t>设计范围</w:t>
      </w:r>
      <w:bookmarkEnd w:id="72"/>
    </w:p>
    <w:p>
      <w:pPr>
        <w:pStyle w:val="6"/>
        <w:rPr>
          <w:rFonts w:cs="Times New Roman"/>
        </w:rPr>
      </w:pPr>
      <w:r>
        <w:rPr>
          <w:rFonts w:cs="Times New Roman"/>
        </w:rPr>
        <w:t>设计文件范围界定</w:t>
      </w:r>
    </w:p>
    <w:p>
      <w:pPr>
        <w:ind w:firstLine="470" w:firstLineChars="196"/>
        <w:rPr>
          <w:rStyle w:val="72"/>
          <w:rFonts w:ascii="Times New Roman" w:hAnsi="Times New Roman" w:cs="Times New Roman"/>
          <w:bCs/>
        </w:rPr>
      </w:pPr>
      <w:r>
        <w:rPr>
          <w:rStyle w:val="72"/>
          <w:rFonts w:ascii="Times New Roman" w:hAnsi="Times New Roman" w:cs="Times New Roman"/>
        </w:rPr>
        <w:t>5G二期无线网工程设计涉及</w:t>
      </w:r>
      <w:r>
        <w:rPr>
          <w:rStyle w:val="72"/>
          <w:rFonts w:hint="eastAsia" w:cs="Times New Roman"/>
          <w:color w:val="FF0000"/>
        </w:rPr>
        <w:t>两</w:t>
      </w:r>
      <w:r>
        <w:rPr>
          <w:rStyle w:val="72"/>
          <w:rFonts w:ascii="Times New Roman" w:hAnsi="Times New Roman" w:cs="Times New Roman"/>
          <w:color w:val="FF0000"/>
        </w:rPr>
        <w:t>个专业</w:t>
      </w:r>
      <w:r>
        <w:rPr>
          <w:rStyle w:val="72"/>
          <w:rFonts w:ascii="Times New Roman" w:hAnsi="Times New Roman" w:cs="Times New Roman"/>
        </w:rPr>
        <w:t>，分别为：</w:t>
      </w:r>
    </w:p>
    <w:p>
      <w:pPr>
        <w:pStyle w:val="605"/>
        <w:ind w:left="240"/>
        <w:rPr>
          <w:rStyle w:val="72"/>
          <w:rFonts w:ascii="Times New Roman" w:hAnsi="Times New Roman" w:cs="Times New Roman"/>
          <w:bCs w:val="0"/>
        </w:rPr>
      </w:pPr>
      <w:r>
        <w:rPr>
          <w:rStyle w:val="72"/>
          <w:rFonts w:ascii="Times New Roman" w:hAnsi="Times New Roman" w:cs="Times New Roman"/>
        </w:rPr>
        <w:t>无线网安装工程</w:t>
      </w:r>
    </w:p>
    <w:p>
      <w:pPr>
        <w:pStyle w:val="605"/>
        <w:ind w:left="240"/>
        <w:rPr>
          <w:rStyle w:val="72"/>
          <w:rFonts w:ascii="Times New Roman" w:hAnsi="Times New Roman" w:cs="Times New Roman"/>
          <w:bCs w:val="0"/>
        </w:rPr>
      </w:pPr>
      <w:r>
        <w:rPr>
          <w:rStyle w:val="72"/>
          <w:rFonts w:ascii="Times New Roman" w:hAnsi="Times New Roman" w:cs="Times New Roman"/>
        </w:rPr>
        <w:t>无线配套安装工程</w:t>
      </w:r>
    </w:p>
    <w:p>
      <w:pPr>
        <w:ind w:firstLine="360"/>
        <w:rPr>
          <w:rStyle w:val="72"/>
          <w:rFonts w:ascii="Times New Roman" w:hAnsi="Times New Roman" w:cs="Times New Roman"/>
          <w:bCs/>
        </w:rPr>
      </w:pPr>
      <w:r>
        <w:rPr>
          <w:sz w:val="18"/>
        </w:rPr>
        <w:t>本设计文件为中国移动江苏公司无锡地区5G二期一阶段无线主设备安装工程初步设计，第一册 无锡5G二期一阶段无线主设备安装单项工程，职院中等10个基站 职院中等10个基站无线主设备安装单位工程。</w:t>
      </w:r>
    </w:p>
    <w:p>
      <w:pPr>
        <w:pStyle w:val="6"/>
        <w:rPr>
          <w:rFonts w:cs="Times New Roman"/>
        </w:rPr>
      </w:pPr>
      <w:r>
        <w:rPr>
          <w:rFonts w:cs="Times New Roman"/>
        </w:rPr>
        <w:t>无线网安装工程设计范围</w:t>
      </w:r>
    </w:p>
    <w:p>
      <w:pPr>
        <w:ind w:firstLine="480"/>
        <w:rPr>
          <w:rStyle w:val="72"/>
          <w:rFonts w:ascii="Times New Roman" w:hAnsi="Times New Roman" w:cs="Times New Roman"/>
          <w:bCs/>
        </w:rPr>
      </w:pPr>
      <w:r>
        <w:rPr>
          <w:rFonts w:cs="Times New Roman"/>
        </w:rPr>
        <w:t>无线网建设方案、无线网安装及工程概预算。具体包括：无线网络现状分析、业务需求、网络覆盖目标、覆盖区域及物业点选取、无线网组网架构、建设规模、频率配置、子帧配置、传播模型、链路预算、系统仿真、站址规划、站型配置、宏基站天线选择、室内覆盖信号源的选择及配置、室内分布建设方式选择、无线网参数配置、网管配置方案、系统间干扰分析等；机房内外无线设备的安装设计，包括室内设备平面布置和调整、与其它设备之间信号线缆的布放设计、室外天线和室外设备单元安装位置设计（含天馈防雷接地工艺要求）、室内分布系统天线点位及线缆的布放设计等；并提出基站对传输、电源、土建工艺的具体需求</w:t>
      </w:r>
      <w:r>
        <w:rPr>
          <w:rStyle w:val="72"/>
          <w:rFonts w:ascii="Times New Roman" w:hAnsi="Times New Roman" w:cs="Times New Roman"/>
        </w:rPr>
        <w:t>。</w:t>
      </w:r>
    </w:p>
    <w:p>
      <w:pPr>
        <w:pStyle w:val="6"/>
        <w:rPr>
          <w:rFonts w:cs="Times New Roman"/>
        </w:rPr>
      </w:pPr>
      <w:r>
        <w:rPr>
          <w:rFonts w:cs="Times New Roman"/>
        </w:rPr>
        <w:t>中国移动与铁塔公司分工界面</w:t>
      </w:r>
    </w:p>
    <w:p>
      <w:pPr>
        <w:ind w:firstLine="480"/>
        <w:rPr>
          <w:rStyle w:val="72"/>
          <w:rFonts w:ascii="Times New Roman" w:hAnsi="Times New Roman" w:cs="Times New Roman"/>
          <w:bCs/>
        </w:rPr>
      </w:pPr>
      <w:r>
        <w:rPr>
          <w:rStyle w:val="72"/>
          <w:rFonts w:ascii="Times New Roman" w:hAnsi="Times New Roman" w:cs="Times New Roman"/>
        </w:rPr>
        <w:t>根据《工业和信息化部国务院国有资产监督管理委员会关于2015年推进电信基础设施共建共享的实施意见》工信部联通[2014]586号文，中国铁塔公司与中国移动的建设分工界面为：</w:t>
      </w:r>
    </w:p>
    <w:p>
      <w:pPr>
        <w:ind w:firstLine="480"/>
        <w:rPr>
          <w:rStyle w:val="72"/>
          <w:rFonts w:ascii="Times New Roman" w:hAnsi="Times New Roman" w:cs="Times New Roman"/>
        </w:rPr>
      </w:pPr>
      <w:r>
        <w:rPr>
          <w:rStyle w:val="72"/>
          <w:rFonts w:ascii="Times New Roman" w:hAnsi="Times New Roman" w:cs="Times New Roman"/>
        </w:rPr>
        <w:t>室外宏基站建设中，中国移动负责无线系统的建设，包括无线主设备及其天馈线系统（含一体化美化天线、</w:t>
      </w:r>
      <w:r>
        <w:rPr>
          <w:rStyle w:val="72"/>
          <w:rFonts w:hint="eastAsia" w:ascii="Times New Roman" w:hAnsi="Times New Roman" w:cs="Times New Roman"/>
        </w:rPr>
        <w:t>北斗/</w:t>
      </w:r>
      <w:r>
        <w:rPr>
          <w:rStyle w:val="72"/>
          <w:rFonts w:ascii="Times New Roman" w:hAnsi="Times New Roman" w:cs="Times New Roman"/>
        </w:rPr>
        <w:t>GPS天线），无线主设备与电源设备之间的电源连接；铁塔公司负责铁塔、机房及附属设施的建设，包括铁塔（含增高架、桅杆、楼顶抱杆），机房（含一体化机柜），配套设备（交/直流配电箱、组合开关电源、蓄电池、空调、防雷地网、动环监控（为基础电信企业提供监控接口）、照明、消防等。市电引入由铁塔公司负责建设。天线美化罩则根据中国移动实际需要由铁塔公司或中国移动负责制作安装。</w:t>
      </w:r>
    </w:p>
    <w:p>
      <w:pPr>
        <w:ind w:firstLine="199" w:firstLineChars="83"/>
        <w:jc w:val="left"/>
        <w:rPr>
          <w:rStyle w:val="72"/>
          <w:rFonts w:ascii="Times New Roman" w:hAnsi="Times New Roman" w:cs="Times New Roman"/>
        </w:rPr>
      </w:pPr>
      <w:r>
        <w:rPr>
          <w:rFonts w:cs="Times New Roman"/>
        </w:rPr>
        <w:drawing>
          <wp:inline distT="0" distB="0" distL="0" distR="0">
            <wp:extent cx="5274310" cy="41624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162425"/>
                    </a:xfrm>
                    <a:prstGeom prst="rect">
                      <a:avLst/>
                    </a:prstGeom>
                  </pic:spPr>
                </pic:pic>
              </a:graphicData>
            </a:graphic>
          </wp:inline>
        </w:drawing>
      </w:r>
    </w:p>
    <w:p>
      <w:pPr>
        <w:pStyle w:val="603"/>
        <w:rPr>
          <w:rStyle w:val="72"/>
          <w:rFonts w:ascii="Times New Roman" w:hAnsi="Times New Roman" w:cs="Times New Roman" w:eastAsiaTheme="minorEastAsia"/>
          <w:sz w:val="21"/>
          <w:szCs w:val="21"/>
        </w:rPr>
      </w:pPr>
      <w:r>
        <w:rPr>
          <w:rStyle w:val="72"/>
          <w:rFonts w:ascii="Times New Roman" w:hAnsi="Times New Roman" w:cs="Times New Roman" w:eastAsiaTheme="minorEastAsia"/>
          <w:sz w:val="21"/>
          <w:szCs w:val="21"/>
        </w:rPr>
        <w:t>图</w:t>
      </w:r>
      <w:r>
        <w:rPr>
          <w:rFonts w:cs="Times New Roman"/>
          <w:color w:val="000000"/>
          <w:kern w:val="0"/>
          <w:szCs w:val="20"/>
        </w:rPr>
        <w:t>1.3-1</w:t>
      </w:r>
      <w:r>
        <w:rPr>
          <w:rStyle w:val="72"/>
          <w:rFonts w:ascii="Times New Roman" w:hAnsi="Times New Roman" w:cs="Times New Roman" w:eastAsiaTheme="minorEastAsia"/>
          <w:sz w:val="21"/>
          <w:szCs w:val="21"/>
        </w:rPr>
        <w:t xml:space="preserve">  室外宏基站分工界面</w:t>
      </w:r>
    </w:p>
    <w:p>
      <w:pPr>
        <w:ind w:firstLine="480"/>
        <w:rPr>
          <w:rStyle w:val="72"/>
          <w:rFonts w:ascii="Times New Roman" w:hAnsi="Times New Roman" w:cs="Times New Roman"/>
        </w:rPr>
      </w:pPr>
      <w:r>
        <w:rPr>
          <w:rStyle w:val="72"/>
          <w:rFonts w:ascii="Times New Roman" w:hAnsi="Times New Roman" w:cs="Times New Roman"/>
        </w:rPr>
        <w:t>由铁塔公司承建分布系统的传统室分建设中，中国移动和铁塔公司以合路器输入端口为分界点。中国移动负责无线主设备，并负责无线设备至合路器端口的连接，无线主设备与电源设备的连接线；铁塔公司负责合路器及以下的室内分布系统、配套设施（含机房或设备间，市电引入，交/直流配电、蓄电池等电源设备，空调、监控、消防设施等）的建设。</w:t>
      </w:r>
    </w:p>
    <w:p>
      <w:pPr>
        <w:ind w:firstLine="480"/>
        <w:rPr>
          <w:rStyle w:val="72"/>
          <w:rFonts w:ascii="Times New Roman" w:hAnsi="Times New Roman" w:cs="Times New Roman"/>
        </w:rPr>
      </w:pPr>
      <w:r>
        <w:rPr>
          <w:rStyle w:val="72"/>
          <w:rFonts w:ascii="Times New Roman" w:hAnsi="Times New Roman" w:cs="Times New Roman"/>
        </w:rPr>
        <w:t>分布式皮飞基站原则上由中国移动自行建设，包括基带信源设备、集线设备、微RRU（及室分天线）设备；对于设备间线缆的布放和连接，因其可作为楼内布线的一部分，可由移动公司与铁塔公司协商建设。如果同局址铁塔公司可以提供机房或设备间，市电引入，交/直流配电、蓄电池等电源设备，空调、监控、消防设施等，其配套可以由铁塔公司承建。</w:t>
      </w:r>
    </w:p>
    <w:p>
      <w:pPr>
        <w:ind w:firstLine="199" w:firstLineChars="83"/>
        <w:rPr>
          <w:rStyle w:val="72"/>
          <w:rFonts w:ascii="Times New Roman" w:hAnsi="Times New Roman" w:cs="Times New Roman"/>
        </w:rPr>
      </w:pPr>
      <w:r>
        <w:rPr>
          <w:rFonts w:cs="Times New Roman"/>
        </w:rPr>
        <w:drawing>
          <wp:inline distT="0" distB="0" distL="0" distR="0">
            <wp:extent cx="5274310" cy="26949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94940"/>
                    </a:xfrm>
                    <a:prstGeom prst="rect">
                      <a:avLst/>
                    </a:prstGeom>
                  </pic:spPr>
                </pic:pic>
              </a:graphicData>
            </a:graphic>
          </wp:inline>
        </w:drawing>
      </w:r>
    </w:p>
    <w:p>
      <w:pPr>
        <w:pStyle w:val="603"/>
        <w:rPr>
          <w:rStyle w:val="72"/>
          <w:rFonts w:ascii="Times New Roman" w:hAnsi="Times New Roman" w:cs="Times New Roman"/>
          <w:sz w:val="21"/>
        </w:rPr>
      </w:pPr>
      <w:r>
        <w:rPr>
          <w:rStyle w:val="72"/>
          <w:rFonts w:ascii="Times New Roman" w:hAnsi="Times New Roman" w:cs="Times New Roman"/>
          <w:sz w:val="21"/>
        </w:rPr>
        <w:t>图</w:t>
      </w:r>
      <w:r>
        <w:rPr>
          <w:rFonts w:cs="Times New Roman"/>
        </w:rPr>
        <w:t xml:space="preserve">1.3-2  </w:t>
      </w:r>
      <w:r>
        <w:rPr>
          <w:rStyle w:val="72"/>
          <w:rFonts w:ascii="Times New Roman" w:hAnsi="Times New Roman" w:cs="Times New Roman"/>
          <w:sz w:val="21"/>
        </w:rPr>
        <w:t>传统室分基站分工界面</w:t>
      </w:r>
    </w:p>
    <w:p>
      <w:pPr>
        <w:ind w:firstLine="480"/>
        <w:rPr>
          <w:rStyle w:val="72"/>
          <w:rFonts w:ascii="Times New Roman" w:hAnsi="Times New Roman" w:cs="Times New Roman"/>
          <w:bCs/>
          <w:kern w:val="44"/>
        </w:rPr>
      </w:pPr>
      <w:r>
        <w:rPr>
          <w:rStyle w:val="72"/>
          <w:rFonts w:ascii="Times New Roman" w:hAnsi="Times New Roman" w:cs="Times New Roman"/>
        </w:rPr>
        <w:t>铁塔等基站配套设施均由铁塔公司承建，中国移动不再自建。公共交通类（地铁、铁路、高速公路、机场、车站）和建筑楼宇类（大型场馆、多业主共同使用的商住楼、党政机关）重点场所的室内分布系统，采用传统室分系统建设的，应由铁塔公司承建，中国移动不再自建；采用分布式皮飞系统建设的，无线主设备及相关缆线布放可由中国移动进行建设。</w:t>
      </w:r>
    </w:p>
    <w:p>
      <w:pPr>
        <w:ind w:firstLine="480"/>
        <w:rPr>
          <w:rStyle w:val="72"/>
          <w:rFonts w:ascii="Times New Roman" w:hAnsi="Times New Roman" w:cs="Times New Roman"/>
        </w:rPr>
      </w:pPr>
      <w:r>
        <w:rPr>
          <w:rStyle w:val="72"/>
          <w:rFonts w:ascii="Times New Roman" w:hAnsi="Times New Roman" w:cs="Times New Roman"/>
        </w:rPr>
        <w:t>部分未能移交给铁塔公司的存量基站的配套改造、以及非上述重点场所的室内分布系统仍由中国移动自行建设。</w:t>
      </w:r>
    </w:p>
    <w:p>
      <w:pPr>
        <w:pStyle w:val="5"/>
        <w:rPr>
          <w:rFonts w:cs="Times New Roman"/>
        </w:rPr>
      </w:pPr>
      <w:bookmarkStart w:id="73" w:name="_Toc452131567"/>
      <w:bookmarkStart w:id="74" w:name="_Toc162879715"/>
      <w:bookmarkStart w:id="75" w:name="_Toc2868650"/>
      <w:bookmarkStart w:id="76" w:name="_Toc18779"/>
      <w:bookmarkStart w:id="77" w:name="_Toc334122789"/>
      <w:bookmarkStart w:id="78" w:name="_Toc447204498"/>
      <w:bookmarkStart w:id="79" w:name="_Toc176345479"/>
      <w:bookmarkStart w:id="80" w:name="_Toc447202449"/>
      <w:r>
        <w:rPr>
          <w:rFonts w:cs="Times New Roman"/>
        </w:rPr>
        <w:t>工程设计及责任分工</w:t>
      </w:r>
      <w:bookmarkEnd w:id="73"/>
      <w:bookmarkEnd w:id="74"/>
      <w:bookmarkEnd w:id="75"/>
      <w:bookmarkEnd w:id="76"/>
      <w:bookmarkEnd w:id="77"/>
      <w:bookmarkEnd w:id="78"/>
      <w:bookmarkEnd w:id="79"/>
      <w:bookmarkEnd w:id="80"/>
    </w:p>
    <w:p>
      <w:pPr>
        <w:ind w:firstLine="480"/>
        <w:rPr>
          <w:rFonts w:cs="Times New Roman"/>
        </w:rPr>
      </w:pPr>
      <w:r>
        <w:rPr>
          <w:rFonts w:cs="Times New Roman"/>
        </w:rPr>
        <w:t>本工程主要涉及无线网专业。本专业与传输、电源、土建等专业的分工为：</w:t>
      </w:r>
    </w:p>
    <w:p>
      <w:pPr>
        <w:pStyle w:val="125"/>
        <w:numPr>
          <w:ilvl w:val="0"/>
          <w:numId w:val="50"/>
        </w:numPr>
        <w:tabs>
          <w:tab w:val="left" w:pos="993"/>
        </w:tabs>
        <w:ind w:hanging="436" w:firstLineChars="0"/>
        <w:rPr>
          <w:rFonts w:cs="Times New Roman"/>
          <w:color w:val="000000"/>
        </w:rPr>
      </w:pPr>
      <w:r>
        <w:rPr>
          <w:rFonts w:cs="Times New Roman"/>
        </w:rPr>
        <w:t>本专业与</w:t>
      </w:r>
      <w:r>
        <w:rPr>
          <w:rFonts w:cs="Times New Roman"/>
          <w:color w:val="000000"/>
        </w:rPr>
        <w:t>传输专业的分工</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以ODF接线端为界，无线专业负责无线网主设备到ODF的连接光纤布放、ODF跳接线布放、无线主设备到传输设备同步接口电缆的布放。传输专业负责ODF的安装以及传输侧光缆与ODF的连接。</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当无线网主设备采用光跳线直接与传输设备端口相连时，无线专业负责连接光跳线的布放。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当采用基带设备集中建设方式，</w:t>
      </w:r>
      <w:r>
        <w:rPr>
          <w:color w:val="000000" w:themeColor="text1"/>
          <w14:textFill>
            <w14:solidFill>
              <w14:schemeClr w14:val="tx1"/>
            </w14:solidFill>
          </w14:textFill>
        </w:rPr>
        <w:t>DU</w:t>
      </w:r>
      <w:r>
        <w:rPr>
          <w:rFonts w:hint="eastAsia"/>
          <w:color w:val="000000" w:themeColor="text1"/>
          <w14:textFill>
            <w14:solidFill>
              <w14:schemeClr w14:val="tx1"/>
            </w14:solidFill>
          </w14:textFill>
        </w:rPr>
        <w:t>和射频拉远设备之间（前传接口）以光纤方式连接时，出局光缆由传输专业负责，无线专业负责主设备到</w:t>
      </w:r>
      <w:r>
        <w:rPr>
          <w:color w:val="000000" w:themeColor="text1"/>
          <w14:textFill>
            <w14:solidFill>
              <w14:schemeClr w14:val="tx1"/>
            </w14:solidFill>
          </w14:textFill>
        </w:rPr>
        <w:t>ODF</w:t>
      </w:r>
      <w:r>
        <w:rPr>
          <w:rFonts w:hint="eastAsia"/>
          <w:color w:val="000000" w:themeColor="text1"/>
          <w14:textFill>
            <w14:solidFill>
              <w14:schemeClr w14:val="tx1"/>
            </w14:solidFill>
          </w14:textFill>
        </w:rPr>
        <w:t>的连接光纤布放、</w:t>
      </w:r>
      <w:r>
        <w:rPr>
          <w:color w:val="000000" w:themeColor="text1"/>
          <w14:textFill>
            <w14:solidFill>
              <w14:schemeClr w14:val="tx1"/>
            </w14:solidFill>
          </w14:textFill>
        </w:rPr>
        <w:t>ODF</w:t>
      </w:r>
      <w:r>
        <w:rPr>
          <w:rFonts w:hint="eastAsia"/>
          <w:color w:val="000000" w:themeColor="text1"/>
          <w14:textFill>
            <w14:solidFill>
              <w14:schemeClr w14:val="tx1"/>
            </w14:solidFill>
          </w14:textFill>
        </w:rPr>
        <w:t>跳接线布放；前传接口采用无源波分方案时，波分设备的安装与连接由无线专业负责。</w:t>
      </w:r>
    </w:p>
    <w:p>
      <w:pPr>
        <w:pStyle w:val="125"/>
        <w:numPr>
          <w:ilvl w:val="0"/>
          <w:numId w:val="50"/>
        </w:numPr>
        <w:tabs>
          <w:tab w:val="left" w:pos="993"/>
        </w:tabs>
        <w:ind w:hanging="436" w:firstLineChars="0"/>
        <w:rPr>
          <w:rFonts w:cs="Times New Roman"/>
        </w:rPr>
      </w:pPr>
      <w:r>
        <w:rPr>
          <w:rFonts w:cs="Times New Roman"/>
        </w:rPr>
        <w:t>本专业与土建专业的分工</w:t>
      </w:r>
    </w:p>
    <w:p>
      <w:pPr>
        <w:ind w:firstLine="480"/>
        <w:rPr>
          <w:rFonts w:cs="Times New Roman"/>
        </w:rPr>
      </w:pPr>
      <w:r>
        <w:rPr>
          <w:rFonts w:hint="eastAsia"/>
          <w:color w:val="000000" w:themeColor="text1"/>
          <w14:textFill>
            <w14:solidFill>
              <w14:schemeClr w14:val="tx1"/>
            </w14:solidFill>
          </w14:textFill>
        </w:rPr>
        <w:t>无线专业负责提供无线设备对机房、天面、铁塔等的工艺要求或参数要求；土建专业负责基站机房承重鉴定及承重改造设计、屋面塔架（含屋面抱杆）利旧及新建设计、新建基站自建站房设计及租赁站房装修设计、铁塔及基础设计。天线美化方案由土建专业负责。</w:t>
      </w:r>
    </w:p>
    <w:p>
      <w:pPr>
        <w:pStyle w:val="125"/>
        <w:numPr>
          <w:ilvl w:val="0"/>
          <w:numId w:val="50"/>
        </w:numPr>
        <w:tabs>
          <w:tab w:val="left" w:pos="993"/>
        </w:tabs>
        <w:ind w:hanging="436" w:firstLineChars="0"/>
        <w:rPr>
          <w:rFonts w:cs="Times New Roman"/>
        </w:rPr>
      </w:pPr>
      <w:r>
        <w:rPr>
          <w:rFonts w:cs="Times New Roman"/>
        </w:rPr>
        <w:t>本专业与电源专业的分工</w:t>
      </w:r>
    </w:p>
    <w:p>
      <w:pPr>
        <w:ind w:firstLine="480"/>
        <w:rPr>
          <w:rFonts w:cs="Times New Roman"/>
        </w:rPr>
      </w:pPr>
      <w:r>
        <w:rPr>
          <w:rFonts w:cs="Times New Roman"/>
        </w:rPr>
        <w:t>以电源分配屏和地线排在无线网设备一侧的电缆连接头为分工界面。无线网专业负责无线主设备至电源分配屏的电源线及地线的布放；电源专业负责基站内交流配电箱输出端子及电源系统的安装设计，并在高频开关组合电源中根据通信专业（无线专业、传输专业）提供的用电负荷和供电回路要求预留直流供电分路。电源专业负责基站室内地线排的安装设计，并在基站室内地线排预留通信设备的接地端子。</w:t>
      </w:r>
    </w:p>
    <w:p>
      <w:pPr>
        <w:ind w:firstLine="480" w:firstLineChars="0"/>
        <w:rPr>
          <w:rFonts w:cs="Times New Roman"/>
        </w:rPr>
      </w:pPr>
      <w:r>
        <w:rPr>
          <w:rFonts w:cs="Times New Roman"/>
        </w:rPr>
        <w:t>BBU、AAU/RRU、室内防雷配电设备及其地线均由通信设备厂商负责提供，施工工日由无线专业负责开列；电源专业负责高频开关组合电源至BBU、AAU/RRU室内防雷配电设备的路由图的规划示意。</w:t>
      </w:r>
    </w:p>
    <w:p>
      <w:pPr>
        <w:pStyle w:val="125"/>
        <w:numPr>
          <w:ilvl w:val="0"/>
          <w:numId w:val="50"/>
        </w:numPr>
        <w:tabs>
          <w:tab w:val="left" w:pos="993"/>
        </w:tabs>
        <w:ind w:hanging="436" w:firstLineChars="0"/>
        <w:rPr>
          <w:rFonts w:cs="Times New Roman"/>
        </w:rPr>
      </w:pPr>
      <w:r>
        <w:rPr>
          <w:rFonts w:cs="Times New Roman"/>
        </w:rPr>
        <w:t>本专业与无线配套专业分工</w:t>
      </w:r>
    </w:p>
    <w:bookmarkEnd w:id="66"/>
    <w:bookmarkEnd w:id="67"/>
    <w:bookmarkEnd w:id="68"/>
    <w:bookmarkEnd w:id="69"/>
    <w:p>
      <w:pPr>
        <w:ind w:firstLine="480"/>
        <w:rPr>
          <w:rFonts w:cs="Times New Roman"/>
        </w:rPr>
      </w:pPr>
      <w:bookmarkStart w:id="81" w:name="_Toc2868651"/>
      <w:bookmarkStart w:id="82" w:name="_Toc447202450"/>
      <w:bookmarkStart w:id="83" w:name="_Toc452131568"/>
      <w:bookmarkStart w:id="84" w:name="_Toc447204499"/>
      <w:r>
        <w:rPr>
          <w:rFonts w:cs="Times New Roman"/>
        </w:rPr>
        <w:t>无线配套专业包含室内外走线架、馈线洞、馈线窗安装设计；空调、消防、监控费用由无线专业负责计列。</w:t>
      </w:r>
    </w:p>
    <w:p>
      <w:pPr>
        <w:pStyle w:val="5"/>
        <w:rPr>
          <w:rFonts w:cs="Times New Roman"/>
        </w:rPr>
      </w:pPr>
      <w:bookmarkStart w:id="85" w:name="_Toc30682"/>
      <w:r>
        <w:rPr>
          <w:rFonts w:cs="Times New Roman"/>
        </w:rPr>
        <w:t>工程规模及主要工程量</w:t>
      </w:r>
      <w:bookmarkEnd w:id="81"/>
      <w:bookmarkEnd w:id="85"/>
    </w:p>
    <w:bookmarkEnd w:id="70"/>
    <w:bookmarkEnd w:id="71"/>
    <w:bookmarkEnd w:id="82"/>
    <w:bookmarkEnd w:id="83"/>
    <w:bookmarkEnd w:id="84"/>
    <w:p>
      <w:pPr>
        <w:ind w:firstLine="360"/>
        <w:rPr>
          <w:rFonts w:cs="Times New Roman"/>
          <w:color w:val="FF0000"/>
        </w:rPr>
      </w:pPr>
      <w:bookmarkStart w:id="86" w:name="_Toc447204500"/>
      <w:bookmarkStart w:id="87" w:name="_Toc2868652"/>
      <w:bookmarkStart w:id="88" w:name="_Toc176345482"/>
      <w:bookmarkStart w:id="89" w:name="_Toc447202451"/>
      <w:bookmarkStart w:id="90" w:name="_Toc452131569"/>
      <w:bookmarkStart w:id="91" w:name="_Toc162879714"/>
      <w:r>
        <w:rPr>
          <w:sz w:val="18"/>
        </w:rPr>
        <w:t>中国移动江苏公司2019年无锡地区5G二期一阶段无线主设备工程，职院中等10个基站无线主设备安装单位工程，建设载频3个。具体工程规模如下：</w:t>
      </w:r>
    </w:p>
    <w:p>
      <w:pPr>
        <w:pStyle w:val="603"/>
        <w:ind w:firstLine="480"/>
        <w:rPr>
          <w:rFonts w:cs="Times New Roman"/>
          <w:color w:val="FF0000"/>
        </w:rPr>
      </w:pPr>
      <w:r>
        <w:rPr>
          <w:rFonts w:cs="Times New Roman"/>
          <w:color w:val="FF0000"/>
        </w:rPr>
        <w:t>表1.5-1  工程规模表</w:t>
      </w:r>
    </w:p>
    <w:tbl>
      <w:tblPr>
        <w:tblStyle w:val="63"/>
        <w:tblW w:w="84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077"/>
        <w:gridCol w:w="1078"/>
        <w:gridCol w:w="1078"/>
        <w:gridCol w:w="1077"/>
        <w:gridCol w:w="1277"/>
        <w:gridCol w:w="982"/>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blHeader/>
          <w:jc w:val="center"/>
        </w:trPr>
        <w:tc>
          <w:tcPr>
            <w:tcW w:w="869" w:type="dxa"/>
            <w:shd w:val="clear" w:color="000000" w:fill="FFFFFF"/>
            <w:vAlign w:val="center"/>
          </w:tcPr>
          <w:p>
            <w:pPr>
              <w:pStyle w:val="290"/>
              <w:rPr>
                <w:color w:val="FF0000"/>
              </w:rPr>
            </w:pPr>
            <w:r>
              <w:rPr>
                <w:color w:val="FF0000"/>
              </w:rPr>
              <w:t>区域</w:t>
            </w:r>
          </w:p>
        </w:tc>
        <w:tc>
          <w:tcPr>
            <w:tcW w:w="1077" w:type="dxa"/>
            <w:shd w:val="clear" w:color="000000" w:fill="FFFFFF"/>
            <w:vAlign w:val="center"/>
          </w:tcPr>
          <w:p>
            <w:pPr>
              <w:pStyle w:val="290"/>
              <w:rPr>
                <w:color w:val="FF0000"/>
              </w:rPr>
            </w:pPr>
            <w:r>
              <w:rPr>
                <w:color w:val="FF0000"/>
              </w:rPr>
              <w:t>2.6GHz频段宏基站（个）</w:t>
            </w:r>
          </w:p>
        </w:tc>
        <w:tc>
          <w:tcPr>
            <w:tcW w:w="1078" w:type="dxa"/>
            <w:shd w:val="clear" w:color="000000" w:fill="FFFFFF"/>
            <w:vAlign w:val="center"/>
          </w:tcPr>
          <w:p>
            <w:pPr>
              <w:pStyle w:val="290"/>
              <w:rPr>
                <w:color w:val="FF0000"/>
              </w:rPr>
            </w:pPr>
            <w:r>
              <w:rPr>
                <w:color w:val="FF0000"/>
              </w:rPr>
              <w:t>4.9GHz频段宏基站（个）</w:t>
            </w:r>
          </w:p>
        </w:tc>
        <w:tc>
          <w:tcPr>
            <w:tcW w:w="1078" w:type="dxa"/>
            <w:shd w:val="clear" w:color="000000" w:fill="FFFFFF"/>
            <w:vAlign w:val="center"/>
          </w:tcPr>
          <w:p>
            <w:pPr>
              <w:pStyle w:val="290"/>
              <w:rPr>
                <w:color w:val="FF0000"/>
              </w:rPr>
            </w:pPr>
            <w:r>
              <w:rPr>
                <w:color w:val="FF0000"/>
              </w:rPr>
              <w:t>2.6GHz频段微基站（个）</w:t>
            </w:r>
          </w:p>
        </w:tc>
        <w:tc>
          <w:tcPr>
            <w:tcW w:w="1077" w:type="dxa"/>
            <w:shd w:val="clear" w:color="000000" w:fill="FFFFFF"/>
            <w:vAlign w:val="center"/>
          </w:tcPr>
          <w:p>
            <w:pPr>
              <w:pStyle w:val="290"/>
              <w:rPr>
                <w:color w:val="FF0000"/>
              </w:rPr>
            </w:pPr>
            <w:r>
              <w:rPr>
                <w:color w:val="FF0000"/>
              </w:rPr>
              <w:t>2.6GHz频段室分基站（个）</w:t>
            </w:r>
          </w:p>
        </w:tc>
        <w:tc>
          <w:tcPr>
            <w:tcW w:w="1277" w:type="dxa"/>
            <w:shd w:val="clear" w:color="000000" w:fill="FFFFFF"/>
            <w:vAlign w:val="center"/>
          </w:tcPr>
          <w:p>
            <w:pPr>
              <w:pStyle w:val="290"/>
              <w:rPr>
                <w:color w:val="FF0000"/>
              </w:rPr>
            </w:pPr>
            <w:r>
              <w:rPr>
                <w:color w:val="FF0000"/>
              </w:rPr>
              <w:t>2.6GHz频段室内覆盖物业点（个）</w:t>
            </w:r>
          </w:p>
        </w:tc>
        <w:tc>
          <w:tcPr>
            <w:tcW w:w="982" w:type="dxa"/>
            <w:shd w:val="clear" w:color="000000" w:fill="FFFFFF"/>
            <w:vAlign w:val="center"/>
          </w:tcPr>
          <w:p>
            <w:pPr>
              <w:pStyle w:val="290"/>
              <w:rPr>
                <w:color w:val="FF0000"/>
              </w:rPr>
            </w:pPr>
            <w:r>
              <w:rPr>
                <w:color w:val="FF0000"/>
              </w:rPr>
              <w:t>基站</w:t>
            </w:r>
          </w:p>
          <w:p>
            <w:pPr>
              <w:pStyle w:val="290"/>
              <w:rPr>
                <w:color w:val="FF0000"/>
              </w:rPr>
            </w:pPr>
            <w:r>
              <w:rPr>
                <w:color w:val="FF0000"/>
              </w:rPr>
              <w:t>小计（个）</w:t>
            </w:r>
          </w:p>
        </w:tc>
        <w:tc>
          <w:tcPr>
            <w:tcW w:w="974" w:type="dxa"/>
            <w:shd w:val="clear" w:color="000000" w:fill="FFFFFF"/>
            <w:vAlign w:val="center"/>
          </w:tcPr>
          <w:p>
            <w:pPr>
              <w:pStyle w:val="290"/>
              <w:rPr>
                <w:color w:val="FF0000"/>
              </w:rPr>
            </w:pPr>
            <w:r>
              <w:rPr>
                <w:color w:val="FF0000"/>
              </w:rPr>
              <w:t>载频</w:t>
            </w:r>
          </w:p>
          <w:p>
            <w:pPr>
              <w:pStyle w:val="290"/>
              <w:rPr>
                <w:color w:val="FF0000"/>
              </w:rPr>
            </w:pPr>
            <w:r>
              <w:rPr>
                <w:color w:val="FF0000"/>
              </w:rPr>
              <w:t>小计（个）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r>
              <w:rPr>
                <w:color w:val="FF0000"/>
              </w:rPr>
              <w:t xml:space="preserve">XX  </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r>
              <w:rPr>
                <w:color w:val="FF0000"/>
              </w:rPr>
              <w:t>XX</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r>
              <w:rPr>
                <w:color w:val="FF0000"/>
              </w:rPr>
              <w:t>XX</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blHeader/>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869" w:type="dxa"/>
            <w:shd w:val="clear" w:color="000000" w:fill="FFFFFF"/>
            <w:vAlign w:val="center"/>
          </w:tcPr>
          <w:p>
            <w:pPr>
              <w:pStyle w:val="290"/>
              <w:rPr>
                <w:color w:val="FF0000"/>
              </w:rPr>
            </w:pPr>
            <w:r>
              <w:rPr>
                <w:color w:val="FF0000"/>
              </w:rPr>
              <w:t>合计</w:t>
            </w:r>
          </w:p>
        </w:tc>
        <w:tc>
          <w:tcPr>
            <w:tcW w:w="1077" w:type="dxa"/>
            <w:shd w:val="clear" w:color="000000" w:fill="FFFFFF"/>
            <w:vAlign w:val="center"/>
          </w:tcPr>
          <w:p>
            <w:pPr>
              <w:pStyle w:val="290"/>
              <w:rPr>
                <w:color w:val="FF0000"/>
              </w:rPr>
            </w:pPr>
          </w:p>
        </w:tc>
        <w:tc>
          <w:tcPr>
            <w:tcW w:w="1078" w:type="dxa"/>
            <w:shd w:val="clear" w:color="000000" w:fill="FFFFFF"/>
            <w:vAlign w:val="center"/>
          </w:tcPr>
          <w:p>
            <w:pPr>
              <w:pStyle w:val="290"/>
              <w:rPr>
                <w:color w:val="FF0000"/>
              </w:rPr>
            </w:pPr>
          </w:p>
        </w:tc>
        <w:tc>
          <w:tcPr>
            <w:tcW w:w="1078" w:type="dxa"/>
            <w:shd w:val="clear" w:color="000000" w:fill="FFFFFF"/>
          </w:tcPr>
          <w:p>
            <w:pPr>
              <w:pStyle w:val="290"/>
              <w:rPr>
                <w:color w:val="FF0000"/>
              </w:rPr>
            </w:pPr>
          </w:p>
        </w:tc>
        <w:tc>
          <w:tcPr>
            <w:tcW w:w="1077" w:type="dxa"/>
            <w:shd w:val="clear" w:color="000000" w:fill="FFFFFF"/>
          </w:tcPr>
          <w:p>
            <w:pPr>
              <w:pStyle w:val="290"/>
              <w:rPr>
                <w:color w:val="FF0000"/>
              </w:rPr>
            </w:pPr>
          </w:p>
        </w:tc>
        <w:tc>
          <w:tcPr>
            <w:tcW w:w="1277" w:type="dxa"/>
            <w:shd w:val="clear" w:color="000000" w:fill="FFFFFF"/>
            <w:vAlign w:val="center"/>
          </w:tcPr>
          <w:p>
            <w:pPr>
              <w:pStyle w:val="290"/>
              <w:rPr>
                <w:color w:val="FF0000"/>
              </w:rPr>
            </w:pPr>
          </w:p>
        </w:tc>
        <w:tc>
          <w:tcPr>
            <w:tcW w:w="982" w:type="dxa"/>
            <w:shd w:val="clear" w:color="000000" w:fill="FFFFFF"/>
            <w:vAlign w:val="center"/>
          </w:tcPr>
          <w:p>
            <w:pPr>
              <w:pStyle w:val="290"/>
              <w:rPr>
                <w:color w:val="FF0000"/>
              </w:rPr>
            </w:pPr>
          </w:p>
        </w:tc>
        <w:tc>
          <w:tcPr>
            <w:tcW w:w="974" w:type="dxa"/>
            <w:shd w:val="clear" w:color="000000" w:fill="FFFFFF"/>
            <w:vAlign w:val="center"/>
          </w:tcPr>
          <w:p>
            <w:pPr>
              <w:pStyle w:val="290"/>
              <w:rPr>
                <w:color w:val="FF0000"/>
              </w:rPr>
            </w:pPr>
          </w:p>
        </w:tc>
      </w:tr>
    </w:tbl>
    <w:p>
      <w:pPr>
        <w:ind w:firstLine="480"/>
        <w:rPr>
          <w:rFonts w:cs="Times New Roman"/>
          <w:color w:val="FF0000"/>
        </w:rPr>
      </w:pPr>
      <w:r>
        <w:rPr>
          <w:rFonts w:cs="Times New Roman"/>
          <w:color w:val="FF0000"/>
        </w:rPr>
        <w:t>本工程完成后，</w:t>
      </w:r>
      <w:r>
        <w:rPr>
          <w:rFonts w:hint="eastAsia" w:cs="Times New Roman"/>
          <w:color w:val="FF0000"/>
        </w:rPr>
        <w:t>无锡市浦厂宿舍及其周边的5</w:t>
      </w:r>
      <w:r>
        <w:rPr>
          <w:rFonts w:cs="Times New Roman"/>
          <w:color w:val="FF0000"/>
        </w:rPr>
        <w:t>G</w:t>
      </w:r>
      <w:r>
        <w:rPr>
          <w:rFonts w:hint="eastAsia" w:cs="Times New Roman"/>
          <w:color w:val="FF0000"/>
        </w:rPr>
        <w:t>室外连续覆盖</w:t>
      </w:r>
      <w:r>
        <w:rPr>
          <w:rFonts w:cs="Times New Roman"/>
          <w:color w:val="FF0000"/>
        </w:rPr>
        <w:t>。</w:t>
      </w:r>
    </w:p>
    <w:p>
      <w:pPr>
        <w:ind w:firstLine="360"/>
        <w:rPr>
          <w:color w:val="000000" w:themeColor="text1"/>
          <w14:textFill>
            <w14:solidFill>
              <w14:schemeClr w14:val="tx1"/>
            </w14:solidFill>
          </w14:textFill>
        </w:rPr>
      </w:pPr>
      <w:r>
        <w:rPr>
          <w:sz w:val="18"/>
        </w:rPr>
        <w:t>本分册文件包含职院中等10个基站的全套设计方案，站点清单如下表：</w:t>
      </w:r>
    </w:p>
    <w:p>
      <w:pPr>
        <w:pStyle w:val="603"/>
        <w:ind w:firstLine="480"/>
        <w:rPr>
          <w:color w:val="000000" w:themeColor="text1"/>
          <w14:textFill>
            <w14:solidFill>
              <w14:schemeClr w14:val="tx1"/>
            </w14:solidFill>
          </w14:textFill>
        </w:rPr>
      </w:pPr>
    </w:p>
    <w:p>
      <w:pPr>
        <w:pStyle w:val="5"/>
        <w:rPr>
          <w:rFonts w:cs="Times New Roman"/>
        </w:rPr>
      </w:pPr>
      <w:bookmarkStart w:id="92" w:name="_Toc20776"/>
      <w:r>
        <w:rPr>
          <w:rFonts w:cs="Times New Roman"/>
        </w:rPr>
        <w:t>工程投资</w:t>
      </w:r>
      <w:bookmarkEnd w:id="86"/>
      <w:bookmarkEnd w:id="87"/>
      <w:bookmarkEnd w:id="88"/>
      <w:bookmarkEnd w:id="89"/>
      <w:bookmarkEnd w:id="90"/>
      <w:bookmarkEnd w:id="91"/>
      <w:bookmarkEnd w:id="92"/>
    </w:p>
    <w:p>
      <w:pPr>
        <w:ind w:firstLine="360"/>
        <w:rPr>
          <w:color w:val="000000" w:themeColor="text1"/>
          <w14:textFill>
            <w14:solidFill>
              <w14:schemeClr w14:val="tx1"/>
            </w14:solidFill>
          </w14:textFill>
        </w:rPr>
      </w:pPr>
      <w:bookmarkStart w:id="93" w:name="_Toc447204502"/>
      <w:bookmarkStart w:id="94" w:name="_Toc2868654"/>
      <w:bookmarkStart w:id="95" w:name="_Toc452131571"/>
      <w:bookmarkStart w:id="96" w:name="_Toc447202453"/>
      <w:r>
        <w:rPr>
          <w:sz w:val="18"/>
        </w:rPr>
        <w:t>本分册文件包含职院中等10个基站无线主设备安装单位工程一阶段设计预算情况如下：</w:t>
      </w:r>
    </w:p>
    <w:p>
      <w:pPr>
        <w:pStyle w:val="603"/>
        <w:ind w:firstLine="420"/>
        <w:rPr>
          <w:rFonts w:cs="Times New Roman"/>
        </w:rPr>
      </w:pPr>
    </w:p>
    <w:p>
      <w:pPr>
        <w:pStyle w:val="603"/>
        <w:ind w:firstLine="420"/>
        <w:rPr>
          <w:rFonts w:cs="Times New Roman"/>
        </w:rPr>
      </w:pPr>
    </w:p>
    <w:p>
      <w:pPr>
        <w:pStyle w:val="603"/>
        <w:ind w:firstLine="420"/>
        <w:rPr>
          <w:rFonts w:cs="Times New Roman"/>
        </w:rPr>
      </w:pPr>
      <w:r>
        <w:rPr>
          <w:rFonts w:cs="Times New Roman"/>
        </w:rPr>
        <w:t>表</w:t>
      </w:r>
      <w:r>
        <w:rPr>
          <w:rFonts w:cs="Times New Roman"/>
          <w:color w:val="FF0000"/>
        </w:rPr>
        <w:t xml:space="preserve">1.6-1  </w:t>
      </w:r>
      <w:r>
        <w:rPr>
          <w:rFonts w:cs="Times New Roman"/>
        </w:rPr>
        <w:t>工程投资</w:t>
      </w:r>
    </w:p>
    <w:tbl>
      <w:tblPr>
        <w:tblStyle w:val="63"/>
        <w:tblW w:w="7229" w:type="dxa"/>
        <w:jc w:val="center"/>
        <w:tblLayout w:type="fixed"/>
        <w:tblCellMar>
          <w:top w:w="0" w:type="dxa"/>
          <w:left w:w="108" w:type="dxa"/>
          <w:bottom w:w="0" w:type="dxa"/>
          <w:right w:w="108" w:type="dxa"/>
        </w:tblCellMar>
      </w:tblPr>
      <w:tblGrid>
        <w:gridCol w:w="2200"/>
        <w:gridCol w:w="1736"/>
        <w:gridCol w:w="1559"/>
        <w:gridCol w:w="1734"/>
      </w:tblGrid>
      <w:tr>
        <w:tblPrEx>
          <w:tblCellMar>
            <w:top w:w="0" w:type="dxa"/>
            <w:left w:w="108" w:type="dxa"/>
            <w:bottom w:w="0" w:type="dxa"/>
            <w:right w:w="108" w:type="dxa"/>
          </w:tblCellMar>
        </w:tblPrEx>
        <w:trPr>
          <w:trHeight w:val="285" w:hRule="atLeast"/>
          <w:tblHeader/>
          <w:jc w:val="center"/>
        </w:trPr>
        <w:tc>
          <w:tcPr>
            <w:tcW w:w="220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项目</w:t>
            </w:r>
          </w:p>
        </w:tc>
        <w:tc>
          <w:tcPr>
            <w:tcW w:w="1736" w:type="dxa"/>
            <w:tcBorders>
              <w:top w:val="single" w:color="auto" w:sz="4" w:space="0"/>
              <w:left w:val="nil"/>
              <w:bottom w:val="single" w:color="auto" w:sz="4" w:space="0"/>
              <w:right w:val="single" w:color="auto" w:sz="4" w:space="0"/>
            </w:tcBorders>
            <w:shd w:val="clear" w:color="auto" w:fill="auto"/>
            <w:vAlign w:val="center"/>
          </w:tcPr>
          <w:p>
            <w:pPr>
              <w:pStyle w:val="290"/>
            </w:pPr>
            <w:r>
              <w:t>不含税价概算额（万元）</w:t>
            </w:r>
          </w:p>
        </w:tc>
        <w:tc>
          <w:tcPr>
            <w:tcW w:w="1559" w:type="dxa"/>
            <w:tcBorders>
              <w:top w:val="single" w:color="auto" w:sz="4" w:space="0"/>
              <w:left w:val="nil"/>
              <w:bottom w:val="single" w:color="auto" w:sz="4" w:space="0"/>
              <w:right w:val="single" w:color="auto" w:sz="4" w:space="0"/>
            </w:tcBorders>
          </w:tcPr>
          <w:p>
            <w:pPr>
              <w:pStyle w:val="290"/>
            </w:pPr>
            <w:r>
              <w:t>增值税概算额（万元）</w:t>
            </w:r>
          </w:p>
        </w:tc>
        <w:tc>
          <w:tcPr>
            <w:tcW w:w="1734" w:type="dxa"/>
            <w:tcBorders>
              <w:top w:val="single" w:color="auto" w:sz="4" w:space="0"/>
              <w:left w:val="single" w:color="auto" w:sz="4" w:space="0"/>
              <w:bottom w:val="single" w:color="auto" w:sz="4" w:space="0"/>
              <w:right w:val="single" w:color="auto" w:sz="4" w:space="0"/>
            </w:tcBorders>
          </w:tcPr>
          <w:p>
            <w:pPr>
              <w:pStyle w:val="290"/>
            </w:pPr>
            <w:r>
              <w:t>含税价概算额（万元）</w:t>
            </w: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需要安装设备费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不需要安装设备费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建筑安装工程费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工程建设其他费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预备费</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85" w:hRule="atLeast"/>
          <w:jc w:val="center"/>
        </w:trPr>
        <w:tc>
          <w:tcPr>
            <w:tcW w:w="2200" w:type="dxa"/>
            <w:tcBorders>
              <w:top w:val="nil"/>
              <w:left w:val="single" w:color="auto" w:sz="4" w:space="0"/>
              <w:bottom w:val="single" w:color="auto" w:sz="4" w:space="0"/>
              <w:right w:val="single" w:color="auto" w:sz="4" w:space="0"/>
            </w:tcBorders>
            <w:shd w:val="clear" w:color="auto" w:fill="auto"/>
            <w:vAlign w:val="center"/>
          </w:tcPr>
          <w:p>
            <w:pPr>
              <w:pStyle w:val="290"/>
            </w:pPr>
            <w:r>
              <w:t>合计</w:t>
            </w:r>
          </w:p>
        </w:tc>
        <w:tc>
          <w:tcPr>
            <w:tcW w:w="1736" w:type="dxa"/>
            <w:tcBorders>
              <w:top w:val="nil"/>
              <w:left w:val="nil"/>
              <w:bottom w:val="single" w:color="auto" w:sz="4" w:space="0"/>
              <w:right w:val="single" w:color="auto" w:sz="4" w:space="0"/>
            </w:tcBorders>
            <w:shd w:val="clear" w:color="auto" w:fill="auto"/>
            <w:vAlign w:val="center"/>
          </w:tcPr>
          <w:p>
            <w:pPr>
              <w:pStyle w:val="290"/>
            </w:pPr>
          </w:p>
        </w:tc>
        <w:tc>
          <w:tcPr>
            <w:tcW w:w="1559" w:type="dxa"/>
            <w:tcBorders>
              <w:top w:val="single" w:color="auto" w:sz="4" w:space="0"/>
              <w:left w:val="nil"/>
              <w:bottom w:val="single" w:color="auto" w:sz="4" w:space="0"/>
              <w:right w:val="single" w:color="auto" w:sz="4" w:space="0"/>
            </w:tcBorders>
          </w:tcPr>
          <w:p>
            <w:pPr>
              <w:pStyle w:val="290"/>
            </w:pPr>
          </w:p>
        </w:tc>
        <w:tc>
          <w:tcPr>
            <w:tcW w:w="1734" w:type="dxa"/>
            <w:tcBorders>
              <w:top w:val="single" w:color="auto" w:sz="4" w:space="0"/>
              <w:left w:val="single" w:color="auto" w:sz="4" w:space="0"/>
              <w:bottom w:val="single" w:color="auto" w:sz="4" w:space="0"/>
              <w:right w:val="single" w:color="auto" w:sz="4" w:space="0"/>
            </w:tcBorders>
          </w:tcPr>
          <w:p>
            <w:pPr>
              <w:pStyle w:val="290"/>
            </w:pPr>
          </w:p>
        </w:tc>
      </w:tr>
    </w:tbl>
    <w:p>
      <w:pPr>
        <w:pStyle w:val="5"/>
        <w:rPr>
          <w:rFonts w:cs="Times New Roman"/>
        </w:rPr>
      </w:pPr>
      <w:bookmarkStart w:id="97" w:name="_Toc447204501"/>
      <w:bookmarkStart w:id="98" w:name="_Toc447202452"/>
      <w:bookmarkStart w:id="99" w:name="_Toc2868653"/>
      <w:bookmarkStart w:id="100" w:name="_Toc452131570"/>
      <w:bookmarkStart w:id="101" w:name="_Toc27469"/>
      <w:r>
        <w:rPr>
          <w:rFonts w:cs="Times New Roman"/>
        </w:rPr>
        <w:t>与可研规模及投资对比</w:t>
      </w:r>
      <w:bookmarkEnd w:id="97"/>
      <w:bookmarkEnd w:id="98"/>
      <w:bookmarkEnd w:id="99"/>
      <w:bookmarkEnd w:id="100"/>
      <w:bookmarkEnd w:id="101"/>
    </w:p>
    <w:p>
      <w:pPr>
        <w:pStyle w:val="603"/>
        <w:ind w:firstLine="420"/>
        <w:rPr>
          <w:rFonts w:cs="Times New Roman"/>
        </w:rPr>
      </w:pPr>
      <w:r>
        <w:rPr>
          <w:rFonts w:cs="Times New Roman"/>
        </w:rPr>
        <w:t>表1.7-1  工程规模及主要工程量对比表</w:t>
      </w:r>
    </w:p>
    <w:tbl>
      <w:tblPr>
        <w:tblStyle w:val="63"/>
        <w:tblW w:w="8384" w:type="dxa"/>
        <w:jc w:val="center"/>
        <w:tblLayout w:type="fixed"/>
        <w:tblCellMar>
          <w:top w:w="0" w:type="dxa"/>
          <w:left w:w="108" w:type="dxa"/>
          <w:bottom w:w="0" w:type="dxa"/>
          <w:right w:w="108" w:type="dxa"/>
        </w:tblCellMar>
      </w:tblPr>
      <w:tblGrid>
        <w:gridCol w:w="2813"/>
        <w:gridCol w:w="732"/>
        <w:gridCol w:w="1001"/>
        <w:gridCol w:w="1129"/>
        <w:gridCol w:w="1155"/>
        <w:gridCol w:w="1554"/>
      </w:tblGrid>
      <w:tr>
        <w:tblPrEx>
          <w:tblCellMar>
            <w:top w:w="0" w:type="dxa"/>
            <w:left w:w="108" w:type="dxa"/>
            <w:bottom w:w="0" w:type="dxa"/>
            <w:right w:w="108" w:type="dxa"/>
          </w:tblCellMar>
        </w:tblPrEx>
        <w:trPr>
          <w:trHeight w:val="720" w:hRule="atLeast"/>
          <w:tblHeader/>
          <w:jc w:val="center"/>
        </w:trPr>
        <w:tc>
          <w:tcPr>
            <w:tcW w:w="281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工程规模及主要工程量</w:t>
            </w:r>
          </w:p>
        </w:tc>
        <w:tc>
          <w:tcPr>
            <w:tcW w:w="732" w:type="dxa"/>
            <w:tcBorders>
              <w:top w:val="single" w:color="auto" w:sz="4" w:space="0"/>
              <w:left w:val="single" w:color="auto" w:sz="4" w:space="0"/>
              <w:bottom w:val="single" w:color="auto" w:sz="4" w:space="0"/>
              <w:right w:val="single" w:color="auto" w:sz="4" w:space="0"/>
            </w:tcBorders>
            <w:vAlign w:val="center"/>
          </w:tcPr>
          <w:p>
            <w:pPr>
              <w:pStyle w:val="290"/>
            </w:pPr>
            <w:r>
              <w:t>单位</w:t>
            </w:r>
          </w:p>
        </w:tc>
        <w:tc>
          <w:tcPr>
            <w:tcW w:w="1001" w:type="dxa"/>
            <w:tcBorders>
              <w:top w:val="single" w:color="auto" w:sz="4" w:space="0"/>
              <w:left w:val="single" w:color="auto" w:sz="4" w:space="0"/>
              <w:bottom w:val="single" w:color="auto" w:sz="4" w:space="0"/>
              <w:right w:val="single" w:color="auto" w:sz="4" w:space="0"/>
            </w:tcBorders>
            <w:vAlign w:val="center"/>
          </w:tcPr>
          <w:p>
            <w:pPr>
              <w:pStyle w:val="290"/>
            </w:pPr>
            <w:r>
              <w:t>可研批复规模</w:t>
            </w:r>
          </w:p>
        </w:tc>
        <w:tc>
          <w:tcPr>
            <w:tcW w:w="1129" w:type="dxa"/>
            <w:tcBorders>
              <w:top w:val="single" w:color="auto" w:sz="4" w:space="0"/>
              <w:left w:val="single" w:color="auto" w:sz="4" w:space="0"/>
              <w:bottom w:val="single" w:color="auto" w:sz="4" w:space="0"/>
              <w:right w:val="single" w:color="auto" w:sz="4" w:space="0"/>
            </w:tcBorders>
            <w:vAlign w:val="center"/>
          </w:tcPr>
          <w:p>
            <w:pPr>
              <w:pStyle w:val="290"/>
            </w:pPr>
            <w:r>
              <w:t>初步设计规模</w:t>
            </w:r>
          </w:p>
        </w:tc>
        <w:tc>
          <w:tcPr>
            <w:tcW w:w="1155" w:type="dxa"/>
            <w:tcBorders>
              <w:top w:val="single" w:color="auto" w:sz="4" w:space="0"/>
              <w:left w:val="single" w:color="auto" w:sz="4" w:space="0"/>
              <w:bottom w:val="single" w:color="auto" w:sz="4" w:space="0"/>
              <w:right w:val="single" w:color="auto" w:sz="4" w:space="0"/>
            </w:tcBorders>
            <w:vAlign w:val="center"/>
          </w:tcPr>
          <w:p>
            <w:pPr>
              <w:pStyle w:val="290"/>
            </w:pPr>
            <w:r>
              <w:t>差异</w:t>
            </w:r>
          </w:p>
        </w:tc>
        <w:tc>
          <w:tcPr>
            <w:tcW w:w="1554" w:type="dxa"/>
            <w:tcBorders>
              <w:top w:val="single" w:color="auto" w:sz="4" w:space="0"/>
              <w:left w:val="single" w:color="auto" w:sz="4" w:space="0"/>
              <w:bottom w:val="single" w:color="auto" w:sz="4" w:space="0"/>
              <w:right w:val="single" w:color="auto" w:sz="4" w:space="0"/>
            </w:tcBorders>
            <w:vAlign w:val="center"/>
          </w:tcPr>
          <w:p>
            <w:pPr>
              <w:pStyle w:val="290"/>
            </w:pPr>
            <w:r>
              <w:t>备注（如差异较大，简要分析原因）</w:t>
            </w:r>
          </w:p>
        </w:tc>
      </w:tr>
      <w:tr>
        <w:tblPrEx>
          <w:tblCellMar>
            <w:top w:w="0" w:type="dxa"/>
            <w:left w:w="108" w:type="dxa"/>
            <w:bottom w:w="0" w:type="dxa"/>
            <w:right w:w="108" w:type="dxa"/>
          </w:tblCellMar>
        </w:tblPrEx>
        <w:trPr>
          <w:trHeight w:val="126" w:hRule="atLeast"/>
          <w:jc w:val="center"/>
        </w:trPr>
        <w:tc>
          <w:tcPr>
            <w:tcW w:w="281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新建基站</w:t>
            </w:r>
          </w:p>
        </w:tc>
        <w:tc>
          <w:tcPr>
            <w:tcW w:w="732" w:type="dxa"/>
            <w:tcBorders>
              <w:top w:val="single" w:color="auto" w:sz="4" w:space="0"/>
              <w:left w:val="single" w:color="auto" w:sz="4" w:space="0"/>
              <w:bottom w:val="single" w:color="auto" w:sz="4" w:space="0"/>
              <w:right w:val="single" w:color="auto" w:sz="4" w:space="0"/>
            </w:tcBorders>
            <w:vAlign w:val="center"/>
          </w:tcPr>
          <w:p>
            <w:pPr>
              <w:pStyle w:val="290"/>
            </w:pPr>
            <w:r>
              <w:t>个</w:t>
            </w:r>
          </w:p>
        </w:tc>
        <w:tc>
          <w:tcPr>
            <w:tcW w:w="1001" w:type="dxa"/>
            <w:tcBorders>
              <w:top w:val="single" w:color="auto" w:sz="4" w:space="0"/>
              <w:left w:val="single" w:color="auto" w:sz="4" w:space="0"/>
              <w:bottom w:val="single" w:color="auto" w:sz="4" w:space="0"/>
              <w:right w:val="single" w:color="auto" w:sz="4" w:space="0"/>
            </w:tcBorders>
            <w:vAlign w:val="center"/>
          </w:tcPr>
          <w:p>
            <w:pPr>
              <w:pStyle w:val="290"/>
            </w:pPr>
            <w:r>
              <w:rPr>
                <w:rFonts w:hint="eastAsia"/>
              </w:rPr>
              <w:t>2074</w:t>
            </w:r>
          </w:p>
        </w:tc>
        <w:tc>
          <w:tcPr>
            <w:tcW w:w="1129" w:type="dxa"/>
            <w:tcBorders>
              <w:top w:val="single" w:color="auto" w:sz="4" w:space="0"/>
              <w:left w:val="single" w:color="auto" w:sz="4" w:space="0"/>
              <w:bottom w:val="single" w:color="auto" w:sz="4" w:space="0"/>
              <w:right w:val="single" w:color="auto" w:sz="4" w:space="0"/>
            </w:tcBorders>
            <w:vAlign w:val="center"/>
          </w:tcPr>
          <w:p>
            <w:pPr>
              <w:pStyle w:val="290"/>
            </w:pPr>
            <w:r>
              <w:rPr>
                <w:rFonts w:hint="eastAsia"/>
              </w:rPr>
              <w:t>2074</w:t>
            </w:r>
          </w:p>
        </w:tc>
        <w:tc>
          <w:tcPr>
            <w:tcW w:w="1155" w:type="dxa"/>
            <w:tcBorders>
              <w:top w:val="single" w:color="auto" w:sz="4" w:space="0"/>
              <w:left w:val="single" w:color="auto" w:sz="4" w:space="0"/>
              <w:bottom w:val="single" w:color="auto" w:sz="4" w:space="0"/>
              <w:right w:val="single" w:color="auto" w:sz="4" w:space="0"/>
            </w:tcBorders>
            <w:vAlign w:val="center"/>
          </w:tcPr>
          <w:p>
            <w:pPr>
              <w:pStyle w:val="290"/>
            </w:pPr>
            <w:r>
              <w:rPr>
                <w:rFonts w:hint="eastAsia"/>
              </w:rPr>
              <w:t>0</w:t>
            </w:r>
          </w:p>
        </w:tc>
        <w:tc>
          <w:tcPr>
            <w:tcW w:w="1554" w:type="dxa"/>
            <w:tcBorders>
              <w:top w:val="single" w:color="auto" w:sz="4" w:space="0"/>
              <w:left w:val="single" w:color="auto" w:sz="4" w:space="0"/>
              <w:bottom w:val="single" w:color="auto" w:sz="4" w:space="0"/>
              <w:right w:val="single" w:color="auto" w:sz="4" w:space="0"/>
            </w:tcBorders>
            <w:vAlign w:val="center"/>
          </w:tcPr>
          <w:p>
            <w:pPr>
              <w:pStyle w:val="290"/>
            </w:pPr>
          </w:p>
        </w:tc>
      </w:tr>
    </w:tbl>
    <w:p>
      <w:pPr>
        <w:ind w:firstLine="480"/>
        <w:rPr>
          <w:rFonts w:cs="Times New Roman"/>
        </w:rPr>
      </w:pPr>
      <w:r>
        <w:rPr>
          <w:rFonts w:cs="Times New Roman"/>
        </w:rPr>
        <w:t>本工程可行性研究报告批复投资</w:t>
      </w:r>
      <w:r>
        <w:rPr>
          <w:rFonts w:cs="Times New Roman"/>
          <w:color w:val="FF0000"/>
        </w:rPr>
        <w:t>××</w:t>
      </w:r>
      <w:r>
        <w:rPr>
          <w:rFonts w:cs="Times New Roman"/>
        </w:rPr>
        <w:t>万元，工程概算总投资</w:t>
      </w:r>
      <w:r>
        <w:rPr>
          <w:rFonts w:cs="Times New Roman"/>
          <w:color w:val="FF0000"/>
        </w:rPr>
        <w:t>未超出</w:t>
      </w:r>
      <w:r>
        <w:rPr>
          <w:rFonts w:cs="Times New Roman"/>
        </w:rPr>
        <w:t>可行性研究报告批复。</w:t>
      </w:r>
    </w:p>
    <w:p>
      <w:pPr>
        <w:pStyle w:val="4"/>
        <w:rPr>
          <w:rFonts w:cs="Times New Roman"/>
        </w:rPr>
      </w:pPr>
      <w:bookmarkStart w:id="102" w:name="_Toc27995"/>
      <w:r>
        <w:rPr>
          <w:rFonts w:cs="Times New Roman"/>
        </w:rPr>
        <w:t>无线网络现状</w:t>
      </w:r>
      <w:bookmarkEnd w:id="93"/>
      <w:bookmarkEnd w:id="94"/>
      <w:bookmarkEnd w:id="95"/>
      <w:bookmarkEnd w:id="96"/>
      <w:bookmarkEnd w:id="102"/>
      <w:bookmarkStart w:id="103" w:name="_Toc366157259"/>
      <w:bookmarkStart w:id="104" w:name="_Toc362620902"/>
    </w:p>
    <w:bookmarkEnd w:id="103"/>
    <w:bookmarkEnd w:id="104"/>
    <w:p>
      <w:pPr>
        <w:pStyle w:val="5"/>
        <w:rPr>
          <w:rFonts w:cs="Times New Roman"/>
        </w:rPr>
      </w:pPr>
      <w:bookmarkStart w:id="105" w:name="_Toc2868655"/>
      <w:bookmarkStart w:id="106" w:name="_Toc447202454"/>
      <w:bookmarkStart w:id="107" w:name="_Toc452131572"/>
      <w:bookmarkStart w:id="108" w:name="_Toc447204503"/>
      <w:bookmarkStart w:id="109" w:name="_Toc28074"/>
      <w:r>
        <w:rPr>
          <w:rFonts w:cs="Times New Roman"/>
        </w:rPr>
        <w:t>2G网络现状</w:t>
      </w:r>
      <w:bookmarkEnd w:id="105"/>
      <w:bookmarkEnd w:id="106"/>
      <w:bookmarkEnd w:id="107"/>
      <w:bookmarkEnd w:id="108"/>
      <w:bookmarkEnd w:id="109"/>
    </w:p>
    <w:p>
      <w:pPr>
        <w:pStyle w:val="76"/>
        <w:spacing w:line="360" w:lineRule="auto"/>
        <w:ind w:left="0" w:firstLine="480"/>
        <w:jc w:val="both"/>
        <w:rPr>
          <w:color w:val="FF0000"/>
          <w:sz w:val="24"/>
        </w:rPr>
      </w:pPr>
      <w:r>
        <w:rPr>
          <w:rFonts w:hint="eastAsia"/>
          <w:color w:val="FF0000"/>
          <w:sz w:val="24"/>
        </w:rPr>
        <w:t>无锡移动</w:t>
      </w:r>
      <w:r>
        <w:rPr>
          <w:rFonts w:hint="eastAsia"/>
          <w:color w:val="000000" w:themeColor="text1"/>
          <w:sz w:val="24"/>
          <w14:textFill>
            <w14:solidFill>
              <w14:schemeClr w14:val="tx1"/>
            </w14:solidFill>
          </w14:textFill>
        </w:rPr>
        <w:t>GSM网络已实现市区、郊区县城和乡村的连续覆盖，党政军机关、高档宾馆、写字楼、机场、火车站等重点场所的室内良好覆盖。截至2018年底，</w:t>
      </w:r>
      <w:r>
        <w:rPr>
          <w:rFonts w:hint="eastAsia"/>
          <w:color w:val="FF0000"/>
          <w:sz w:val="24"/>
        </w:rPr>
        <w:t>共建成宏基站</w:t>
      </w:r>
      <w:r>
        <w:rPr>
          <w:color w:val="FF0000"/>
          <w:sz w:val="24"/>
        </w:rPr>
        <w:t>4721</w:t>
      </w:r>
      <w:r>
        <w:rPr>
          <w:rFonts w:hint="eastAsia"/>
          <w:color w:val="FF0000"/>
          <w:sz w:val="24"/>
        </w:rPr>
        <w:t>个，其中单GSM 900宏基站2401个，单DCS 1800宏基站1345个，900&amp;1800宏基站975个，室内分布系统</w:t>
      </w:r>
      <w:r>
        <w:rPr>
          <w:color w:val="FF0000"/>
          <w:sz w:val="24"/>
        </w:rPr>
        <w:t>3887</w:t>
      </w:r>
      <w:r>
        <w:rPr>
          <w:rFonts w:hint="eastAsia"/>
          <w:color w:val="FF0000"/>
          <w:sz w:val="24"/>
        </w:rPr>
        <w:t>个，全网载频</w:t>
      </w:r>
      <w:r>
        <w:rPr>
          <w:color w:val="FF0000"/>
          <w:sz w:val="24"/>
        </w:rPr>
        <w:t>41710</w:t>
      </w:r>
      <w:r>
        <w:rPr>
          <w:rFonts w:hint="eastAsia"/>
          <w:color w:val="FF0000"/>
          <w:sz w:val="24"/>
        </w:rPr>
        <w:t>个。</w:t>
      </w:r>
    </w:p>
    <w:p>
      <w:pPr>
        <w:pStyle w:val="76"/>
        <w:spacing w:line="360" w:lineRule="auto"/>
        <w:ind w:left="0" w:firstLine="480"/>
        <w:jc w:val="both"/>
        <w:rPr>
          <w:color w:val="FF0000"/>
          <w:sz w:val="24"/>
        </w:rPr>
      </w:pPr>
      <w:r>
        <w:rPr>
          <w:rFonts w:hint="eastAsia"/>
          <w:color w:val="FF0000"/>
          <w:sz w:val="24"/>
        </w:rPr>
        <w:t>全网约5%的无线设备采用华为厂家设备，95%的无线设备采用爱立信厂家设备。</w:t>
      </w:r>
    </w:p>
    <w:p>
      <w:pPr>
        <w:pStyle w:val="603"/>
        <w:rPr>
          <w:rFonts w:cs="Times New Roman"/>
        </w:rPr>
      </w:pPr>
      <w:r>
        <w:rPr>
          <w:rFonts w:cs="Times New Roman"/>
        </w:rPr>
        <w:t>表2.1-1  GSM基站规模表</w:t>
      </w:r>
    </w:p>
    <w:tbl>
      <w:tblPr>
        <w:tblStyle w:val="63"/>
        <w:tblW w:w="8296" w:type="dxa"/>
        <w:jc w:val="center"/>
        <w:tblLayout w:type="fixed"/>
        <w:tblCellMar>
          <w:top w:w="0" w:type="dxa"/>
          <w:left w:w="108" w:type="dxa"/>
          <w:bottom w:w="0" w:type="dxa"/>
          <w:right w:w="108" w:type="dxa"/>
        </w:tblCellMar>
      </w:tblPr>
      <w:tblGrid>
        <w:gridCol w:w="1127"/>
        <w:gridCol w:w="1133"/>
        <w:gridCol w:w="1278"/>
        <w:gridCol w:w="1161"/>
        <w:gridCol w:w="1108"/>
        <w:gridCol w:w="1276"/>
        <w:gridCol w:w="1213"/>
      </w:tblGrid>
      <w:tr>
        <w:tblPrEx>
          <w:tblCellMar>
            <w:top w:w="0" w:type="dxa"/>
            <w:left w:w="108" w:type="dxa"/>
            <w:bottom w:w="0" w:type="dxa"/>
            <w:right w:w="108" w:type="dxa"/>
          </w:tblCellMar>
        </w:tblPrEx>
        <w:trPr>
          <w:trHeight w:val="288" w:hRule="atLeast"/>
          <w:jc w:val="center"/>
        </w:trPr>
        <w:tc>
          <w:tcPr>
            <w:tcW w:w="112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覆盖区域</w:t>
            </w:r>
          </w:p>
        </w:tc>
        <w:tc>
          <w:tcPr>
            <w:tcW w:w="4680" w:type="dxa"/>
            <w:gridSpan w:val="4"/>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420"/>
              <w:jc w:val="center"/>
              <w:rPr>
                <w:rFonts w:ascii="宋体" w:hAnsi="宋体" w:cs="宋体"/>
                <w:kern w:val="0"/>
                <w:sz w:val="21"/>
              </w:rPr>
            </w:pPr>
            <w:r>
              <w:rPr>
                <w:rFonts w:hint="eastAsia" w:ascii="宋体" w:hAnsi="宋体" w:cs="宋体"/>
                <w:kern w:val="0"/>
                <w:sz w:val="21"/>
              </w:rPr>
              <w:t>宏基站规模</w:t>
            </w:r>
          </w:p>
        </w:tc>
        <w:tc>
          <w:tcPr>
            <w:tcW w:w="2489"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420"/>
              <w:jc w:val="center"/>
              <w:rPr>
                <w:rFonts w:ascii="宋体" w:hAnsi="宋体" w:cs="宋体"/>
                <w:kern w:val="0"/>
                <w:sz w:val="21"/>
              </w:rPr>
            </w:pPr>
            <w:r>
              <w:rPr>
                <w:rFonts w:hint="eastAsia" w:ascii="宋体" w:hAnsi="宋体" w:cs="宋体"/>
                <w:kern w:val="0"/>
                <w:sz w:val="21"/>
              </w:rPr>
              <w:t>室内分布基站规模</w:t>
            </w:r>
          </w:p>
        </w:tc>
      </w:tr>
      <w:tr>
        <w:tblPrEx>
          <w:tblCellMar>
            <w:top w:w="0" w:type="dxa"/>
            <w:left w:w="108" w:type="dxa"/>
            <w:bottom w:w="0" w:type="dxa"/>
            <w:right w:w="108" w:type="dxa"/>
          </w:tblCellMar>
        </w:tblPrEx>
        <w:trPr>
          <w:trHeight w:val="576" w:hRule="atLeast"/>
          <w:jc w:val="center"/>
        </w:trPr>
        <w:tc>
          <w:tcPr>
            <w:tcW w:w="112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420"/>
              <w:jc w:val="center"/>
              <w:rPr>
                <w:rFonts w:ascii="宋体" w:hAnsi="宋体" w:cs="宋体"/>
                <w:kern w:val="0"/>
                <w:sz w:val="21"/>
              </w:rPr>
            </w:pPr>
          </w:p>
        </w:tc>
        <w:tc>
          <w:tcPr>
            <w:tcW w:w="113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单900M基站</w:t>
            </w:r>
          </w:p>
        </w:tc>
        <w:tc>
          <w:tcPr>
            <w:tcW w:w="1278"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单1800M基站</w:t>
            </w:r>
          </w:p>
        </w:tc>
        <w:tc>
          <w:tcPr>
            <w:tcW w:w="116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900&amp;1800M基站</w:t>
            </w:r>
          </w:p>
        </w:tc>
        <w:tc>
          <w:tcPr>
            <w:tcW w:w="1108"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c>
          <w:tcPr>
            <w:tcW w:w="127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基站</w:t>
            </w:r>
          </w:p>
        </w:tc>
        <w:tc>
          <w:tcPr>
            <w:tcW w:w="12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主城区</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258</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629</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389</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4995</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1860</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11218</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一般城区</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814</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560</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474</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6966</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1803</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12697</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县城</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58</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28</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27</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420</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83</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372</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乡镇</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194</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23</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33</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849</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24</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103</w:t>
            </w:r>
          </w:p>
        </w:tc>
      </w:tr>
      <w:tr>
        <w:tblPrEx>
          <w:tblCellMar>
            <w:top w:w="0" w:type="dxa"/>
            <w:left w:w="108" w:type="dxa"/>
            <w:bottom w:w="0" w:type="dxa"/>
            <w:right w:w="108" w:type="dxa"/>
          </w:tblCellMar>
        </w:tblPrEx>
        <w:trPr>
          <w:trHeight w:val="288" w:hRule="atLeast"/>
          <w:jc w:val="center"/>
        </w:trPr>
        <w:tc>
          <w:tcPr>
            <w:tcW w:w="1127"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农村</w:t>
            </w:r>
          </w:p>
        </w:tc>
        <w:tc>
          <w:tcPr>
            <w:tcW w:w="11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1077</w:t>
            </w:r>
          </w:p>
        </w:tc>
        <w:tc>
          <w:tcPr>
            <w:tcW w:w="127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105</w:t>
            </w:r>
          </w:p>
        </w:tc>
        <w:tc>
          <w:tcPr>
            <w:tcW w:w="116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52</w:t>
            </w:r>
          </w:p>
        </w:tc>
        <w:tc>
          <w:tcPr>
            <w:tcW w:w="110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3858</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117</w:t>
            </w:r>
          </w:p>
        </w:tc>
        <w:tc>
          <w:tcPr>
            <w:tcW w:w="121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olor w:val="FF0000"/>
                <w:sz w:val="21"/>
              </w:rPr>
              <w:t>232</w:t>
            </w:r>
          </w:p>
        </w:tc>
      </w:tr>
    </w:tbl>
    <w:p>
      <w:pPr>
        <w:pStyle w:val="5"/>
        <w:rPr>
          <w:rFonts w:cs="Times New Roman"/>
        </w:rPr>
      </w:pPr>
      <w:bookmarkStart w:id="110" w:name="_Toc12677"/>
      <w:bookmarkStart w:id="111" w:name="_Toc447204505"/>
      <w:bookmarkStart w:id="112" w:name="_Toc447202456"/>
      <w:bookmarkStart w:id="113" w:name="_Toc452131574"/>
      <w:bookmarkStart w:id="114" w:name="_Toc2868656"/>
      <w:bookmarkStart w:id="115" w:name="_Toc366157261"/>
      <w:r>
        <w:rPr>
          <w:rFonts w:cs="Times New Roman"/>
        </w:rPr>
        <w:t>4G网络现状</w:t>
      </w:r>
      <w:bookmarkEnd w:id="110"/>
      <w:bookmarkEnd w:id="111"/>
      <w:bookmarkEnd w:id="112"/>
      <w:bookmarkEnd w:id="113"/>
      <w:bookmarkEnd w:id="114"/>
      <w:bookmarkEnd w:id="115"/>
    </w:p>
    <w:p>
      <w:pPr>
        <w:pStyle w:val="76"/>
        <w:spacing w:line="360" w:lineRule="auto"/>
        <w:ind w:left="0" w:firstLine="480"/>
        <w:jc w:val="both"/>
        <w:rPr>
          <w:rFonts w:ascii="Times New Roman"/>
          <w:color w:val="FF0000"/>
          <w:sz w:val="24"/>
          <w:szCs w:val="24"/>
        </w:rPr>
      </w:pPr>
      <w:r>
        <w:rPr>
          <w:rFonts w:hint="eastAsia" w:ascii="Times New Roman"/>
          <w:color w:val="FF0000"/>
          <w:sz w:val="24"/>
          <w:szCs w:val="24"/>
        </w:rPr>
        <w:t>无锡移动</w:t>
      </w:r>
      <w:r>
        <w:rPr>
          <w:rFonts w:hint="eastAsia" w:ascii="Times New Roman"/>
          <w:color w:val="000000" w:themeColor="text1"/>
          <w:sz w:val="24"/>
          <w:szCs w:val="24"/>
          <w14:textFill>
            <w14:solidFill>
              <w14:schemeClr w14:val="tx1"/>
            </w14:solidFill>
          </w14:textFill>
        </w:rPr>
        <w:t>TD-LTE已实现乡镇镇区以上区域连续覆盖，农村广覆盖已达到100%的行政村覆盖率，实现了党政军机关、高档宾馆、写字楼、机场、火车站等重点场所的室内良好覆盖。截至2018年1</w:t>
      </w:r>
      <w:r>
        <w:rPr>
          <w:rFonts w:ascii="Times New Roman"/>
          <w:color w:val="000000" w:themeColor="text1"/>
          <w:sz w:val="24"/>
          <w:szCs w:val="24"/>
          <w14:textFill>
            <w14:solidFill>
              <w14:schemeClr w14:val="tx1"/>
            </w14:solidFill>
          </w14:textFill>
        </w:rPr>
        <w:t>2</w:t>
      </w:r>
      <w:r>
        <w:rPr>
          <w:rFonts w:hint="eastAsia" w:ascii="Times New Roman"/>
          <w:color w:val="000000" w:themeColor="text1"/>
          <w:sz w:val="24"/>
          <w:szCs w:val="24"/>
          <w14:textFill>
            <w14:solidFill>
              <w14:schemeClr w14:val="tx1"/>
            </w14:solidFill>
          </w14:textFill>
        </w:rPr>
        <w:t>月，</w:t>
      </w:r>
      <w:r>
        <w:rPr>
          <w:rFonts w:hint="eastAsia" w:ascii="Times New Roman"/>
          <w:color w:val="FF0000"/>
          <w:sz w:val="24"/>
          <w:szCs w:val="24"/>
        </w:rPr>
        <w:t>共建成基站13873个，其中室外站8809个，室内站</w:t>
      </w:r>
      <w:r>
        <w:rPr>
          <w:rFonts w:ascii="Times New Roman"/>
          <w:color w:val="FF0000"/>
          <w:sz w:val="24"/>
          <w:szCs w:val="24"/>
        </w:rPr>
        <w:t>5064</w:t>
      </w:r>
      <w:r>
        <w:rPr>
          <w:rFonts w:hint="eastAsia" w:ascii="Times New Roman"/>
          <w:color w:val="FF0000"/>
          <w:sz w:val="24"/>
          <w:szCs w:val="24"/>
        </w:rPr>
        <w:t>个，全网载频</w:t>
      </w:r>
      <w:r>
        <w:rPr>
          <w:rFonts w:ascii="Times New Roman"/>
          <w:color w:val="FF0000"/>
          <w:sz w:val="24"/>
          <w:szCs w:val="24"/>
        </w:rPr>
        <w:t>52762</w:t>
      </w:r>
      <w:r>
        <w:rPr>
          <w:rFonts w:hint="eastAsia" w:ascii="Times New Roman"/>
          <w:color w:val="FF0000"/>
          <w:sz w:val="24"/>
          <w:szCs w:val="24"/>
        </w:rPr>
        <w:t>个。</w:t>
      </w:r>
    </w:p>
    <w:p>
      <w:pPr>
        <w:pStyle w:val="76"/>
        <w:spacing w:line="360" w:lineRule="auto"/>
        <w:ind w:left="0" w:firstLine="480"/>
        <w:jc w:val="both"/>
        <w:rPr>
          <w:rFonts w:ascii="Times New Roman"/>
          <w:color w:val="FF0000"/>
          <w:sz w:val="24"/>
          <w:szCs w:val="24"/>
        </w:rPr>
      </w:pPr>
      <w:r>
        <w:rPr>
          <w:rFonts w:hint="eastAsia" w:ascii="Times New Roman"/>
          <w:color w:val="FF0000"/>
          <w:sz w:val="24"/>
          <w:szCs w:val="24"/>
        </w:rPr>
        <w:t>全网约65%的无线设备采用华为厂家设备，35%的无线设备采用爱立信厂家设备。</w:t>
      </w:r>
    </w:p>
    <w:p>
      <w:pPr>
        <w:pStyle w:val="603"/>
        <w:rPr>
          <w:rFonts w:cs="Times New Roman"/>
        </w:rPr>
      </w:pPr>
      <w:r>
        <w:rPr>
          <w:rFonts w:cs="Times New Roman"/>
        </w:rPr>
        <w:t>表2.2-1  4G基站规模表</w:t>
      </w:r>
    </w:p>
    <w:tbl>
      <w:tblPr>
        <w:tblStyle w:val="63"/>
        <w:tblW w:w="8620" w:type="dxa"/>
        <w:tblInd w:w="0" w:type="dxa"/>
        <w:tblLayout w:type="fixed"/>
        <w:tblCellMar>
          <w:top w:w="0" w:type="dxa"/>
          <w:left w:w="108" w:type="dxa"/>
          <w:bottom w:w="0" w:type="dxa"/>
          <w:right w:w="108" w:type="dxa"/>
        </w:tblCellMar>
      </w:tblPr>
      <w:tblGrid>
        <w:gridCol w:w="1172"/>
        <w:gridCol w:w="1233"/>
        <w:gridCol w:w="1276"/>
        <w:gridCol w:w="1558"/>
        <w:gridCol w:w="1033"/>
        <w:gridCol w:w="1377"/>
        <w:gridCol w:w="971"/>
      </w:tblGrid>
      <w:tr>
        <w:tblPrEx>
          <w:tblCellMar>
            <w:top w:w="0" w:type="dxa"/>
            <w:left w:w="108" w:type="dxa"/>
            <w:bottom w:w="0" w:type="dxa"/>
            <w:right w:w="108" w:type="dxa"/>
          </w:tblCellMar>
        </w:tblPrEx>
        <w:trPr>
          <w:trHeight w:val="288" w:hRule="atLeast"/>
        </w:trPr>
        <w:tc>
          <w:tcPr>
            <w:tcW w:w="1172"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覆盖区域</w:t>
            </w:r>
          </w:p>
        </w:tc>
        <w:tc>
          <w:tcPr>
            <w:tcW w:w="5100" w:type="dxa"/>
            <w:gridSpan w:val="4"/>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室外站</w:t>
            </w:r>
          </w:p>
        </w:tc>
        <w:tc>
          <w:tcPr>
            <w:tcW w:w="2348"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室内站</w:t>
            </w:r>
          </w:p>
        </w:tc>
      </w:tr>
      <w:tr>
        <w:tblPrEx>
          <w:tblCellMar>
            <w:top w:w="0" w:type="dxa"/>
            <w:left w:w="108" w:type="dxa"/>
            <w:bottom w:w="0" w:type="dxa"/>
            <w:right w:w="108" w:type="dxa"/>
          </w:tblCellMar>
        </w:tblPrEx>
        <w:trPr>
          <w:trHeight w:val="576" w:hRule="atLeast"/>
        </w:trPr>
        <w:tc>
          <w:tcPr>
            <w:tcW w:w="1172"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kern w:val="0"/>
                <w:sz w:val="21"/>
              </w:rPr>
            </w:pPr>
          </w:p>
        </w:tc>
        <w:tc>
          <w:tcPr>
            <w:tcW w:w="123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F频段基站</w:t>
            </w:r>
          </w:p>
        </w:tc>
        <w:tc>
          <w:tcPr>
            <w:tcW w:w="127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D频段基站</w:t>
            </w:r>
          </w:p>
        </w:tc>
        <w:tc>
          <w:tcPr>
            <w:tcW w:w="1558"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F+D频段基站</w:t>
            </w:r>
          </w:p>
        </w:tc>
        <w:tc>
          <w:tcPr>
            <w:tcW w:w="103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c>
          <w:tcPr>
            <w:tcW w:w="137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E频段基站</w:t>
            </w:r>
          </w:p>
        </w:tc>
        <w:tc>
          <w:tcPr>
            <w:tcW w:w="9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载频</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主城区</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140</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440</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2096</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12609</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2225</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4851</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一般城区</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607</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385</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3419</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20688</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2593</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8124</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县城</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52</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85</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163</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1223</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81</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117</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乡镇</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129</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6</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91</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838</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28</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66</w:t>
            </w:r>
          </w:p>
        </w:tc>
      </w:tr>
      <w:tr>
        <w:tblPrEx>
          <w:tblCellMar>
            <w:top w:w="0" w:type="dxa"/>
            <w:left w:w="108" w:type="dxa"/>
            <w:bottom w:w="0" w:type="dxa"/>
            <w:right w:w="108" w:type="dxa"/>
          </w:tblCellMar>
        </w:tblPrEx>
        <w:trPr>
          <w:trHeight w:val="288" w:hRule="atLeast"/>
        </w:trPr>
        <w:tc>
          <w:tcPr>
            <w:tcW w:w="117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kern w:val="0"/>
                <w:sz w:val="21"/>
              </w:rPr>
            </w:pPr>
            <w:r>
              <w:rPr>
                <w:rFonts w:hint="eastAsia" w:ascii="宋体" w:hAnsi="宋体" w:cs="宋体"/>
                <w:kern w:val="0"/>
                <w:sz w:val="21"/>
              </w:rPr>
              <w:t>农村</w:t>
            </w:r>
          </w:p>
        </w:tc>
        <w:tc>
          <w:tcPr>
            <w:tcW w:w="12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889</w:t>
            </w:r>
          </w:p>
        </w:tc>
        <w:tc>
          <w:tcPr>
            <w:tcW w:w="1276"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25</w:t>
            </w:r>
          </w:p>
        </w:tc>
        <w:tc>
          <w:tcPr>
            <w:tcW w:w="1558"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282</w:t>
            </w:r>
          </w:p>
        </w:tc>
        <w:tc>
          <w:tcPr>
            <w:tcW w:w="1033"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3905</w:t>
            </w:r>
          </w:p>
        </w:tc>
        <w:tc>
          <w:tcPr>
            <w:tcW w:w="1377"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137</w:t>
            </w:r>
          </w:p>
        </w:tc>
        <w:tc>
          <w:tcPr>
            <w:tcW w:w="971" w:type="dxa"/>
            <w:tcBorders>
              <w:top w:val="nil"/>
              <w:left w:val="nil"/>
              <w:bottom w:val="single" w:color="auto" w:sz="4" w:space="0"/>
              <w:right w:val="single" w:color="auto" w:sz="4" w:space="0"/>
            </w:tcBorders>
            <w:shd w:val="clear" w:color="auto" w:fill="auto"/>
            <w:vAlign w:val="center"/>
          </w:tcPr>
          <w:p>
            <w:pPr>
              <w:ind w:firstLine="0" w:firstLineChars="0"/>
              <w:jc w:val="center"/>
              <w:rPr>
                <w:rFonts w:ascii="宋体" w:hAnsi="宋体" w:cs="宋体"/>
                <w:color w:val="FF0000"/>
                <w:sz w:val="21"/>
              </w:rPr>
            </w:pPr>
            <w:r>
              <w:rPr>
                <w:rFonts w:hint="eastAsia" w:ascii="宋体" w:hAnsi="宋体" w:cs="Times New Roman"/>
                <w:color w:val="FF0000"/>
                <w:sz w:val="21"/>
              </w:rPr>
              <w:t>341</w:t>
            </w:r>
          </w:p>
        </w:tc>
      </w:tr>
    </w:tbl>
    <w:p>
      <w:pPr>
        <w:ind w:firstLine="480"/>
        <w:rPr>
          <w:rFonts w:cs="Times New Roman"/>
          <w:color w:val="FF0000"/>
        </w:rPr>
      </w:pPr>
      <w:r>
        <w:rPr>
          <w:rFonts w:hint="eastAsia" w:cs="Times New Roman"/>
          <w:color w:val="FF0000"/>
        </w:rPr>
        <w:t>江苏</w:t>
      </w:r>
      <w:r>
        <w:rPr>
          <w:rFonts w:cs="Times New Roman"/>
          <w:color w:val="FF0000"/>
        </w:rPr>
        <w:t>移动</w:t>
      </w:r>
      <w:r>
        <w:rPr>
          <w:rFonts w:cs="Times New Roman"/>
        </w:rPr>
        <w:t>4G网络在覆盖区域内可提供</w:t>
      </w:r>
      <w:r>
        <w:rPr>
          <w:rFonts w:cs="Times New Roman"/>
          <w:color w:val="FF0000"/>
        </w:rPr>
        <w:t>高速数据业务和语音业务，网络支持CSFB和VOLTE语音解决方案。</w:t>
      </w:r>
    </w:p>
    <w:p>
      <w:pPr>
        <w:pStyle w:val="5"/>
        <w:rPr>
          <w:rFonts w:cs="Times New Roman"/>
        </w:rPr>
      </w:pPr>
      <w:bookmarkStart w:id="116" w:name="_Toc20240"/>
      <w:r>
        <w:rPr>
          <w:rFonts w:cs="Times New Roman"/>
        </w:rPr>
        <w:t>蜂窝物联网络现状</w:t>
      </w:r>
      <w:bookmarkEnd w:id="116"/>
    </w:p>
    <w:p>
      <w:pPr>
        <w:ind w:firstLine="480"/>
        <w:rPr>
          <w:color w:val="FF0000"/>
        </w:rPr>
      </w:pPr>
      <w:r>
        <w:rPr>
          <w:rFonts w:hint="eastAsia"/>
          <w:color w:val="FF0000"/>
        </w:rPr>
        <w:t>无锡</w:t>
      </w:r>
      <w:r>
        <w:rPr>
          <w:color w:val="FF0000"/>
        </w:rPr>
        <w:t>移动</w:t>
      </w:r>
      <w:r>
        <w:rPr>
          <w:rFonts w:hint="eastAsia"/>
          <w:color w:val="FF0000"/>
        </w:rPr>
        <w:t>于</w:t>
      </w:r>
      <w:r>
        <w:rPr>
          <w:rFonts w:hint="eastAsia"/>
          <w:color w:val="000000" w:themeColor="text1"/>
          <w14:textFill>
            <w14:solidFill>
              <w14:schemeClr w14:val="tx1"/>
            </w14:solidFill>
          </w14:textFill>
        </w:rPr>
        <w:t>2018年蜂窝物联网一期工程开展了</w:t>
      </w:r>
      <w:r>
        <w:rPr>
          <w:rFonts w:hint="eastAsia"/>
          <w:color w:val="FF0000"/>
        </w:rPr>
        <w:t>无锡区域的</w:t>
      </w:r>
      <w:r>
        <w:rPr>
          <w:rFonts w:hint="eastAsia"/>
          <w:color w:val="000000" w:themeColor="text1"/>
          <w14:textFill>
            <w14:solidFill>
              <w14:schemeClr w14:val="tx1"/>
            </w14:solidFill>
          </w14:textFill>
        </w:rPr>
        <w:t>LTE FDD网络建设，截止</w:t>
      </w:r>
      <w:r>
        <w:rPr>
          <w:color w:val="000000" w:themeColor="text1"/>
          <w14:textFill>
            <w14:solidFill>
              <w14:schemeClr w14:val="tx1"/>
            </w14:solidFill>
          </w14:textFill>
        </w:rPr>
        <w:t>201</w:t>
      </w:r>
      <w:r>
        <w:rPr>
          <w:rFonts w:hint="eastAsia"/>
          <w:color w:val="000000" w:themeColor="text1"/>
          <w14:textFill>
            <w14:solidFill>
              <w14:schemeClr w14:val="tx1"/>
            </w14:solidFill>
          </w14:textFill>
        </w:rPr>
        <w:t>8年底共建</w:t>
      </w:r>
      <w:r>
        <w:rPr>
          <w:rFonts w:hint="eastAsia"/>
          <w:color w:val="FF0000"/>
        </w:rPr>
        <w:t>LTE FDD基站1894个，其中900M宏基站1086个、1800M宏基站1495个；LTE FDD载频达到</w:t>
      </w:r>
      <w:r>
        <w:rPr>
          <w:color w:val="FF0000"/>
        </w:rPr>
        <w:t>13591</w:t>
      </w:r>
      <w:r>
        <w:rPr>
          <w:rFonts w:hint="eastAsia"/>
          <w:color w:val="FF0000"/>
        </w:rPr>
        <w:t>个，其中900M载频5718个、1800M载频7873个。</w:t>
      </w:r>
    </w:p>
    <w:p>
      <w:pPr>
        <w:ind w:firstLine="480"/>
        <w:rPr>
          <w:color w:val="FF0000"/>
        </w:rPr>
      </w:pPr>
      <w:r>
        <w:rPr>
          <w:rFonts w:hint="eastAsia"/>
          <w:color w:val="000000" w:themeColor="text1"/>
          <w14:textFill>
            <w14:solidFill>
              <w14:schemeClr w14:val="tx1"/>
            </w14:solidFill>
          </w14:textFill>
        </w:rPr>
        <w:t>LTE FDD网络约</w:t>
      </w:r>
      <w:r>
        <w:rPr>
          <w:rFonts w:hint="eastAsia"/>
          <w:color w:val="FF0000"/>
        </w:rPr>
        <w:t>90</w:t>
      </w:r>
      <w:r>
        <w:rPr>
          <w:color w:val="FF0000"/>
        </w:rPr>
        <w:t>%</w:t>
      </w:r>
      <w:r>
        <w:rPr>
          <w:rFonts w:hint="eastAsia"/>
          <w:color w:val="FF0000"/>
        </w:rPr>
        <w:t>的无线</w:t>
      </w:r>
      <w:r>
        <w:rPr>
          <w:color w:val="FF0000"/>
        </w:rPr>
        <w:t>设备采用</w:t>
      </w:r>
      <w:r>
        <w:rPr>
          <w:rFonts w:hint="eastAsia"/>
          <w:color w:val="FF0000"/>
        </w:rPr>
        <w:t>爱立信</w:t>
      </w:r>
      <w:r>
        <w:rPr>
          <w:color w:val="FF0000"/>
        </w:rPr>
        <w:t>厂商设备，</w:t>
      </w:r>
      <w:r>
        <w:rPr>
          <w:rFonts w:hint="eastAsia"/>
          <w:color w:val="FF0000"/>
        </w:rPr>
        <w:t>其他10</w:t>
      </w:r>
      <w:r>
        <w:rPr>
          <w:color w:val="FF0000"/>
        </w:rPr>
        <w:t>%</w:t>
      </w:r>
      <w:r>
        <w:rPr>
          <w:rFonts w:hint="eastAsia"/>
          <w:color w:val="FF0000"/>
        </w:rPr>
        <w:t>无线设备采用华为</w:t>
      </w:r>
      <w:r>
        <w:rPr>
          <w:color w:val="FF0000"/>
        </w:rPr>
        <w:t>厂商设备</w:t>
      </w:r>
      <w:r>
        <w:rPr>
          <w:rFonts w:hint="eastAsia"/>
          <w:color w:val="FF0000"/>
        </w:rPr>
        <w:t>.</w:t>
      </w:r>
    </w:p>
    <w:p>
      <w:pPr>
        <w:pStyle w:val="603"/>
        <w:rPr>
          <w:rFonts w:cs="Times New Roman"/>
        </w:rPr>
      </w:pPr>
      <w:r>
        <w:rPr>
          <w:rFonts w:cs="Times New Roman"/>
        </w:rPr>
        <w:t>表2.3-1 蜂窝物联网基站规模表</w:t>
      </w:r>
    </w:p>
    <w:tbl>
      <w:tblPr>
        <w:tblStyle w:val="63"/>
        <w:tblW w:w="7229"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134"/>
        <w:gridCol w:w="1248"/>
        <w:gridCol w:w="1249"/>
        <w:gridCol w:w="1248"/>
        <w:gridCol w:w="1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01" w:type="dxa"/>
            <w:vMerge w:val="restart"/>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覆盖区域</w:t>
            </w:r>
          </w:p>
        </w:tc>
        <w:tc>
          <w:tcPr>
            <w:tcW w:w="1134" w:type="dxa"/>
            <w:vMerge w:val="restart"/>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基站合计</w:t>
            </w:r>
          </w:p>
        </w:tc>
        <w:tc>
          <w:tcPr>
            <w:tcW w:w="2497" w:type="dxa"/>
            <w:gridSpan w:val="2"/>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900M宏基站规模</w:t>
            </w:r>
          </w:p>
        </w:tc>
        <w:tc>
          <w:tcPr>
            <w:tcW w:w="2497" w:type="dxa"/>
            <w:gridSpan w:val="2"/>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1800M宏基站规模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01" w:type="dxa"/>
            <w:vMerge w:val="continue"/>
            <w:shd w:val="clear" w:color="auto" w:fill="auto"/>
          </w:tcPr>
          <w:p>
            <w:pPr>
              <w:spacing w:line="240" w:lineRule="auto"/>
              <w:ind w:firstLine="0" w:firstLineChars="0"/>
              <w:rPr>
                <w:rFonts w:cs="Times New Roman"/>
                <w:color w:val="FF0000"/>
                <w:sz w:val="21"/>
              </w:rPr>
            </w:pPr>
          </w:p>
        </w:tc>
        <w:tc>
          <w:tcPr>
            <w:tcW w:w="1134" w:type="dxa"/>
            <w:vMerge w:val="continue"/>
            <w:shd w:val="clear" w:color="auto" w:fill="auto"/>
            <w:vAlign w:val="center"/>
          </w:tcPr>
          <w:p>
            <w:pPr>
              <w:spacing w:line="240" w:lineRule="auto"/>
              <w:ind w:firstLine="0" w:firstLineChars="0"/>
              <w:jc w:val="center"/>
              <w:rPr>
                <w:rFonts w:cs="Times New Roman"/>
                <w:color w:val="FF0000"/>
                <w:sz w:val="21"/>
              </w:rPr>
            </w:pPr>
          </w:p>
        </w:tc>
        <w:tc>
          <w:tcPr>
            <w:tcW w:w="1248"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基站</w:t>
            </w:r>
          </w:p>
        </w:tc>
        <w:tc>
          <w:tcPr>
            <w:tcW w:w="1249"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载频</w:t>
            </w:r>
          </w:p>
        </w:tc>
        <w:tc>
          <w:tcPr>
            <w:tcW w:w="1248"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基站</w:t>
            </w:r>
          </w:p>
        </w:tc>
        <w:tc>
          <w:tcPr>
            <w:tcW w:w="1249" w:type="dxa"/>
            <w:shd w:val="clear" w:color="auto" w:fill="auto"/>
            <w:vAlign w:val="center"/>
          </w:tcPr>
          <w:p>
            <w:pPr>
              <w:spacing w:line="240" w:lineRule="auto"/>
              <w:ind w:firstLine="0" w:firstLineChars="0"/>
              <w:jc w:val="center"/>
              <w:rPr>
                <w:rFonts w:cs="Times New Roman"/>
                <w:color w:val="FF0000"/>
                <w:sz w:val="21"/>
              </w:rPr>
            </w:pPr>
            <w:r>
              <w:rPr>
                <w:rFonts w:hint="eastAsia" w:cs="Times New Roman"/>
                <w:color w:val="FF0000"/>
                <w:sz w:val="21"/>
              </w:rPr>
              <w:t>载频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城区区域</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1137</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651</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3431</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897</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4724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乡镇</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568</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326</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1715</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449</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2362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农村</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189</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109</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572</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149</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787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auto"/>
          </w:tcPr>
          <w:p>
            <w:pPr>
              <w:spacing w:line="240" w:lineRule="auto"/>
              <w:ind w:firstLine="0" w:firstLineChars="0"/>
              <w:jc w:val="center"/>
              <w:rPr>
                <w:rFonts w:cs="Times New Roman"/>
                <w:color w:val="FF0000"/>
                <w:sz w:val="21"/>
              </w:rPr>
            </w:pPr>
            <w:r>
              <w:rPr>
                <w:rFonts w:hint="eastAsia" w:cs="Times New Roman"/>
                <w:color w:val="FF0000"/>
                <w:sz w:val="21"/>
              </w:rPr>
              <w:t>总计</w:t>
            </w:r>
          </w:p>
        </w:tc>
        <w:tc>
          <w:tcPr>
            <w:tcW w:w="1134"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1894</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1086</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5718</w:t>
            </w:r>
          </w:p>
        </w:tc>
        <w:tc>
          <w:tcPr>
            <w:tcW w:w="1248"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1495</w:t>
            </w:r>
          </w:p>
        </w:tc>
        <w:tc>
          <w:tcPr>
            <w:tcW w:w="1249" w:type="dxa"/>
            <w:shd w:val="clear" w:color="auto" w:fill="auto"/>
          </w:tcPr>
          <w:p>
            <w:pPr>
              <w:ind w:firstLine="0" w:firstLineChars="0"/>
              <w:jc w:val="center"/>
              <w:rPr>
                <w:rFonts w:ascii="宋体" w:hAnsi="宋体" w:cs="Times New Roman"/>
                <w:color w:val="FF0000"/>
                <w:sz w:val="21"/>
              </w:rPr>
            </w:pPr>
            <w:r>
              <w:rPr>
                <w:rFonts w:ascii="宋体" w:hAnsi="宋体" w:cs="Times New Roman"/>
                <w:color w:val="FF0000"/>
                <w:sz w:val="21"/>
              </w:rPr>
              <w:t>7873</w:t>
            </w:r>
          </w:p>
        </w:tc>
      </w:tr>
    </w:tbl>
    <w:p>
      <w:pPr>
        <w:pStyle w:val="603"/>
        <w:rPr>
          <w:rFonts w:cs="Times New Roman"/>
        </w:rPr>
      </w:pPr>
    </w:p>
    <w:p>
      <w:pPr>
        <w:pStyle w:val="5"/>
        <w:rPr>
          <w:rFonts w:cs="Times New Roman"/>
          <w:color w:val="FF0000"/>
        </w:rPr>
      </w:pPr>
      <w:bookmarkStart w:id="117" w:name="_Toc21709"/>
      <w:bookmarkStart w:id="118" w:name="_Toc5619977"/>
      <w:r>
        <w:rPr>
          <w:rFonts w:cs="Times New Roman"/>
        </w:rPr>
        <w:t>5G一期网络建设现状</w:t>
      </w:r>
      <w:bookmarkEnd w:id="117"/>
      <w:bookmarkEnd w:id="118"/>
    </w:p>
    <w:p>
      <w:pPr>
        <w:ind w:firstLine="480"/>
        <w:rPr>
          <w:rFonts w:cs="Times New Roman"/>
          <w:color w:val="FF0000"/>
        </w:rPr>
      </w:pPr>
      <w:r>
        <w:rPr>
          <w:rFonts w:hint="eastAsia" w:cs="Times New Roman"/>
          <w:color w:val="FF0000"/>
        </w:rPr>
        <w:t>江苏</w:t>
      </w:r>
      <w:r>
        <w:rPr>
          <w:rFonts w:cs="Times New Roman"/>
          <w:color w:val="FF0000"/>
        </w:rPr>
        <w:t>移动5G一期网络主要覆盖主城区</w:t>
      </w:r>
      <w:r>
        <w:rPr>
          <w:rFonts w:hint="eastAsia" w:cs="Times New Roman"/>
          <w:color w:val="FF0000"/>
        </w:rPr>
        <w:t>，</w:t>
      </w:r>
      <w:r>
        <w:rPr>
          <w:rFonts w:cs="Times New Roman"/>
          <w:color w:val="FF0000"/>
        </w:rPr>
        <w:t>5G基站设备分别由</w:t>
      </w:r>
      <w:r>
        <w:rPr>
          <w:rFonts w:hint="eastAsia" w:cs="Times New Roman"/>
          <w:color w:val="FF0000"/>
        </w:rPr>
        <w:t>华为、爱立信</w:t>
      </w:r>
      <w:r>
        <w:rPr>
          <w:rFonts w:cs="Times New Roman"/>
          <w:color w:val="FF0000"/>
        </w:rPr>
        <w:t>设备厂家提供；共计建设2.6G宏基站</w:t>
      </w:r>
      <w:r>
        <w:rPr>
          <w:rFonts w:hint="eastAsia" w:cs="Times New Roman"/>
          <w:color w:val="FF0000"/>
        </w:rPr>
        <w:t>282</w:t>
      </w:r>
      <w:r>
        <w:rPr>
          <w:rFonts w:cs="Times New Roman"/>
          <w:color w:val="FF0000"/>
        </w:rPr>
        <w:t>个，4.9G宏基站</w:t>
      </w:r>
      <w:r>
        <w:rPr>
          <w:rFonts w:hint="eastAsia" w:cs="Times New Roman"/>
          <w:color w:val="FF0000"/>
        </w:rPr>
        <w:t>0</w:t>
      </w:r>
      <w:r>
        <w:rPr>
          <w:rFonts w:cs="Times New Roman"/>
          <w:color w:val="FF0000"/>
        </w:rPr>
        <w:t>个，室内覆盖基站</w:t>
      </w:r>
      <w:r>
        <w:rPr>
          <w:rFonts w:hint="eastAsia" w:cs="Times New Roman"/>
          <w:color w:val="FF0000"/>
        </w:rPr>
        <w:t>26</w:t>
      </w:r>
      <w:r>
        <w:rPr>
          <w:rFonts w:cs="Times New Roman"/>
          <w:color w:val="FF0000"/>
        </w:rPr>
        <w:t>个。</w:t>
      </w:r>
    </w:p>
    <w:p>
      <w:pPr>
        <w:pStyle w:val="603"/>
        <w:rPr>
          <w:rFonts w:cs="Times New Roman"/>
        </w:rPr>
      </w:pPr>
      <w:r>
        <w:rPr>
          <w:rFonts w:cs="Times New Roman"/>
        </w:rPr>
        <w:t>表2.4-1  5G基站规模表</w:t>
      </w:r>
    </w:p>
    <w:tbl>
      <w:tblPr>
        <w:tblStyle w:val="63"/>
        <w:tblW w:w="67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63"/>
        <w:gridCol w:w="1276"/>
        <w:gridCol w:w="155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blHeader/>
        </w:trPr>
        <w:tc>
          <w:tcPr>
            <w:tcW w:w="1134" w:type="dxa"/>
            <w:vMerge w:val="restart"/>
            <w:vAlign w:val="center"/>
          </w:tcPr>
          <w:p>
            <w:pPr>
              <w:pStyle w:val="290"/>
              <w:rPr>
                <w:color w:val="FF0000"/>
              </w:rPr>
            </w:pPr>
            <w:r>
              <w:rPr>
                <w:color w:val="FF0000"/>
              </w:rPr>
              <w:t>覆盖区域</w:t>
            </w:r>
          </w:p>
        </w:tc>
        <w:tc>
          <w:tcPr>
            <w:tcW w:w="5630" w:type="dxa"/>
            <w:gridSpan w:val="4"/>
            <w:vAlign w:val="center"/>
          </w:tcPr>
          <w:p>
            <w:pPr>
              <w:pStyle w:val="290"/>
              <w:rPr>
                <w:color w:val="FF0000"/>
              </w:rPr>
            </w:pPr>
            <w:r>
              <w:rPr>
                <w:color w:val="FF0000"/>
              </w:rPr>
              <w:t>基站规模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blHeader/>
        </w:trPr>
        <w:tc>
          <w:tcPr>
            <w:tcW w:w="1134" w:type="dxa"/>
            <w:vMerge w:val="continue"/>
            <w:vAlign w:val="center"/>
          </w:tcPr>
          <w:p>
            <w:pPr>
              <w:pStyle w:val="290"/>
              <w:rPr>
                <w:color w:val="FF0000"/>
              </w:rPr>
            </w:pPr>
          </w:p>
        </w:tc>
        <w:tc>
          <w:tcPr>
            <w:tcW w:w="1163" w:type="dxa"/>
            <w:vAlign w:val="center"/>
          </w:tcPr>
          <w:p>
            <w:pPr>
              <w:pStyle w:val="290"/>
              <w:rPr>
                <w:color w:val="FF0000"/>
              </w:rPr>
            </w:pPr>
            <w:r>
              <w:rPr>
                <w:color w:val="FF0000"/>
              </w:rPr>
              <w:t>2.6G宏基站数（个）</w:t>
            </w:r>
          </w:p>
        </w:tc>
        <w:tc>
          <w:tcPr>
            <w:tcW w:w="1276" w:type="dxa"/>
            <w:vAlign w:val="center"/>
          </w:tcPr>
          <w:p>
            <w:pPr>
              <w:pStyle w:val="290"/>
              <w:rPr>
                <w:color w:val="FF0000"/>
              </w:rPr>
            </w:pPr>
            <w:r>
              <w:rPr>
                <w:color w:val="FF0000"/>
              </w:rPr>
              <w:t>4.9G宏基站数（个）</w:t>
            </w:r>
          </w:p>
        </w:tc>
        <w:tc>
          <w:tcPr>
            <w:tcW w:w="1556" w:type="dxa"/>
            <w:vAlign w:val="center"/>
          </w:tcPr>
          <w:p>
            <w:pPr>
              <w:pStyle w:val="290"/>
              <w:rPr>
                <w:color w:val="FF0000"/>
              </w:rPr>
            </w:pPr>
            <w:r>
              <w:rPr>
                <w:color w:val="FF0000"/>
              </w:rPr>
              <w:t>2.6G室内覆盖物业点数（个）</w:t>
            </w:r>
          </w:p>
        </w:tc>
        <w:tc>
          <w:tcPr>
            <w:tcW w:w="1635" w:type="dxa"/>
          </w:tcPr>
          <w:p>
            <w:pPr>
              <w:pStyle w:val="290"/>
              <w:rPr>
                <w:color w:val="FF0000"/>
              </w:rPr>
            </w:pPr>
            <w:r>
              <w:rPr>
                <w:color w:val="FF0000"/>
              </w:rPr>
              <w:t>2.6G室内覆盖基站数（个）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134" w:type="dxa"/>
            <w:vAlign w:val="center"/>
          </w:tcPr>
          <w:p>
            <w:pPr>
              <w:pStyle w:val="290"/>
              <w:rPr>
                <w:color w:val="FF0000"/>
              </w:rPr>
            </w:pPr>
            <w:r>
              <w:rPr>
                <w:color w:val="FF0000"/>
              </w:rPr>
              <w:t>主城区</w:t>
            </w:r>
          </w:p>
        </w:tc>
        <w:tc>
          <w:tcPr>
            <w:tcW w:w="1163" w:type="dxa"/>
            <w:vAlign w:val="center"/>
          </w:tcPr>
          <w:p>
            <w:pPr>
              <w:pStyle w:val="290"/>
              <w:rPr>
                <w:color w:val="FF0000"/>
              </w:rPr>
            </w:pPr>
            <w:r>
              <w:rPr>
                <w:rFonts w:hint="eastAsia"/>
                <w:color w:val="FF0000"/>
              </w:rPr>
              <w:t>282</w:t>
            </w:r>
          </w:p>
        </w:tc>
        <w:tc>
          <w:tcPr>
            <w:tcW w:w="1276" w:type="dxa"/>
            <w:vAlign w:val="center"/>
          </w:tcPr>
          <w:p>
            <w:pPr>
              <w:pStyle w:val="290"/>
              <w:rPr>
                <w:color w:val="FF0000"/>
              </w:rPr>
            </w:pPr>
            <w:r>
              <w:rPr>
                <w:rFonts w:hint="eastAsia"/>
                <w:color w:val="FF0000"/>
              </w:rPr>
              <w:t>0</w:t>
            </w:r>
          </w:p>
        </w:tc>
        <w:tc>
          <w:tcPr>
            <w:tcW w:w="1556" w:type="dxa"/>
            <w:vAlign w:val="center"/>
          </w:tcPr>
          <w:p>
            <w:pPr>
              <w:pStyle w:val="290"/>
              <w:rPr>
                <w:color w:val="FF0000"/>
              </w:rPr>
            </w:pPr>
            <w:r>
              <w:rPr>
                <w:rFonts w:hint="eastAsia"/>
                <w:color w:val="FF0000"/>
              </w:rPr>
              <w:t>0</w:t>
            </w:r>
          </w:p>
        </w:tc>
        <w:tc>
          <w:tcPr>
            <w:tcW w:w="1635" w:type="dxa"/>
          </w:tcPr>
          <w:p>
            <w:pPr>
              <w:pStyle w:val="290"/>
              <w:rPr>
                <w:color w:val="FF0000"/>
              </w:rPr>
            </w:pPr>
            <w:r>
              <w:rPr>
                <w:rFonts w:hint="eastAsia"/>
                <w:color w:val="FF0000"/>
              </w:rPr>
              <w:t>26</w:t>
            </w:r>
          </w:p>
        </w:tc>
      </w:tr>
    </w:tbl>
    <w:p>
      <w:pPr>
        <w:ind w:firstLine="480"/>
        <w:rPr>
          <w:rFonts w:cs="Times New Roman"/>
          <w:highlight w:val="yellow"/>
        </w:rPr>
      </w:pPr>
    </w:p>
    <w:p>
      <w:pPr>
        <w:pStyle w:val="4"/>
        <w:rPr>
          <w:rFonts w:cs="Times New Roman"/>
        </w:rPr>
      </w:pPr>
      <w:bookmarkStart w:id="119" w:name="_Toc7015"/>
      <w:bookmarkStart w:id="120" w:name="_Toc2868657"/>
      <w:bookmarkStart w:id="121" w:name="_Toc447202457"/>
      <w:bookmarkStart w:id="122" w:name="_Toc447204506"/>
      <w:bookmarkStart w:id="123" w:name="_Toc424051553"/>
      <w:bookmarkStart w:id="124" w:name="_Toc452131575"/>
      <w:r>
        <w:rPr>
          <w:rFonts w:cs="Times New Roman"/>
        </w:rPr>
        <w:t>业务需求</w:t>
      </w:r>
      <w:bookmarkEnd w:id="119"/>
      <w:bookmarkEnd w:id="120"/>
    </w:p>
    <w:p>
      <w:pPr>
        <w:ind w:firstLine="480"/>
        <w:rPr>
          <w:rFonts w:cs="Times New Roman"/>
          <w:color w:val="FF0000"/>
        </w:rPr>
      </w:pPr>
      <w:r>
        <w:rPr>
          <w:rFonts w:cs="Times New Roman"/>
          <w:color w:val="FF0000"/>
        </w:rPr>
        <w:t>根据《</w:t>
      </w:r>
      <w:r>
        <w:rPr>
          <w:rFonts w:hint="eastAsia" w:cs="Times New Roman"/>
          <w:color w:val="FF0000"/>
        </w:rPr>
        <w:t>中国移动江苏公司无锡地区5G二期一阶段无线主设备工程可行性研究报告</w:t>
      </w:r>
      <w:r>
        <w:rPr>
          <w:rFonts w:cs="Times New Roman"/>
          <w:color w:val="FF0000"/>
        </w:rPr>
        <w:t>》，本期工程建设应满足</w:t>
      </w:r>
      <w:r>
        <w:rPr>
          <w:rFonts w:hint="eastAsia" w:cs="Times New Roman"/>
          <w:color w:val="FF0000"/>
        </w:rPr>
        <w:t>122.2</w:t>
      </w:r>
      <w:r>
        <w:rPr>
          <w:rFonts w:cs="Times New Roman"/>
          <w:color w:val="FF0000"/>
        </w:rPr>
        <w:t>万5G个人客户需求，5G网络应能承载个人客户月均数据流量</w:t>
      </w:r>
      <w:r>
        <w:rPr>
          <w:rFonts w:hint="eastAsia" w:cs="Times New Roman"/>
          <w:color w:val="FF0000"/>
        </w:rPr>
        <w:t>126508206.1</w:t>
      </w:r>
      <w:r>
        <w:rPr>
          <w:rFonts w:cs="Times New Roman"/>
          <w:color w:val="FF0000"/>
        </w:rPr>
        <w:t>GB。</w:t>
      </w:r>
    </w:p>
    <w:p>
      <w:pPr>
        <w:pStyle w:val="287"/>
        <w:keepNext/>
        <w:keepLines/>
        <w:numPr>
          <w:ilvl w:val="0"/>
          <w:numId w:val="3"/>
        </w:numPr>
        <w:spacing w:before="340" w:after="330" w:line="578" w:lineRule="auto"/>
        <w:ind w:firstLineChars="0"/>
        <w:outlineLvl w:val="0"/>
        <w:rPr>
          <w:rFonts w:cs="Times New Roman"/>
          <w:b/>
          <w:bCs/>
          <w:vanish/>
          <w:color w:val="FF0000"/>
          <w:kern w:val="44"/>
          <w:sz w:val="32"/>
          <w:szCs w:val="44"/>
        </w:rPr>
      </w:pPr>
      <w:bookmarkStart w:id="125" w:name="_Toc12085508"/>
      <w:bookmarkEnd w:id="125"/>
      <w:bookmarkStart w:id="126" w:name="_Toc12084434"/>
      <w:bookmarkEnd w:id="126"/>
      <w:bookmarkStart w:id="127" w:name="_Toc34835616"/>
      <w:bookmarkEnd w:id="127"/>
      <w:bookmarkStart w:id="128" w:name="_Toc33540347"/>
      <w:bookmarkEnd w:id="128"/>
      <w:bookmarkStart w:id="129" w:name="_Toc33691332"/>
      <w:bookmarkEnd w:id="129"/>
      <w:bookmarkStart w:id="130" w:name="_Toc11767571"/>
      <w:bookmarkEnd w:id="130"/>
      <w:bookmarkStart w:id="131" w:name="_Toc12104792"/>
      <w:bookmarkEnd w:id="131"/>
      <w:bookmarkStart w:id="132" w:name="_Toc33000663"/>
      <w:bookmarkEnd w:id="132"/>
      <w:bookmarkStart w:id="133" w:name="_Toc11766595"/>
      <w:bookmarkEnd w:id="133"/>
      <w:bookmarkStart w:id="134" w:name="_Toc34834270"/>
      <w:bookmarkEnd w:id="134"/>
      <w:bookmarkStart w:id="135" w:name="_Toc12085737"/>
      <w:bookmarkEnd w:id="135"/>
      <w:bookmarkStart w:id="136" w:name="_Toc33365702"/>
      <w:bookmarkEnd w:id="136"/>
      <w:bookmarkStart w:id="137" w:name="_Toc33610099"/>
      <w:bookmarkEnd w:id="137"/>
      <w:bookmarkStart w:id="138" w:name="_Toc10073"/>
      <w:bookmarkEnd w:id="138"/>
      <w:bookmarkStart w:id="139" w:name="_Toc12631516"/>
      <w:bookmarkEnd w:id="139"/>
    </w:p>
    <w:p>
      <w:pPr>
        <w:pStyle w:val="287"/>
        <w:keepNext/>
        <w:keepLines/>
        <w:numPr>
          <w:ilvl w:val="0"/>
          <w:numId w:val="3"/>
        </w:numPr>
        <w:spacing w:before="340" w:after="330" w:line="578" w:lineRule="auto"/>
        <w:ind w:firstLineChars="0"/>
        <w:outlineLvl w:val="0"/>
        <w:rPr>
          <w:rFonts w:cs="Times New Roman"/>
          <w:b/>
          <w:bCs/>
          <w:vanish/>
          <w:color w:val="FF0000"/>
          <w:kern w:val="44"/>
          <w:sz w:val="32"/>
          <w:szCs w:val="44"/>
        </w:rPr>
      </w:pPr>
      <w:bookmarkStart w:id="140" w:name="_Toc12085509"/>
      <w:bookmarkEnd w:id="140"/>
      <w:bookmarkStart w:id="141" w:name="_Toc12085738"/>
      <w:bookmarkEnd w:id="141"/>
      <w:bookmarkStart w:id="142" w:name="_Toc33610100"/>
      <w:bookmarkEnd w:id="142"/>
      <w:bookmarkStart w:id="143" w:name="_Toc33000664"/>
      <w:bookmarkEnd w:id="143"/>
      <w:bookmarkStart w:id="144" w:name="_Toc28339"/>
      <w:bookmarkEnd w:id="144"/>
      <w:bookmarkStart w:id="145" w:name="_Toc33365703"/>
      <w:bookmarkEnd w:id="145"/>
      <w:bookmarkStart w:id="146" w:name="_Toc11766596"/>
      <w:bookmarkEnd w:id="146"/>
      <w:bookmarkStart w:id="147" w:name="_Toc34834271"/>
      <w:bookmarkEnd w:id="147"/>
      <w:bookmarkStart w:id="148" w:name="_Toc12084435"/>
      <w:bookmarkEnd w:id="148"/>
      <w:bookmarkStart w:id="149" w:name="_Toc33540348"/>
      <w:bookmarkEnd w:id="149"/>
      <w:bookmarkStart w:id="150" w:name="_Toc12631517"/>
      <w:bookmarkEnd w:id="150"/>
      <w:bookmarkStart w:id="151" w:name="_Toc11767572"/>
      <w:bookmarkEnd w:id="151"/>
      <w:bookmarkStart w:id="152" w:name="_Toc34835617"/>
      <w:bookmarkEnd w:id="152"/>
      <w:bookmarkStart w:id="153" w:name="_Toc33691333"/>
      <w:bookmarkEnd w:id="153"/>
      <w:bookmarkStart w:id="154" w:name="_Toc12104793"/>
      <w:bookmarkEnd w:id="154"/>
    </w:p>
    <w:p>
      <w:pPr>
        <w:pStyle w:val="287"/>
        <w:keepNext/>
        <w:keepLines/>
        <w:numPr>
          <w:ilvl w:val="0"/>
          <w:numId w:val="3"/>
        </w:numPr>
        <w:spacing w:before="340" w:after="330" w:line="578" w:lineRule="auto"/>
        <w:ind w:firstLineChars="0"/>
        <w:outlineLvl w:val="0"/>
        <w:rPr>
          <w:rFonts w:cs="Times New Roman"/>
          <w:b/>
          <w:bCs/>
          <w:vanish/>
          <w:color w:val="FF0000"/>
          <w:kern w:val="44"/>
          <w:sz w:val="32"/>
          <w:szCs w:val="44"/>
        </w:rPr>
      </w:pPr>
      <w:bookmarkStart w:id="155" w:name="_Toc33540349"/>
      <w:bookmarkEnd w:id="155"/>
      <w:bookmarkStart w:id="156" w:name="_Toc12104794"/>
      <w:bookmarkEnd w:id="156"/>
      <w:bookmarkStart w:id="157" w:name="_Toc12085739"/>
      <w:bookmarkEnd w:id="157"/>
      <w:bookmarkStart w:id="158" w:name="_Toc30661"/>
      <w:bookmarkEnd w:id="158"/>
      <w:bookmarkStart w:id="159" w:name="_Toc12085510"/>
      <w:bookmarkEnd w:id="159"/>
      <w:bookmarkStart w:id="160" w:name="_Toc33000665"/>
      <w:bookmarkEnd w:id="160"/>
      <w:bookmarkStart w:id="161" w:name="_Toc33365704"/>
      <w:bookmarkEnd w:id="161"/>
      <w:bookmarkStart w:id="162" w:name="_Toc12631518"/>
      <w:bookmarkEnd w:id="162"/>
      <w:bookmarkStart w:id="163" w:name="_Toc33610101"/>
      <w:bookmarkEnd w:id="163"/>
      <w:bookmarkStart w:id="164" w:name="_Toc12084436"/>
      <w:bookmarkEnd w:id="164"/>
      <w:bookmarkStart w:id="165" w:name="_Toc11767573"/>
      <w:bookmarkEnd w:id="165"/>
      <w:bookmarkStart w:id="166" w:name="_Toc34835618"/>
      <w:bookmarkEnd w:id="166"/>
      <w:bookmarkStart w:id="167" w:name="_Toc11766597"/>
      <w:bookmarkEnd w:id="167"/>
      <w:bookmarkStart w:id="168" w:name="_Toc34834272"/>
      <w:bookmarkEnd w:id="168"/>
      <w:bookmarkStart w:id="169" w:name="_Toc33691334"/>
      <w:bookmarkEnd w:id="169"/>
    </w:p>
    <w:p>
      <w:pPr>
        <w:pStyle w:val="603"/>
        <w:rPr>
          <w:rFonts w:cs="Times New Roman"/>
          <w:color w:val="FF0000"/>
        </w:rPr>
      </w:pPr>
      <w:r>
        <w:rPr>
          <w:rFonts w:cs="Times New Roman"/>
          <w:color w:val="FF0000"/>
        </w:rPr>
        <w:t>表3-1  5G个人客户规模</w:t>
      </w:r>
    </w:p>
    <w:tbl>
      <w:tblPr>
        <w:tblStyle w:val="63"/>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1559"/>
        <w:gridCol w:w="2126"/>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p>
        </w:tc>
        <w:tc>
          <w:tcPr>
            <w:tcW w:w="1559" w:type="dxa"/>
            <w:shd w:val="clear" w:color="auto" w:fill="auto"/>
          </w:tcPr>
          <w:p>
            <w:pPr>
              <w:pStyle w:val="290"/>
            </w:pPr>
            <w:r>
              <w:t>单位</w:t>
            </w:r>
          </w:p>
        </w:tc>
        <w:tc>
          <w:tcPr>
            <w:tcW w:w="2126" w:type="dxa"/>
            <w:shd w:val="clear" w:color="auto" w:fill="auto"/>
          </w:tcPr>
          <w:p>
            <w:pPr>
              <w:pStyle w:val="290"/>
            </w:pPr>
            <w:r>
              <w:t>20</w:t>
            </w:r>
            <w:r>
              <w:rPr>
                <w:rFonts w:hint="eastAsia"/>
              </w:rPr>
              <w:t>20</w:t>
            </w:r>
            <w:r>
              <w:t>年</w:t>
            </w:r>
          </w:p>
        </w:tc>
        <w:tc>
          <w:tcPr>
            <w:tcW w:w="2064" w:type="dxa"/>
            <w:shd w:val="clear" w:color="auto" w:fill="auto"/>
          </w:tcPr>
          <w:p>
            <w:pPr>
              <w:pStyle w:val="290"/>
            </w:pPr>
            <w:r>
              <w:t>202</w:t>
            </w:r>
            <w:r>
              <w:rPr>
                <w:rFonts w:hint="eastAsia"/>
              </w:rPr>
              <w:t>1</w:t>
            </w:r>
            <w: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手机终端</w:t>
            </w:r>
          </w:p>
        </w:tc>
        <w:tc>
          <w:tcPr>
            <w:tcW w:w="1559" w:type="dxa"/>
            <w:shd w:val="clear" w:color="auto" w:fill="auto"/>
          </w:tcPr>
          <w:p>
            <w:pPr>
              <w:pStyle w:val="290"/>
            </w:pPr>
            <w:r>
              <w:rPr>
                <w:rFonts w:hint="eastAsia"/>
              </w:rPr>
              <w:t>万</w:t>
            </w:r>
            <w:r>
              <w:t>户</w:t>
            </w:r>
          </w:p>
        </w:tc>
        <w:tc>
          <w:tcPr>
            <w:tcW w:w="2126" w:type="dxa"/>
            <w:shd w:val="clear" w:color="auto" w:fill="auto"/>
          </w:tcPr>
          <w:p>
            <w:pPr>
              <w:pStyle w:val="290"/>
            </w:pPr>
            <w:r>
              <w:rPr>
                <w:rFonts w:hint="eastAsia"/>
                <w:color w:val="000000" w:themeColor="text1"/>
                <w14:textFill>
                  <w14:solidFill>
                    <w14:schemeClr w14:val="tx1"/>
                  </w14:solidFill>
                </w14:textFill>
              </w:rPr>
              <w:t>40</w:t>
            </w:r>
          </w:p>
        </w:tc>
        <w:tc>
          <w:tcPr>
            <w:tcW w:w="2064" w:type="dxa"/>
            <w:shd w:val="clear" w:color="auto" w:fill="auto"/>
          </w:tcPr>
          <w:p>
            <w:pPr>
              <w:pStyle w:val="290"/>
            </w:pPr>
            <w:r>
              <w:rPr>
                <w:rFonts w:hint="eastAsia"/>
                <w:color w:val="000000" w:themeColor="text1"/>
                <w14:textFill>
                  <w14:solidFill>
                    <w14:schemeClr w14:val="tx1"/>
                  </w14:solidFill>
                </w14:textFill>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数据终端</w:t>
            </w:r>
          </w:p>
        </w:tc>
        <w:tc>
          <w:tcPr>
            <w:tcW w:w="1559" w:type="dxa"/>
            <w:shd w:val="clear" w:color="auto" w:fill="auto"/>
          </w:tcPr>
          <w:p>
            <w:pPr>
              <w:pStyle w:val="290"/>
            </w:pPr>
            <w:r>
              <w:rPr>
                <w:rFonts w:hint="eastAsia"/>
              </w:rPr>
              <w:t>万</w:t>
            </w:r>
            <w:r>
              <w:t>户</w:t>
            </w:r>
          </w:p>
        </w:tc>
        <w:tc>
          <w:tcPr>
            <w:tcW w:w="2126" w:type="dxa"/>
            <w:shd w:val="clear" w:color="auto" w:fill="auto"/>
          </w:tcPr>
          <w:p>
            <w:pPr>
              <w:pStyle w:val="290"/>
            </w:pPr>
            <w:r>
              <w:rPr>
                <w:rFonts w:hint="eastAsia"/>
                <w:color w:val="000000" w:themeColor="text1"/>
                <w14:textFill>
                  <w14:solidFill>
                    <w14:schemeClr w14:val="tx1"/>
                  </w14:solidFill>
                </w14:textFill>
              </w:rPr>
              <w:t>1.2</w:t>
            </w:r>
          </w:p>
        </w:tc>
        <w:tc>
          <w:tcPr>
            <w:tcW w:w="2064" w:type="dxa"/>
            <w:shd w:val="clear" w:color="auto" w:fill="auto"/>
          </w:tcPr>
          <w:p>
            <w:pPr>
              <w:pStyle w:val="290"/>
            </w:pPr>
            <w:r>
              <w:rPr>
                <w:rFonts w:hint="eastAsia"/>
                <w:color w:val="000000" w:themeColor="text1"/>
                <w14:textFill>
                  <w14:solidFill>
                    <w14:schemeClr w14:val="tx1"/>
                  </w14:solidFill>
                </w14:textFill>
              </w:rPr>
              <w:t>2.2</w:t>
            </w:r>
          </w:p>
        </w:tc>
      </w:tr>
    </w:tbl>
    <w:p>
      <w:pPr>
        <w:pStyle w:val="603"/>
        <w:rPr>
          <w:rFonts w:cs="Times New Roman"/>
          <w:color w:val="FF0000"/>
        </w:rPr>
      </w:pPr>
      <w:r>
        <w:rPr>
          <w:rFonts w:cs="Times New Roman"/>
          <w:color w:val="FF0000"/>
        </w:rPr>
        <w:t>表3-2  个人客户5G月均数据流量</w:t>
      </w:r>
    </w:p>
    <w:tbl>
      <w:tblPr>
        <w:tblStyle w:val="63"/>
        <w:tblW w:w="81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1559"/>
        <w:gridCol w:w="2126"/>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p>
        </w:tc>
        <w:tc>
          <w:tcPr>
            <w:tcW w:w="1559" w:type="dxa"/>
            <w:shd w:val="clear" w:color="auto" w:fill="auto"/>
          </w:tcPr>
          <w:p>
            <w:pPr>
              <w:pStyle w:val="290"/>
            </w:pPr>
            <w:r>
              <w:t>单位</w:t>
            </w:r>
          </w:p>
        </w:tc>
        <w:tc>
          <w:tcPr>
            <w:tcW w:w="2126" w:type="dxa"/>
            <w:shd w:val="clear" w:color="auto" w:fill="auto"/>
          </w:tcPr>
          <w:p>
            <w:pPr>
              <w:pStyle w:val="290"/>
            </w:pPr>
            <w:r>
              <w:t>2020年</w:t>
            </w:r>
          </w:p>
        </w:tc>
        <w:tc>
          <w:tcPr>
            <w:tcW w:w="2064" w:type="dxa"/>
            <w:shd w:val="clear" w:color="auto" w:fill="auto"/>
          </w:tcPr>
          <w:p>
            <w:pPr>
              <w:pStyle w:val="290"/>
            </w:pPr>
            <w:r>
              <w:t>2021年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手机终端</w:t>
            </w:r>
          </w:p>
        </w:tc>
        <w:tc>
          <w:tcPr>
            <w:tcW w:w="1559" w:type="dxa"/>
            <w:shd w:val="clear" w:color="auto" w:fill="auto"/>
          </w:tcPr>
          <w:p>
            <w:pPr>
              <w:pStyle w:val="290"/>
            </w:pPr>
            <w:r>
              <w:t>GB</w:t>
            </w:r>
          </w:p>
        </w:tc>
        <w:tc>
          <w:tcPr>
            <w:tcW w:w="2126" w:type="dxa"/>
            <w:shd w:val="clear" w:color="auto" w:fill="auto"/>
          </w:tcPr>
          <w:p>
            <w:pPr>
              <w:pStyle w:val="290"/>
            </w:pPr>
            <w:r>
              <w:rPr>
                <w:rFonts w:hint="eastAsia"/>
              </w:rPr>
              <w:t>26659513.52</w:t>
            </w:r>
          </w:p>
        </w:tc>
        <w:tc>
          <w:tcPr>
            <w:tcW w:w="2064" w:type="dxa"/>
            <w:shd w:val="clear" w:color="auto" w:fill="auto"/>
          </w:tcPr>
          <w:p>
            <w:pPr>
              <w:pStyle w:val="290"/>
            </w:pPr>
            <w:r>
              <w:t>126415593.9</w:t>
            </w: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2439" w:type="dxa"/>
            <w:shd w:val="clear" w:color="auto" w:fill="auto"/>
          </w:tcPr>
          <w:p>
            <w:pPr>
              <w:pStyle w:val="290"/>
            </w:pPr>
            <w:r>
              <w:t>数据终端</w:t>
            </w:r>
          </w:p>
        </w:tc>
        <w:tc>
          <w:tcPr>
            <w:tcW w:w="1559" w:type="dxa"/>
            <w:shd w:val="clear" w:color="auto" w:fill="auto"/>
          </w:tcPr>
          <w:p>
            <w:pPr>
              <w:pStyle w:val="290"/>
            </w:pPr>
            <w:r>
              <w:t>GB</w:t>
            </w:r>
          </w:p>
        </w:tc>
        <w:tc>
          <w:tcPr>
            <w:tcW w:w="2126" w:type="dxa"/>
            <w:shd w:val="clear" w:color="auto" w:fill="auto"/>
          </w:tcPr>
          <w:p>
            <w:pPr>
              <w:pStyle w:val="290"/>
            </w:pPr>
            <w:r>
              <w:rPr>
                <w:rFonts w:hint="eastAsia"/>
              </w:rPr>
              <w:t>19530.78</w:t>
            </w:r>
          </w:p>
        </w:tc>
        <w:tc>
          <w:tcPr>
            <w:tcW w:w="2064" w:type="dxa"/>
            <w:shd w:val="clear" w:color="auto" w:fill="auto"/>
          </w:tcPr>
          <w:p>
            <w:pPr>
              <w:pStyle w:val="290"/>
            </w:pPr>
            <w:r>
              <w:rPr>
                <w:rFonts w:hint="eastAsia"/>
              </w:rPr>
              <w:t>92612.15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auto"/>
          </w:tcPr>
          <w:p>
            <w:pPr>
              <w:pStyle w:val="290"/>
            </w:pPr>
            <w:r>
              <w:t>合计</w:t>
            </w:r>
          </w:p>
        </w:tc>
        <w:tc>
          <w:tcPr>
            <w:tcW w:w="1559" w:type="dxa"/>
            <w:shd w:val="clear" w:color="auto" w:fill="auto"/>
          </w:tcPr>
          <w:p>
            <w:pPr>
              <w:pStyle w:val="290"/>
            </w:pPr>
            <w:r>
              <w:t>GB</w:t>
            </w:r>
          </w:p>
        </w:tc>
        <w:tc>
          <w:tcPr>
            <w:tcW w:w="2126" w:type="dxa"/>
            <w:shd w:val="clear" w:color="auto" w:fill="auto"/>
          </w:tcPr>
          <w:p>
            <w:pPr>
              <w:pStyle w:val="290"/>
            </w:pPr>
            <w:r>
              <w:rPr>
                <w:rFonts w:hint="eastAsia"/>
              </w:rPr>
              <w:t>26679044.3</w:t>
            </w:r>
          </w:p>
        </w:tc>
        <w:tc>
          <w:tcPr>
            <w:tcW w:w="2064" w:type="dxa"/>
            <w:shd w:val="clear" w:color="auto" w:fill="auto"/>
          </w:tcPr>
          <w:p>
            <w:pPr>
              <w:pStyle w:val="290"/>
            </w:pPr>
            <w:r>
              <w:rPr>
                <w:rFonts w:hint="eastAsia"/>
              </w:rPr>
              <w:t>126508206.1</w:t>
            </w:r>
          </w:p>
        </w:tc>
      </w:tr>
      <w:bookmarkEnd w:id="121"/>
      <w:bookmarkEnd w:id="122"/>
      <w:bookmarkEnd w:id="123"/>
      <w:bookmarkEnd w:id="124"/>
    </w:tbl>
    <w:p>
      <w:pPr>
        <w:pStyle w:val="4"/>
        <w:rPr>
          <w:rFonts w:cs="Times New Roman"/>
        </w:rPr>
      </w:pPr>
      <w:bookmarkStart w:id="170" w:name="_Toc447202458"/>
      <w:bookmarkStart w:id="171" w:name="_Toc452131576"/>
      <w:bookmarkStart w:id="172" w:name="_Toc447204507"/>
      <w:bookmarkStart w:id="173" w:name="_Toc7457"/>
      <w:bookmarkStart w:id="174" w:name="_Toc2868658"/>
      <w:r>
        <w:rPr>
          <w:rFonts w:cs="Times New Roman"/>
        </w:rPr>
        <w:t>无线网络设计</w:t>
      </w:r>
      <w:bookmarkEnd w:id="170"/>
      <w:bookmarkEnd w:id="171"/>
      <w:bookmarkEnd w:id="172"/>
      <w:bookmarkEnd w:id="173"/>
      <w:bookmarkEnd w:id="174"/>
    </w:p>
    <w:p>
      <w:pPr>
        <w:pStyle w:val="5"/>
        <w:rPr>
          <w:rFonts w:cs="Times New Roman"/>
        </w:rPr>
      </w:pPr>
      <w:bookmarkStart w:id="175" w:name="_Toc4482"/>
      <w:bookmarkStart w:id="176" w:name="_Toc2868659"/>
      <w:r>
        <w:rPr>
          <w:rFonts w:cs="Times New Roman"/>
        </w:rPr>
        <w:t>无线网组成</w:t>
      </w:r>
      <w:bookmarkEnd w:id="175"/>
      <w:bookmarkEnd w:id="176"/>
    </w:p>
    <w:p>
      <w:pPr>
        <w:tabs>
          <w:tab w:val="left" w:pos="0"/>
        </w:tabs>
        <w:ind w:firstLine="480"/>
        <w:rPr>
          <w:rFonts w:cs="Times New Roman"/>
        </w:rPr>
      </w:pPr>
      <w:r>
        <w:rPr>
          <w:rFonts w:cs="Times New Roman"/>
        </w:rPr>
        <w:t>5G总体架构如下图所示，分为5G核心网5GC和无线网NG-RAN两大部分。核心网的功能主要有AMF、SMF和UPF三个功能性逻辑网元或虚拟网元承接，无线网包括gNB和ng-eNB两种网元，其中gNB提供NR用户平面和控制平面协议和功能，ng-eNB提供E-UTRA用户平面和控制平面协议和功能。NG和Xn是两大主要接口，前者属于无线网和核心网的接口，后者属于无线网节点之间的接口。</w:t>
      </w:r>
    </w:p>
    <w:p>
      <w:pPr>
        <w:tabs>
          <w:tab w:val="left" w:pos="0"/>
        </w:tabs>
        <w:ind w:firstLine="480"/>
        <w:jc w:val="center"/>
        <w:rPr>
          <w:rFonts w:cs="Times New Roman"/>
        </w:rPr>
      </w:pPr>
      <w:r>
        <w:rPr>
          <w:rFonts w:cs="Times New Roman"/>
        </w:rPr>
        <w:drawing>
          <wp:inline distT="0" distB="0" distL="0" distR="0">
            <wp:extent cx="4137660" cy="2572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138249" cy="2573172"/>
                    </a:xfrm>
                    <a:prstGeom prst="rect">
                      <a:avLst/>
                    </a:prstGeom>
                    <a:noFill/>
                    <a:ln>
                      <a:noFill/>
                    </a:ln>
                  </pic:spPr>
                </pic:pic>
              </a:graphicData>
            </a:graphic>
          </wp:inline>
        </w:drawing>
      </w:r>
    </w:p>
    <w:p>
      <w:pPr>
        <w:pStyle w:val="603"/>
        <w:rPr>
          <w:rFonts w:cs="Times New Roman"/>
        </w:rPr>
      </w:pPr>
      <w:r>
        <w:rPr>
          <w:rFonts w:cs="Times New Roman"/>
        </w:rPr>
        <w:t>图</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.1</w:t>
      </w:r>
      <w:r>
        <w:rPr>
          <w:rFonts w:cs="Times New Roman"/>
        </w:rPr>
        <w:noBreakHyphen/>
      </w:r>
      <w:r>
        <w:rPr>
          <w:rFonts w:cs="Times New Roman"/>
        </w:rPr>
        <w:fldChar w:fldCharType="begin"/>
      </w:r>
      <w:r>
        <w:rPr>
          <w:rFonts w:cs="Times New Roman"/>
        </w:rPr>
        <w:instrText xml:space="preserve"> SEQ 图 \* ARABIC \s 2 </w:instrText>
      </w:r>
      <w:r>
        <w:rPr>
          <w:rFonts w:cs="Times New Roman"/>
        </w:rPr>
        <w:fldChar w:fldCharType="separate"/>
      </w:r>
      <w:r>
        <w:rPr>
          <w:rFonts w:cs="Times New Roman"/>
        </w:rPr>
        <w:t>1</w:t>
      </w:r>
      <w:r>
        <w:rPr>
          <w:rFonts w:cs="Times New Roman"/>
        </w:rPr>
        <w:fldChar w:fldCharType="end"/>
      </w:r>
      <w:r>
        <w:rPr>
          <w:rFonts w:cs="Times New Roman"/>
        </w:rPr>
        <w:t xml:space="preserve">  5G总体架构</w:t>
      </w:r>
    </w:p>
    <w:p>
      <w:pPr>
        <w:tabs>
          <w:tab w:val="left" w:pos="0"/>
        </w:tabs>
        <w:ind w:firstLine="480"/>
        <w:rPr>
          <w:rFonts w:cs="Times New Roman"/>
        </w:rPr>
      </w:pPr>
      <w:r>
        <w:rPr>
          <w:rFonts w:cs="Times New Roman"/>
        </w:rPr>
        <w:t>5G无线空口的关键技术主要体现在“新架构、新设计、新频段、新天线”四个方面：新架构秉持“以用户为中心”的无线网络设计理念，采用CU/DU两级架构，即集中式广域控制和分布式本地业务结合；在新设计方面，为了适应不同的业务需求以及不同商家不同的流量和物联网需求，设计了全动态结构的新系统，能做到动态帧结构和资源配置、灵活上下行时隙切换以及包括子载波、GP等在内的多种参数配置；新频段，由于超高频段的毫米波频段在满足多用户场景上的不足，5G广域覆盖主要依赖中低频段2.6GHz/4.9GHz；天线直接决定着移动通信的性能，新天线内容包括大规模天线及增强方案、新型波束管理机制等，以及透镜天线、稀疏阵等创新天线形态。</w:t>
      </w:r>
    </w:p>
    <w:p>
      <w:pPr>
        <w:pStyle w:val="5"/>
        <w:rPr>
          <w:rFonts w:cs="Times New Roman"/>
        </w:rPr>
      </w:pPr>
      <w:bookmarkStart w:id="177" w:name="_Toc21618"/>
      <w:bookmarkStart w:id="178" w:name="_Toc516487438"/>
      <w:bookmarkStart w:id="179" w:name="_Toc513803142"/>
      <w:bookmarkStart w:id="180" w:name="_Toc2868660"/>
      <w:r>
        <w:rPr>
          <w:rFonts w:cs="Times New Roman"/>
        </w:rPr>
        <w:t>5G无线新设计</w:t>
      </w:r>
      <w:bookmarkEnd w:id="177"/>
      <w:bookmarkEnd w:id="178"/>
      <w:bookmarkEnd w:id="179"/>
      <w:bookmarkEnd w:id="180"/>
    </w:p>
    <w:p>
      <w:pPr>
        <w:ind w:firstLine="480"/>
        <w:rPr>
          <w:rFonts w:cs="Times New Roman"/>
        </w:rPr>
      </w:pPr>
      <w:r>
        <w:rPr>
          <w:rFonts w:cs="Times New Roman"/>
        </w:rPr>
        <w:t>5G无线空口由layer 1—物理层、layer 2—MAC层和layer 3—RRC层组成。</w:t>
      </w:r>
    </w:p>
    <w:p>
      <w:pPr>
        <w:pStyle w:val="599"/>
        <w:ind w:firstLine="480"/>
        <w:rPr>
          <w:rFonts w:ascii="Times New Roman" w:hAnsi="Times New Roman" w:cs="Times New Roman"/>
        </w:rPr>
      </w:pPr>
      <w:r>
        <w:rPr>
          <w:rFonts w:ascii="Times New Roman" w:hAnsi="Times New Roman" w:cs="Times New Roman"/>
        </w:rPr>
        <w:drawing>
          <wp:inline distT="0" distB="0" distL="0" distR="0">
            <wp:extent cx="4255135" cy="1676400"/>
            <wp:effectExtent l="0" t="0" r="0" b="0"/>
            <wp:docPr id="28" name="图片 28" descr="C:\Users\x1carbon\AppData\Local\Temp\WeChat Files\453201269257537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x1carbon\AppData\Local\Temp\WeChat Files\45320126925753795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256193" cy="1676804"/>
                    </a:xfrm>
                    <a:prstGeom prst="rect">
                      <a:avLst/>
                    </a:prstGeom>
                    <a:noFill/>
                    <a:ln>
                      <a:noFill/>
                    </a:ln>
                  </pic:spPr>
                </pic:pic>
              </a:graphicData>
            </a:graphic>
          </wp:inline>
        </w:drawing>
      </w:r>
    </w:p>
    <w:p>
      <w:pPr>
        <w:pStyle w:val="603"/>
        <w:rPr>
          <w:rFonts w:cs="Times New Roman"/>
        </w:rPr>
      </w:pPr>
      <w:r>
        <w:rPr>
          <w:rFonts w:cs="Times New Roman"/>
        </w:rPr>
        <w:t>图</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.2</w:t>
      </w:r>
      <w:r>
        <w:rPr>
          <w:rFonts w:cs="Times New Roman"/>
        </w:rPr>
        <w:noBreakHyphen/>
      </w:r>
      <w:r>
        <w:rPr>
          <w:rFonts w:cs="Times New Roman"/>
        </w:rPr>
        <w:t>1  5G无线空口协议架构</w:t>
      </w:r>
    </w:p>
    <w:p>
      <w:pPr>
        <w:pStyle w:val="6"/>
        <w:rPr>
          <w:rFonts w:cs="Times New Roman"/>
        </w:rPr>
      </w:pPr>
      <w:bookmarkStart w:id="181" w:name="_Toc516487439"/>
      <w:bookmarkStart w:id="182" w:name="_Toc513803143"/>
      <w:r>
        <w:rPr>
          <w:rFonts w:cs="Times New Roman"/>
        </w:rPr>
        <w:t>帧结构</w:t>
      </w:r>
      <w:bookmarkEnd w:id="181"/>
      <w:bookmarkEnd w:id="182"/>
    </w:p>
    <w:p>
      <w:pPr>
        <w:ind w:firstLine="480"/>
        <w:rPr>
          <w:rFonts w:cs="Times New Roman"/>
        </w:rPr>
      </w:pPr>
      <w:r>
        <w:rPr>
          <w:rFonts w:cs="Times New Roman"/>
        </w:rPr>
        <w:t>相对于4G，5G要支持更多的应用场景，其中，超高可靠超低时延（uRLLC）是未来5G的关键应用场景之一，需要比LTE时隙更短的帧结构，5G最大的特点是支持灵活的帧结构。</w:t>
      </w:r>
    </w:p>
    <w:p>
      <w:pPr>
        <w:ind w:firstLine="480"/>
        <w:rPr>
          <w:rFonts w:cs="Times New Roman"/>
        </w:rPr>
      </w:pPr>
      <w:r>
        <w:rPr>
          <w:rFonts w:cs="Times New Roman"/>
        </w:rPr>
        <w:t>5G支持多个参数集（Numerology），其可混合和同时使用。Numerology由子载波间隔（subcarrier spacing）和循环前缀（cyclic prefix，简称CP）定义。在LTE/LTE-A中，子载波间隔是固定的15kHz，5G NR定义的最基本的子载波间隔也是15kHz，但可灵活扩展。所谓可灵活扩展，即NR的子载波间隔设为</w:t>
      </w:r>
      <w:r>
        <w:rPr>
          <w:rFonts w:cs="Times New Roman"/>
        </w:rPr>
        <w:object>
          <v:shape id="_x0000_i1025" o:spt="75" type="#_x0000_t75" style="height:20.25pt;width:45pt;" o:ole="t" filled="f" o:preferrelative="t" stroked="f" coordsize="21600,21600">
            <v:path/>
            <v:fill on="f" focussize="0,0"/>
            <v:stroke on="f" joinstyle="miter"/>
            <v:imagedata r:id="rId22" o:title=""/>
            <o:lock v:ext="edit" aspectratio="t"/>
            <w10:wrap type="none"/>
            <w10:anchorlock/>
          </v:shape>
          <o:OLEObject Type="Embed" ProgID="Equation.DSMT4" ShapeID="_x0000_i1025" DrawAspect="Content" ObjectID="_1468075725" r:id="rId21">
            <o:LockedField>false</o:LockedField>
          </o:OLEObject>
        </w:object>
      </w:r>
      <w:r>
        <w:rPr>
          <w:rFonts w:cs="Times New Roman"/>
        </w:rPr>
        <w:t>kHz，</w:t>
      </w:r>
      <w:r>
        <w:rPr>
          <w:rFonts w:cs="Times New Roman"/>
        </w:rPr>
        <w:object>
          <v:shape id="_x0000_i1026" o:spt="75" type="#_x0000_t75" style="height:21pt;width:69.75pt;" o:ole="t" filled="f" o:preferrelative="t" stroked="f" coordsize="21600,21600">
            <v:path/>
            <v:fill on="f" focussize="0,0"/>
            <v:stroke on="f" joinstyle="miter"/>
            <v:imagedata r:id="rId24" o:title=""/>
            <o:lock v:ext="edit" aspectratio="t"/>
            <w10:wrap type="none"/>
            <w10:anchorlock/>
          </v:shape>
          <o:OLEObject Type="Embed" ProgID="Equation.DSMT4" ShapeID="_x0000_i1026" DrawAspect="Content" ObjectID="_1468075726" r:id="rId23">
            <o:LockedField>false</o:LockedField>
          </o:OLEObject>
        </w:object>
      </w:r>
      <w:r>
        <w:rPr>
          <w:rFonts w:cs="Times New Roman"/>
        </w:rPr>
        <w:t>，也就是说子载波间隔可以设为15kHz、30kHz、60kHz、120kHz、240kHz，如下表：</w:t>
      </w:r>
    </w:p>
    <w:p>
      <w:pPr>
        <w:pStyle w:val="603"/>
        <w:rPr>
          <w:rFonts w:cs="Times New Roman"/>
        </w:rPr>
      </w:pPr>
      <w:r>
        <w:rPr>
          <w:rFonts w:cs="Times New Roman"/>
        </w:rPr>
        <w:t>表</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w:t>
      </w:r>
      <w:r>
        <w:rPr>
          <w:rFonts w:hint="eastAsia" w:cs="Times New Roman"/>
        </w:rPr>
        <w:t>2</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1</w:t>
      </w:r>
      <w:r>
        <w:rPr>
          <w:rFonts w:cs="Times New Roman"/>
        </w:rPr>
        <w:fldChar w:fldCharType="end"/>
      </w:r>
      <w:r>
        <w:rPr>
          <w:rFonts w:cs="Times New Roman"/>
        </w:rPr>
        <w:t xml:space="preserve">  5G无线空口子载波间隔和循环前缀参数集</w:t>
      </w:r>
    </w:p>
    <w:tbl>
      <w:tblPr>
        <w:tblStyle w:val="63"/>
        <w:tblW w:w="48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129" w:type="dxa"/>
            <w:tcBorders>
              <w:top w:val="single" w:color="auto" w:sz="4" w:space="0"/>
              <w:left w:val="single" w:color="auto" w:sz="4" w:space="0"/>
              <w:bottom w:val="single" w:color="auto" w:sz="4" w:space="0"/>
              <w:right w:val="single" w:color="auto" w:sz="4" w:space="0"/>
            </w:tcBorders>
            <w:vAlign w:val="center"/>
          </w:tcPr>
          <w:p>
            <w:pPr>
              <w:pStyle w:val="290"/>
            </w:pPr>
            <w:r>
              <w:object>
                <v:shape id="_x0000_i1027" o:spt="75" type="#_x0000_t75" style="height:12pt;width:12pt;" o:ole="t" filled="f" o:preferrelative="t" stroked="f" coordsize="21600,21600">
                  <v:path/>
                  <v:fill on="f" focussize="0,0"/>
                  <v:stroke on="f" joinstyle="miter"/>
                  <v:imagedata r:id="rId26" o:title=""/>
                  <o:lock v:ext="edit" aspectratio="t"/>
                  <w10:wrap type="none"/>
                  <w10:anchorlock/>
                </v:shape>
                <o:OLEObject Type="Embed" ProgID="Equation.3" ShapeID="_x0000_i1027" DrawAspect="Content" ObjectID="_1468075727" r:id="rId25">
                  <o:LockedField>false</o:LockedField>
                </o:OLEObject>
              </w:object>
            </w:r>
          </w:p>
        </w:tc>
        <w:tc>
          <w:tcPr>
            <w:tcW w:w="1843"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28" o:spt="75" type="#_x0000_t75" style="height:17.25pt;width:74.25pt;" o:ole="t" filled="f" o:preferrelative="t" stroked="f" coordsize="21600,21600">
                  <v:path/>
                  <v:fill on="f" focussize="0,0"/>
                  <v:stroke on="f" joinstyle="miter"/>
                  <v:imagedata r:id="rId28" o:title=""/>
                  <o:lock v:ext="edit" aspectratio="t"/>
                  <w10:wrap type="none"/>
                  <w10:anchorlock/>
                </v:shape>
                <o:OLEObject Type="Embed" ProgID="Equation.3" ShapeID="_x0000_i1028" DrawAspect="Content" ObjectID="_1468075728" r:id="rId27">
                  <o:LockedField>false</o:LockedField>
                </o:OLEObject>
              </w:object>
            </w:r>
          </w:p>
        </w:tc>
        <w:tc>
          <w:tcPr>
            <w:tcW w:w="1843" w:type="dxa"/>
            <w:tcBorders>
              <w:top w:val="single" w:color="auto" w:sz="4" w:space="0"/>
              <w:left w:val="single" w:color="auto" w:sz="4" w:space="0"/>
              <w:bottom w:val="single" w:color="auto" w:sz="4" w:space="0"/>
              <w:right w:val="single" w:color="auto" w:sz="4" w:space="0"/>
            </w:tcBorders>
            <w:vAlign w:val="center"/>
          </w:tcPr>
          <w:p>
            <w:pPr>
              <w:pStyle w:val="290"/>
              <w:rPr>
                <w:b/>
              </w:rPr>
            </w:pPr>
            <w:r>
              <w:t>Cyclic prefix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15</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1</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30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2</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60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 Extended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3</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120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Borders>
              <w:top w:val="single" w:color="auto" w:sz="4" w:space="0"/>
              <w:left w:val="single" w:color="auto" w:sz="4" w:space="0"/>
              <w:bottom w:val="single" w:color="auto" w:sz="4" w:space="0"/>
              <w:right w:val="single" w:color="auto" w:sz="4" w:space="0"/>
            </w:tcBorders>
          </w:tcPr>
          <w:p>
            <w:pPr>
              <w:pStyle w:val="290"/>
            </w:pPr>
            <w:r>
              <w:t>4</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240</w:t>
            </w:r>
          </w:p>
        </w:tc>
        <w:tc>
          <w:tcPr>
            <w:tcW w:w="1843" w:type="dxa"/>
            <w:tcBorders>
              <w:top w:val="single" w:color="auto" w:sz="4" w:space="0"/>
              <w:left w:val="single" w:color="auto" w:sz="4" w:space="0"/>
              <w:bottom w:val="single" w:color="auto" w:sz="4" w:space="0"/>
              <w:right w:val="single" w:color="auto" w:sz="4" w:space="0"/>
            </w:tcBorders>
          </w:tcPr>
          <w:p>
            <w:pPr>
              <w:pStyle w:val="290"/>
              <w:rPr>
                <w:b/>
              </w:rPr>
            </w:pPr>
            <w:r>
              <w:t>Normal</w:t>
            </w:r>
          </w:p>
        </w:tc>
      </w:tr>
    </w:tbl>
    <w:p>
      <w:pPr>
        <w:ind w:firstLine="480"/>
        <w:rPr>
          <w:rFonts w:cs="Times New Roman"/>
        </w:rPr>
      </w:pPr>
      <w:r>
        <w:rPr>
          <w:rFonts w:cs="Times New Roman"/>
        </w:rPr>
        <w:t>一个无线帧（frame）由10个子帧（subframe）组成，每个子帧持续时间为1ms。每个子帧由一个或多个时隙（slot）构成。对于Normal CP：</w:t>
      </w:r>
    </w:p>
    <w:p>
      <w:pPr>
        <w:pStyle w:val="603"/>
        <w:rPr>
          <w:rFonts w:cs="Times New Roman"/>
        </w:rPr>
      </w:pPr>
      <w:r>
        <w:rPr>
          <w:rFonts w:cs="Times New Roman"/>
        </w:rPr>
        <w:t>表</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w:t>
      </w:r>
      <w:r>
        <w:rPr>
          <w:rFonts w:hint="eastAsia" w:cs="Times New Roman"/>
        </w:rPr>
        <w:t>2</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2</w:t>
      </w:r>
      <w:r>
        <w:rPr>
          <w:rFonts w:cs="Times New Roman"/>
        </w:rPr>
        <w:fldChar w:fldCharType="end"/>
      </w:r>
      <w:r>
        <w:rPr>
          <w:rFonts w:cs="Times New Roman"/>
        </w:rPr>
        <w:t xml:space="preserve">  5G无线空口桢结构参数集（1）</w:t>
      </w:r>
    </w:p>
    <w:tbl>
      <w:tblPr>
        <w:tblStyle w:val="63"/>
        <w:tblW w:w="51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1416"/>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852" w:type="dxa"/>
            <w:tcBorders>
              <w:top w:val="single" w:color="auto" w:sz="4" w:space="0"/>
              <w:left w:val="single" w:color="auto" w:sz="4" w:space="0"/>
              <w:bottom w:val="single" w:color="auto" w:sz="4" w:space="0"/>
              <w:right w:val="single" w:color="auto" w:sz="4" w:space="0"/>
            </w:tcBorders>
            <w:vAlign w:val="center"/>
          </w:tcPr>
          <w:p>
            <w:pPr>
              <w:pStyle w:val="290"/>
              <w:rPr>
                <w:rFonts w:eastAsia="Batang"/>
              </w:rPr>
            </w:pPr>
            <w:r>
              <w:object>
                <v:shape id="_x0000_i1029" o:spt="75" type="#_x0000_t75" style="height:12pt;width:12pt;" o:ole="t" filled="f" o:preferrelative="t" stroked="f" coordsize="21600,21600">
                  <v:path/>
                  <v:fill on="f" focussize="0,0"/>
                  <v:stroke on="f" joinstyle="miter"/>
                  <v:imagedata r:id="rId30" o:title=""/>
                  <o:lock v:ext="edit" aspectratio="t"/>
                  <w10:wrap type="none"/>
                  <w10:anchorlock/>
                </v:shape>
                <o:OLEObject Type="Embed" ProgID="Equation.3" ShapeID="_x0000_i1029" DrawAspect="Content" ObjectID="_1468075729" r:id="rId29">
                  <o:LockedField>false</o:LockedField>
                </o:OLEObject>
              </w:object>
            </w:r>
          </w:p>
        </w:tc>
        <w:tc>
          <w:tcPr>
            <w:tcW w:w="1416"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0" o:spt="75" type="#_x0000_t75" style="height:21pt;width:27pt;" o:ole="t" filled="f" o:preferrelative="t" stroked="f" coordsize="21600,21600">
                  <v:path/>
                  <v:fill on="f" focussize="0,0"/>
                  <v:stroke on="f" joinstyle="miter"/>
                  <v:imagedata r:id="rId32" o:title=""/>
                  <o:lock v:ext="edit" aspectratio="t"/>
                  <w10:wrap type="none"/>
                  <w10:anchorlock/>
                </v:shape>
                <o:OLEObject Type="Embed" ProgID="Equation.3" ShapeID="_x0000_i1030" DrawAspect="Content" ObjectID="_1468075730" r:id="rId31">
                  <o:LockedField>false</o:LockedField>
                </o:OLEObject>
              </w:object>
            </w:r>
          </w:p>
        </w:tc>
        <w:tc>
          <w:tcPr>
            <w:tcW w:w="1559" w:type="dxa"/>
            <w:tcBorders>
              <w:top w:val="single" w:color="auto" w:sz="4" w:space="0"/>
              <w:left w:val="single" w:color="auto" w:sz="4" w:space="0"/>
              <w:bottom w:val="single" w:color="auto" w:sz="4" w:space="0"/>
              <w:right w:val="single" w:color="auto" w:sz="4" w:space="0"/>
            </w:tcBorders>
            <w:vAlign w:val="center"/>
          </w:tcPr>
          <w:p>
            <w:pPr>
              <w:pStyle w:val="290"/>
              <w:rPr>
                <w:rFonts w:eastAsia="Batang"/>
                <w:b/>
              </w:rPr>
            </w:pPr>
            <w:r>
              <w:object>
                <v:shape id="_x0000_i1031" o:spt="75" type="#_x0000_t75" style="height:20.25pt;width:36pt;" o:ole="t" filled="f" o:preferrelative="t" stroked="f" coordsize="21600,21600">
                  <v:path/>
                  <v:fill on="f" focussize="0,0"/>
                  <v:stroke on="f" joinstyle="miter"/>
                  <v:imagedata r:id="rId34" o:title=""/>
                  <o:lock v:ext="edit" aspectratio="t"/>
                  <w10:wrap type="none"/>
                  <w10:anchorlock/>
                </v:shape>
                <o:OLEObject Type="Embed" ProgID="Equation.3" ShapeID="_x0000_i1031" DrawAspect="Content" ObjectID="_1468075731" r:id="rId33">
                  <o:LockedField>false</o:LockedField>
                </o:OLEObject>
              </w:objec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rPr>
                <w:rFonts w:eastAsia="Batang"/>
                <w:b/>
              </w:rPr>
            </w:pPr>
            <w:r>
              <w:object>
                <v:shape id="_x0000_i1032" o:spt="75" type="#_x0000_t75" style="height:20.25pt;width:45pt;" o:ole="t" filled="f" o:preferrelative="t" stroked="f" coordsize="21600,21600">
                  <v:path/>
                  <v:fill on="f" focussize="0,0"/>
                  <v:stroke on="f" joinstyle="miter"/>
                  <v:imagedata r:id="rId36" o:title=""/>
                  <o:lock v:ext="edit" aspectratio="t"/>
                  <w10:wrap type="none"/>
                  <w10:anchorlock/>
                </v:shape>
                <o:OLEObject Type="Embed" ProgID="Equation.3" ShapeID="_x0000_i1032" DrawAspect="Content" ObjectID="_1468075732" r:id="rId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0</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10</w:t>
            </w:r>
          </w:p>
        </w:tc>
        <w:tc>
          <w:tcPr>
            <w:tcW w:w="1276" w:type="dxa"/>
            <w:tcBorders>
              <w:top w:val="single" w:color="auto" w:sz="4" w:space="0"/>
              <w:left w:val="single" w:color="auto" w:sz="4" w:space="0"/>
              <w:bottom w:val="single" w:color="auto" w:sz="4" w:space="0"/>
              <w:right w:val="single" w:color="auto" w:sz="4" w:space="0"/>
            </w:tcBorders>
          </w:tcPr>
          <w:p>
            <w:pPr>
              <w:pStyle w:val="29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 w:hRule="atLeast"/>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1</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20</w:t>
            </w:r>
          </w:p>
        </w:tc>
        <w:tc>
          <w:tcPr>
            <w:tcW w:w="1276" w:type="dxa"/>
            <w:tcBorders>
              <w:top w:val="single" w:color="auto" w:sz="4" w:space="0"/>
              <w:left w:val="single" w:color="auto" w:sz="4" w:space="0"/>
              <w:bottom w:val="single" w:color="auto" w:sz="4" w:space="0"/>
              <w:right w:val="single" w:color="auto" w:sz="4" w:space="0"/>
            </w:tcBorders>
          </w:tcPr>
          <w:p>
            <w:pPr>
              <w:pStyle w:val="290"/>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2</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40</w:t>
            </w:r>
          </w:p>
        </w:tc>
        <w:tc>
          <w:tcPr>
            <w:tcW w:w="1276" w:type="dxa"/>
            <w:tcBorders>
              <w:top w:val="single" w:color="auto" w:sz="4" w:space="0"/>
              <w:left w:val="single" w:color="auto" w:sz="4" w:space="0"/>
              <w:bottom w:val="single" w:color="auto" w:sz="4" w:space="0"/>
              <w:right w:val="single" w:color="auto" w:sz="4" w:space="0"/>
            </w:tcBorders>
          </w:tcPr>
          <w:p>
            <w:pPr>
              <w:pStyle w:val="290"/>
            </w:pP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3</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80</w:t>
            </w:r>
          </w:p>
        </w:tc>
        <w:tc>
          <w:tcPr>
            <w:tcW w:w="1276" w:type="dxa"/>
            <w:tcBorders>
              <w:top w:val="single" w:color="auto" w:sz="4" w:space="0"/>
              <w:left w:val="single" w:color="auto" w:sz="4" w:space="0"/>
              <w:bottom w:val="single" w:color="auto" w:sz="4" w:space="0"/>
              <w:right w:val="single" w:color="auto" w:sz="4" w:space="0"/>
            </w:tcBorders>
          </w:tcPr>
          <w:p>
            <w:pPr>
              <w:pStyle w:val="290"/>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4</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14</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160</w:t>
            </w:r>
          </w:p>
        </w:tc>
        <w:tc>
          <w:tcPr>
            <w:tcW w:w="1276" w:type="dxa"/>
            <w:tcBorders>
              <w:top w:val="single" w:color="auto" w:sz="4" w:space="0"/>
              <w:left w:val="single" w:color="auto" w:sz="4" w:space="0"/>
              <w:bottom w:val="single" w:color="auto" w:sz="4" w:space="0"/>
              <w:right w:val="single" w:color="auto" w:sz="4" w:space="0"/>
            </w:tcBorders>
          </w:tcPr>
          <w:p>
            <w:pPr>
              <w:pStyle w:val="290"/>
              <w:rPr>
                <w:b/>
              </w:rPr>
            </w:pPr>
            <w:r>
              <w:t>16</w:t>
            </w:r>
          </w:p>
        </w:tc>
      </w:tr>
    </w:tbl>
    <w:p>
      <w:pPr>
        <w:ind w:firstLine="480"/>
        <w:rPr>
          <w:rFonts w:cs="Times New Roman"/>
        </w:rPr>
      </w:pPr>
      <w:r>
        <w:rPr>
          <w:rFonts w:cs="Times New Roman"/>
        </w:rPr>
        <w:t>对于Extended CP：</w:t>
      </w:r>
    </w:p>
    <w:p>
      <w:pPr>
        <w:pStyle w:val="603"/>
        <w:rPr>
          <w:rFonts w:cs="Times New Roman"/>
        </w:rPr>
      </w:pPr>
      <w:r>
        <w:rPr>
          <w:rFonts w:cs="Times New Roman"/>
        </w:rPr>
        <w:t>表</w:t>
      </w:r>
      <w:r>
        <w:rPr>
          <w:rFonts w:cs="Times New Roman"/>
        </w:rPr>
        <w:fldChar w:fldCharType="begin"/>
      </w:r>
      <w:r>
        <w:rPr>
          <w:rFonts w:cs="Times New Roman"/>
        </w:rPr>
        <w:instrText xml:space="preserve"> STYLEREF 2 \s </w:instrText>
      </w:r>
      <w:r>
        <w:rPr>
          <w:rFonts w:cs="Times New Roman"/>
        </w:rPr>
        <w:fldChar w:fldCharType="separate"/>
      </w:r>
      <w:r>
        <w:rPr>
          <w:rFonts w:cs="Times New Roman"/>
        </w:rPr>
        <w:t>4</w:t>
      </w:r>
      <w:r>
        <w:rPr>
          <w:rFonts w:cs="Times New Roman"/>
        </w:rPr>
        <w:fldChar w:fldCharType="end"/>
      </w:r>
      <w:r>
        <w:rPr>
          <w:rFonts w:cs="Times New Roman"/>
        </w:rPr>
        <w:t>.</w:t>
      </w:r>
      <w:r>
        <w:rPr>
          <w:rFonts w:hint="eastAsia" w:cs="Times New Roman"/>
        </w:rPr>
        <w:t>2</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3</w:t>
      </w:r>
      <w:r>
        <w:rPr>
          <w:rFonts w:cs="Times New Roman"/>
        </w:rPr>
        <w:fldChar w:fldCharType="end"/>
      </w:r>
      <w:r>
        <w:rPr>
          <w:rFonts w:cs="Times New Roman"/>
        </w:rPr>
        <w:t xml:space="preserve">  5G无线空口桢结构参数集（2）</w:t>
      </w:r>
    </w:p>
    <w:tbl>
      <w:tblPr>
        <w:tblStyle w:val="63"/>
        <w:tblW w:w="51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1416"/>
        <w:gridCol w:w="1559"/>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852" w:type="dxa"/>
            <w:tcBorders>
              <w:top w:val="single" w:color="auto" w:sz="4" w:space="0"/>
              <w:left w:val="single" w:color="auto" w:sz="4" w:space="0"/>
              <w:bottom w:val="single" w:color="auto" w:sz="4" w:space="0"/>
              <w:right w:val="single" w:color="auto" w:sz="4" w:space="0"/>
            </w:tcBorders>
            <w:vAlign w:val="center"/>
          </w:tcPr>
          <w:p>
            <w:pPr>
              <w:pStyle w:val="290"/>
            </w:pPr>
            <w:r>
              <w:object>
                <v:shape id="_x0000_i1033" o:spt="75" type="#_x0000_t75" style="height:12pt;width:12pt;" o:ole="t" filled="f" o:preferrelative="t" stroked="f" coordsize="21600,21600">
                  <v:path/>
                  <v:fill on="f" focussize="0,0"/>
                  <v:stroke on="f" joinstyle="miter"/>
                  <v:imagedata r:id="rId30" o:title=""/>
                  <o:lock v:ext="edit" aspectratio="t"/>
                  <w10:wrap type="none"/>
                  <w10:anchorlock/>
                </v:shape>
                <o:OLEObject Type="Embed" ProgID="Equation.3" ShapeID="_x0000_i1033" DrawAspect="Content" ObjectID="_1468075733" r:id="rId37">
                  <o:LockedField>false</o:LockedField>
                </o:OLEObject>
              </w:object>
            </w:r>
          </w:p>
        </w:tc>
        <w:tc>
          <w:tcPr>
            <w:tcW w:w="1416"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4" o:spt="75" type="#_x0000_t75" style="height:21pt;width:27pt;" o:ole="t" filled="f" o:preferrelative="t" stroked="f" coordsize="21600,21600">
                  <v:path/>
                  <v:fill on="f" focussize="0,0"/>
                  <v:stroke on="f" joinstyle="miter"/>
                  <v:imagedata r:id="rId32" o:title=""/>
                  <o:lock v:ext="edit" aspectratio="t"/>
                  <w10:wrap type="none"/>
                  <w10:anchorlock/>
                </v:shape>
                <o:OLEObject Type="Embed" ProgID="Equation.3" ShapeID="_x0000_i1034" DrawAspect="Content" ObjectID="_1468075734" r:id="rId38">
                  <o:LockedField>false</o:LockedField>
                </o:OLEObject>
              </w:object>
            </w:r>
          </w:p>
        </w:tc>
        <w:tc>
          <w:tcPr>
            <w:tcW w:w="1559"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5" o:spt="75" type="#_x0000_t75" style="height:20.25pt;width:36pt;" o:ole="t" filled="f" o:preferrelative="t" stroked="f" coordsize="21600,21600">
                  <v:path/>
                  <v:fill on="f" focussize="0,0"/>
                  <v:stroke on="f" joinstyle="miter"/>
                  <v:imagedata r:id="rId34" o:title=""/>
                  <o:lock v:ext="edit" aspectratio="t"/>
                  <w10:wrap type="none"/>
                  <w10:anchorlock/>
                </v:shape>
                <o:OLEObject Type="Embed" ProgID="Equation.3" ShapeID="_x0000_i1035" DrawAspect="Content" ObjectID="_1468075735" r:id="rId39">
                  <o:LockedField>false</o:LockedField>
                </o:OLEObject>
              </w:objec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rPr>
                <w:b/>
              </w:rPr>
            </w:pPr>
            <w:r>
              <w:object>
                <v:shape id="_x0000_i1036" o:spt="75" type="#_x0000_t75" style="height:20.25pt;width:45pt;" o:ole="t"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36" r:id="rId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Borders>
              <w:top w:val="single" w:color="auto" w:sz="4" w:space="0"/>
              <w:left w:val="single" w:color="auto" w:sz="4" w:space="0"/>
              <w:bottom w:val="single" w:color="auto" w:sz="4" w:space="0"/>
              <w:right w:val="single" w:color="auto" w:sz="4" w:space="0"/>
            </w:tcBorders>
          </w:tcPr>
          <w:p>
            <w:pPr>
              <w:pStyle w:val="290"/>
            </w:pPr>
            <w:r>
              <w:t>2</w:t>
            </w:r>
          </w:p>
        </w:tc>
        <w:tc>
          <w:tcPr>
            <w:tcW w:w="1416" w:type="dxa"/>
            <w:tcBorders>
              <w:top w:val="single" w:color="auto" w:sz="4" w:space="0"/>
              <w:left w:val="single" w:color="auto" w:sz="4" w:space="0"/>
              <w:bottom w:val="single" w:color="auto" w:sz="4" w:space="0"/>
              <w:right w:val="single" w:color="auto" w:sz="4" w:space="0"/>
            </w:tcBorders>
          </w:tcPr>
          <w:p>
            <w:pPr>
              <w:pStyle w:val="290"/>
              <w:rPr>
                <w:b/>
              </w:rPr>
            </w:pPr>
            <w:r>
              <w:t>12</w:t>
            </w:r>
          </w:p>
        </w:tc>
        <w:tc>
          <w:tcPr>
            <w:tcW w:w="1559" w:type="dxa"/>
            <w:tcBorders>
              <w:top w:val="single" w:color="auto" w:sz="4" w:space="0"/>
              <w:left w:val="single" w:color="auto" w:sz="4" w:space="0"/>
              <w:bottom w:val="single" w:color="auto" w:sz="4" w:space="0"/>
              <w:right w:val="single" w:color="auto" w:sz="4" w:space="0"/>
            </w:tcBorders>
          </w:tcPr>
          <w:p>
            <w:pPr>
              <w:pStyle w:val="290"/>
              <w:rPr>
                <w:b/>
              </w:rPr>
            </w:pPr>
            <w:r>
              <w:t>40</w:t>
            </w:r>
          </w:p>
        </w:tc>
        <w:tc>
          <w:tcPr>
            <w:tcW w:w="1276" w:type="dxa"/>
            <w:tcBorders>
              <w:top w:val="single" w:color="auto" w:sz="4" w:space="0"/>
              <w:left w:val="single" w:color="auto" w:sz="4" w:space="0"/>
              <w:bottom w:val="single" w:color="auto" w:sz="4" w:space="0"/>
              <w:right w:val="single" w:color="auto" w:sz="4" w:space="0"/>
            </w:tcBorders>
          </w:tcPr>
          <w:p>
            <w:pPr>
              <w:pStyle w:val="290"/>
            </w:pPr>
            <w:r>
              <w:t>4</w:t>
            </w:r>
          </w:p>
        </w:tc>
      </w:tr>
    </w:tbl>
    <w:p>
      <w:pPr>
        <w:pStyle w:val="6"/>
        <w:rPr>
          <w:rFonts w:cs="Times New Roman"/>
        </w:rPr>
      </w:pPr>
      <w:bookmarkStart w:id="183" w:name="_Toc516487440"/>
      <w:bookmarkStart w:id="184" w:name="_Toc513803144"/>
      <w:r>
        <w:rPr>
          <w:rFonts w:cs="Times New Roman"/>
        </w:rPr>
        <w:t>多址接入</w:t>
      </w:r>
      <w:bookmarkEnd w:id="183"/>
      <w:bookmarkEnd w:id="184"/>
    </w:p>
    <w:p>
      <w:pPr>
        <w:ind w:firstLine="480"/>
        <w:rPr>
          <w:rFonts w:cs="Times New Roman"/>
        </w:rPr>
      </w:pPr>
      <w:r>
        <w:rPr>
          <w:rFonts w:cs="Times New Roman"/>
        </w:rPr>
        <w:t>5G NR物理层的多址接入方案是基于具有循环前缀(CP)的正交频分复用(OFDM)技术。对于上行链路，还支持带有CP的离散傅里叶变换-扩频-OFDM(DFTs-OFDM)。为了在配对或未配对频谱中传输，需要支持频分双工(FDD)和时分双工(TDD)两种方式。5G NR物理层基于资源块（RB）的方式定义，可适应各种频谱分配。一个RB包括12个子载波。</w:t>
      </w:r>
    </w:p>
    <w:p>
      <w:pPr>
        <w:pStyle w:val="6"/>
        <w:rPr>
          <w:rFonts w:cs="Times New Roman"/>
        </w:rPr>
      </w:pPr>
      <w:bookmarkStart w:id="185" w:name="_Toc513803145"/>
      <w:bookmarkStart w:id="186" w:name="_Toc516487441"/>
      <w:r>
        <w:rPr>
          <w:rFonts w:cs="Times New Roman"/>
        </w:rPr>
        <w:t>物理信道与调制方式</w:t>
      </w:r>
      <w:bookmarkEnd w:id="185"/>
      <w:bookmarkEnd w:id="186"/>
    </w:p>
    <w:p>
      <w:pPr>
        <w:ind w:firstLine="480"/>
        <w:rPr>
          <w:rFonts w:cs="Times New Roman"/>
        </w:rPr>
      </w:pPr>
      <w:r>
        <w:rPr>
          <w:rFonts w:cs="Times New Roman"/>
        </w:rPr>
        <w:t>下行链路中定义的物理信道有：物理下行共享信道(PDSCH)，物理下行控制信道(PDCCH)，物理广播频道（PBCH）。</w:t>
      </w:r>
    </w:p>
    <w:p>
      <w:pPr>
        <w:ind w:firstLine="480"/>
        <w:rPr>
          <w:rFonts w:cs="Times New Roman"/>
        </w:rPr>
      </w:pPr>
      <w:r>
        <w:rPr>
          <w:rFonts w:cs="Times New Roman"/>
        </w:rPr>
        <w:t>上行链路中定义的物理信道有：物理随机接入信道(PRACH)，物理上行共享信道(PUSCH)，物理上行控制信道(PUCCH)。此外还定义了参考信号、主同步信号和辅同步信号。</w:t>
      </w:r>
    </w:p>
    <w:p>
      <w:pPr>
        <w:ind w:firstLine="480"/>
        <w:rPr>
          <w:rFonts w:cs="Times New Roman"/>
        </w:rPr>
      </w:pPr>
      <w:r>
        <w:rPr>
          <w:rFonts w:cs="Times New Roman"/>
        </w:rPr>
        <w:t>所支持的调制方式有：下行链路支持QPSK、16 QAM、64 QAM和256 QAM，上行链路中，对于具有CP的OFDM，支持QPSK、16 QAM、64 QAM和256 QAM；对于具有CP的DFTs-OFDM ，支持π/2-BPSK、QPSK、16 QAM、64 QAM和256 QAM。</w:t>
      </w:r>
    </w:p>
    <w:p>
      <w:pPr>
        <w:pStyle w:val="6"/>
        <w:rPr>
          <w:rFonts w:cs="Times New Roman"/>
        </w:rPr>
      </w:pPr>
      <w:bookmarkStart w:id="187" w:name="_Toc516487442"/>
      <w:r>
        <w:rPr>
          <w:rFonts w:cs="Times New Roman"/>
        </w:rPr>
        <w:t>参考信号</w:t>
      </w:r>
      <w:bookmarkEnd w:id="187"/>
    </w:p>
    <w:p>
      <w:pPr>
        <w:ind w:firstLine="480"/>
        <w:rPr>
          <w:rFonts w:cs="Times New Roman"/>
        </w:rPr>
      </w:pPr>
      <w:r>
        <w:rPr>
          <w:rFonts w:cs="Times New Roman"/>
        </w:rPr>
        <w:t>5G NR物理层中有诸多参考信号，取消了LTE小区级参考信号CRS，根据时频域资源的分配模式新增了一些物理层参考信号，例如DM-RS、PT-RS等。5G NR下行物理参考信号包括：</w:t>
      </w:r>
    </w:p>
    <w:p>
      <w:pPr>
        <w:ind w:firstLine="480"/>
        <w:rPr>
          <w:rFonts w:cs="Times New Roman"/>
        </w:rPr>
      </w:pPr>
      <w:r>
        <w:rPr>
          <w:rFonts w:cs="Times New Roman"/>
        </w:rPr>
        <w:t>Demodulation reference signals, DM-RS, 关于PDSCH以及PBCH信道的解调参考信号；</w:t>
      </w:r>
    </w:p>
    <w:p>
      <w:pPr>
        <w:ind w:firstLine="480"/>
        <w:rPr>
          <w:rFonts w:cs="Times New Roman"/>
        </w:rPr>
      </w:pPr>
      <w:r>
        <w:rPr>
          <w:rFonts w:cs="Times New Roman"/>
        </w:rPr>
        <w:t>Phase-tracking reference signals, PT-RS，相位追踪参考信号；</w:t>
      </w:r>
    </w:p>
    <w:p>
      <w:pPr>
        <w:ind w:firstLine="480"/>
        <w:rPr>
          <w:rFonts w:cs="Times New Roman"/>
        </w:rPr>
      </w:pPr>
      <w:r>
        <w:rPr>
          <w:rFonts w:cs="Times New Roman"/>
        </w:rPr>
        <w:t>Channel-state information reference signal,CSI-RS，信道状态参考信息；</w:t>
      </w:r>
    </w:p>
    <w:p>
      <w:pPr>
        <w:ind w:firstLine="480"/>
        <w:rPr>
          <w:rFonts w:cs="Times New Roman"/>
        </w:rPr>
      </w:pPr>
      <w:r>
        <w:rPr>
          <w:rFonts w:cs="Times New Roman"/>
        </w:rPr>
        <w:t>Primary synchronization signal, PSS，主同步信号；</w:t>
      </w:r>
    </w:p>
    <w:p>
      <w:pPr>
        <w:ind w:firstLine="480"/>
        <w:rPr>
          <w:rFonts w:cs="Times New Roman"/>
        </w:rPr>
      </w:pPr>
      <w:r>
        <w:rPr>
          <w:rFonts w:cs="Times New Roman"/>
        </w:rPr>
        <w:t>Secondary synchronization signal, SSS，辅同步信号。</w:t>
      </w:r>
    </w:p>
    <w:p>
      <w:pPr>
        <w:ind w:firstLine="480"/>
        <w:rPr>
          <w:rFonts w:cs="Times New Roman"/>
        </w:rPr>
      </w:pPr>
      <w:r>
        <w:rPr>
          <w:rFonts w:cs="Times New Roman"/>
        </w:rPr>
        <w:t>而上行物理参考信号包括：</w:t>
      </w:r>
    </w:p>
    <w:p>
      <w:pPr>
        <w:ind w:firstLine="480"/>
        <w:rPr>
          <w:rFonts w:cs="Times New Roman"/>
        </w:rPr>
      </w:pPr>
      <w:r>
        <w:rPr>
          <w:rFonts w:cs="Times New Roman"/>
        </w:rPr>
        <w:t>Demodulation reference signals, DM-RS，解调参考信号；</w:t>
      </w:r>
    </w:p>
    <w:p>
      <w:pPr>
        <w:ind w:firstLine="480"/>
        <w:rPr>
          <w:rFonts w:cs="Times New Roman"/>
        </w:rPr>
      </w:pPr>
      <w:r>
        <w:rPr>
          <w:rFonts w:cs="Times New Roman"/>
        </w:rPr>
        <w:t>Phase-tracking reference signals, PT-RS，相位追踪参考信号；</w:t>
      </w:r>
    </w:p>
    <w:p>
      <w:pPr>
        <w:ind w:firstLine="480"/>
        <w:rPr>
          <w:rFonts w:cs="Times New Roman"/>
        </w:rPr>
      </w:pPr>
      <w:r>
        <w:rPr>
          <w:rFonts w:cs="Times New Roman"/>
        </w:rPr>
        <w:t>Sounding reference signal, SRS，探测参考信号。</w:t>
      </w:r>
    </w:p>
    <w:p>
      <w:pPr>
        <w:ind w:firstLine="480"/>
        <w:rPr>
          <w:rFonts w:cs="Times New Roman"/>
        </w:rPr>
      </w:pPr>
      <w:r>
        <w:rPr>
          <w:rFonts w:cs="Times New Roman"/>
        </w:rPr>
        <w:t>5G NR的时频域资源配置是非常灵活的，控制信道并没有像LTE那样进行全频带设计，因此在5G NR中也不需要进行全频带的小区参考信号设计，相应的也节省了一部分的RE资源，可以使得时频域资源调度更加灵活。</w:t>
      </w:r>
    </w:p>
    <w:p>
      <w:pPr>
        <w:pStyle w:val="6"/>
        <w:rPr>
          <w:rFonts w:cs="Times New Roman"/>
        </w:rPr>
      </w:pPr>
      <w:bookmarkStart w:id="188" w:name="_Toc513803146"/>
      <w:bookmarkStart w:id="189" w:name="_Toc516487443"/>
      <w:r>
        <w:rPr>
          <w:rFonts w:cs="Times New Roman"/>
        </w:rPr>
        <w:t>信道编码</w:t>
      </w:r>
      <w:bookmarkEnd w:id="188"/>
      <w:bookmarkEnd w:id="189"/>
    </w:p>
    <w:p>
      <w:pPr>
        <w:ind w:firstLine="480"/>
        <w:rPr>
          <w:rFonts w:cs="Times New Roman"/>
        </w:rPr>
      </w:pPr>
      <w:r>
        <w:rPr>
          <w:rFonts w:cs="Times New Roman"/>
        </w:rPr>
        <w:t>5G NR的数据信道采取低密度奇偶校验（LDPC）编码，控制信道采取极化编码（polar code）。</w:t>
      </w:r>
    </w:p>
    <w:p>
      <w:pPr>
        <w:pStyle w:val="6"/>
        <w:rPr>
          <w:rFonts w:cs="Times New Roman"/>
        </w:rPr>
      </w:pPr>
      <w:bookmarkStart w:id="190" w:name="_Toc516487444"/>
      <w:bookmarkStart w:id="191" w:name="_Toc513803147"/>
      <w:r>
        <w:rPr>
          <w:rFonts w:cs="Times New Roman"/>
        </w:rPr>
        <w:t>物理层过程</w:t>
      </w:r>
      <w:bookmarkEnd w:id="190"/>
      <w:bookmarkEnd w:id="191"/>
    </w:p>
    <w:p>
      <w:pPr>
        <w:ind w:firstLine="480"/>
        <w:rPr>
          <w:rFonts w:cs="Times New Roman"/>
        </w:rPr>
      </w:pPr>
      <w:r>
        <w:rPr>
          <w:rFonts w:cs="Times New Roman"/>
        </w:rPr>
        <w:t>物理层过程主要包括：小区搜索、功率控制、上行同步与上行定时控制、随机接入相关过程、HARQ相关过程、波束管理和CSI相关过程。通过控制频域、时域、功率域的物理层资源，5G NR支持干扰协调能力。</w:t>
      </w:r>
    </w:p>
    <w:p>
      <w:pPr>
        <w:ind w:firstLine="480"/>
        <w:rPr>
          <w:rFonts w:cs="Times New Roman"/>
        </w:rPr>
      </w:pPr>
      <w:r>
        <w:rPr>
          <w:rFonts w:cs="Times New Roman"/>
        </w:rPr>
        <w:t>5G为了实现更低的控制面时延，在4G已有的连接态和空闲态中引入了一个新的中间状态，叫去激活态，该状态保留核心网的连接状态，而删除无线侧的连接状态，当需要时，可以快速建立无线侧的连接，从而大幅降低从原空闲态到连接态的转换时延。</w:t>
      </w:r>
    </w:p>
    <w:p>
      <w:pPr>
        <w:pStyle w:val="5"/>
        <w:rPr>
          <w:rFonts w:cs="Times New Roman"/>
        </w:rPr>
      </w:pPr>
      <w:bookmarkStart w:id="192" w:name="_Toc795"/>
      <w:bookmarkStart w:id="193" w:name="_Toc2868661"/>
      <w:r>
        <w:rPr>
          <w:rFonts w:cs="Times New Roman"/>
        </w:rPr>
        <w:t>工作频段</w:t>
      </w:r>
      <w:bookmarkEnd w:id="192"/>
      <w:bookmarkEnd w:id="193"/>
    </w:p>
    <w:p>
      <w:pPr>
        <w:ind w:firstLine="480"/>
        <w:rPr>
          <w:rFonts w:cs="Times New Roman"/>
        </w:rPr>
      </w:pPr>
      <w:bookmarkStart w:id="194" w:name="_Toc447202461"/>
      <w:bookmarkStart w:id="195" w:name="_Toc452131579"/>
      <w:bookmarkStart w:id="196" w:name="_Toc447204510"/>
      <w:bookmarkStart w:id="197" w:name="_Toc2868665"/>
      <w:r>
        <w:rPr>
          <w:rFonts w:cs="Times New Roman"/>
        </w:rPr>
        <w:t>根据工业和信息化部相关规定，以下频段作为中国移动的5G系统频段：</w:t>
      </w:r>
    </w:p>
    <w:p>
      <w:pPr>
        <w:ind w:firstLine="480"/>
        <w:rPr>
          <w:rFonts w:cs="Times New Roman"/>
        </w:rPr>
      </w:pPr>
      <w:r>
        <w:rPr>
          <w:rFonts w:cs="Times New Roman"/>
        </w:rPr>
        <w:t>（1）2515~2675MHz（简称2.6GHz频段）；</w:t>
      </w:r>
    </w:p>
    <w:p>
      <w:pPr>
        <w:ind w:firstLine="480"/>
        <w:rPr>
          <w:rFonts w:cs="Times New Roman"/>
        </w:rPr>
      </w:pPr>
      <w:r>
        <w:rPr>
          <w:rFonts w:cs="Times New Roman"/>
        </w:rPr>
        <w:t>（2）4800~4900MHz（简称4.9GHz频段）。</w:t>
      </w:r>
    </w:p>
    <w:p>
      <w:pPr>
        <w:ind w:firstLine="480"/>
        <w:rPr>
          <w:rFonts w:cs="Times New Roman"/>
        </w:rPr>
      </w:pPr>
      <w:r>
        <w:rPr>
          <w:rFonts w:cs="Times New Roman"/>
        </w:rPr>
        <w:t>针对公网和政企专网的使用频率使用方案如下：</w:t>
      </w:r>
    </w:p>
    <w:p>
      <w:pPr>
        <w:ind w:firstLine="480"/>
        <w:rPr>
          <w:rFonts w:cs="Times New Roman"/>
        </w:rPr>
      </w:pPr>
      <w:r>
        <w:rPr>
          <w:rFonts w:cs="Times New Roman"/>
        </w:rPr>
        <w:t>（1）公网频率使用方案</w:t>
      </w:r>
    </w:p>
    <w:p>
      <w:pPr>
        <w:ind w:firstLine="480"/>
        <w:rPr>
          <w:rFonts w:cs="Times New Roman"/>
        </w:rPr>
      </w:pPr>
      <w:r>
        <w:rPr>
          <w:rFonts w:cs="Times New Roman"/>
        </w:rPr>
        <w:t>2.6GHz是5G的主力频段，4.9GHz是大网的容量补充。因4.9GHz设备成熟度较差，严格控制4.9GHz频段使用。</w:t>
      </w:r>
    </w:p>
    <w:p>
      <w:pPr>
        <w:ind w:firstLine="480"/>
        <w:rPr>
          <w:rFonts w:cs="Times New Roman"/>
        </w:rPr>
      </w:pPr>
      <w:r>
        <w:rPr>
          <w:rFonts w:cs="Times New Roman"/>
        </w:rPr>
        <w:t>5G室内外频段均使用2515-2615MHz，采用室内外同频组网。</w:t>
      </w:r>
    </w:p>
    <w:p>
      <w:pPr>
        <w:ind w:firstLine="480"/>
        <w:rPr>
          <w:rFonts w:cs="Times New Roman"/>
        </w:rPr>
      </w:pPr>
      <w:r>
        <w:rPr>
          <w:rFonts w:cs="Times New Roman"/>
        </w:rPr>
        <w:t>（2）垂直行业频率使用方案</w:t>
      </w:r>
    </w:p>
    <w:p>
      <w:pPr>
        <w:ind w:firstLine="480"/>
        <w:rPr>
          <w:rFonts w:cs="Times New Roman"/>
        </w:rPr>
      </w:pPr>
      <w:r>
        <w:rPr>
          <w:rFonts w:cs="Times New Roman"/>
        </w:rPr>
        <w:t>垂直行业应用应以满足投资效益为前提，原则上优先复用2.6GHz公网基站满足需求、严格控制独立频率建设。</w:t>
      </w:r>
    </w:p>
    <w:p>
      <w:pPr>
        <w:ind w:firstLine="480"/>
        <w:rPr>
          <w:rFonts w:cs="Times New Roman"/>
        </w:rPr>
      </w:pPr>
      <w:r>
        <w:rPr>
          <w:rFonts w:cs="Times New Roman"/>
        </w:rPr>
        <w:t>每个频段标记信道栅格的NR绝对射频信道编号（NR-ARFCN）的计算公式如下：</w:t>
      </w:r>
    </w:p>
    <w:p>
      <w:pPr>
        <w:ind w:firstLine="480"/>
        <w:jc w:val="center"/>
        <w:rPr>
          <w:rFonts w:cs="Times New Roman"/>
          <w:shd w:val="clear" w:color="auto" w:fill="FFFFFF"/>
        </w:rPr>
      </w:pPr>
      <w:r>
        <w:rPr>
          <w:rFonts w:cs="Times New Roman"/>
        </w:rPr>
        <w:t>F</w:t>
      </w:r>
      <w:r>
        <w:rPr>
          <w:rFonts w:cs="Times New Roman"/>
          <w:vertAlign w:val="subscript"/>
        </w:rPr>
        <w:t>REF</w:t>
      </w:r>
      <w:r>
        <w:rPr>
          <w:rFonts w:cs="Times New Roman"/>
        </w:rPr>
        <w:t xml:space="preserve"> = F</w:t>
      </w:r>
      <w:r>
        <w:rPr>
          <w:rFonts w:cs="Times New Roman"/>
          <w:vertAlign w:val="subscript"/>
        </w:rPr>
        <w:t>REF-Offs</w:t>
      </w:r>
      <w:r>
        <w:rPr>
          <w:rFonts w:cs="Times New Roman"/>
        </w:rPr>
        <w:t xml:space="preserve"> + ΔF</w:t>
      </w:r>
      <w:r>
        <w:rPr>
          <w:rFonts w:cs="Times New Roman"/>
          <w:vertAlign w:val="subscript"/>
        </w:rPr>
        <w:t>raster</w:t>
      </w:r>
      <w:r>
        <w:rPr>
          <w:rFonts w:cs="Times New Roman"/>
        </w:rPr>
        <w:t xml:space="preserve"> (N</w:t>
      </w:r>
      <w:r>
        <w:rPr>
          <w:rFonts w:cs="Times New Roman"/>
          <w:vertAlign w:val="subscript"/>
        </w:rPr>
        <w:t>REF</w:t>
      </w:r>
      <w:r>
        <w:rPr>
          <w:rFonts w:cs="Times New Roman"/>
        </w:rPr>
        <w:t xml:space="preserve"> – N</w:t>
      </w:r>
      <w:r>
        <w:rPr>
          <w:rFonts w:cs="Times New Roman"/>
          <w:vertAlign w:val="subscript"/>
        </w:rPr>
        <w:t>REF-Offs</w:t>
      </w:r>
      <w:r>
        <w:rPr>
          <w:rFonts w:cs="Times New Roman"/>
        </w:rPr>
        <w:t>)</w:t>
      </w:r>
    </w:p>
    <w:p>
      <w:pPr>
        <w:ind w:firstLine="480"/>
        <w:rPr>
          <w:rFonts w:cs="Times New Roman"/>
        </w:rPr>
      </w:pPr>
      <w:r>
        <w:rPr>
          <w:rFonts w:cs="Times New Roman"/>
        </w:rPr>
        <w:t>2.6GHz和4.9GHz的NR-ARFCN如表4.</w:t>
      </w:r>
      <w:r>
        <w:rPr>
          <w:rFonts w:hint="eastAsia" w:cs="Times New Roman"/>
        </w:rPr>
        <w:t>3</w:t>
      </w:r>
      <w:r>
        <w:rPr>
          <w:rFonts w:cs="Times New Roman"/>
        </w:rPr>
        <w:t>-1所示：</w:t>
      </w:r>
    </w:p>
    <w:p>
      <w:pPr>
        <w:pStyle w:val="290"/>
        <w:rPr>
          <w:kern w:val="0"/>
        </w:rPr>
      </w:pPr>
      <w:r>
        <w:t>表4.</w:t>
      </w:r>
      <w:r>
        <w:rPr>
          <w:rFonts w:hint="eastAsia"/>
        </w:rPr>
        <w:t>3</w:t>
      </w:r>
      <w:r>
        <w:t>-1  全球频率栅格的NR-ARFCN参</w:t>
      </w:r>
      <w:r>
        <w:rPr>
          <w:kern w:val="0"/>
        </w:rPr>
        <w:t>数</w:t>
      </w:r>
    </w:p>
    <w:tbl>
      <w:tblPr>
        <w:tblStyle w:val="63"/>
        <w:tblW w:w="83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3"/>
        <w:gridCol w:w="1314"/>
        <w:gridCol w:w="275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403" w:type="dxa"/>
            <w:shd w:val="clear" w:color="auto" w:fill="auto"/>
          </w:tcPr>
          <w:p>
            <w:pPr>
              <w:pStyle w:val="290"/>
            </w:pPr>
            <w:r>
              <w:t>Frequency range[MHz]</w:t>
            </w:r>
          </w:p>
        </w:tc>
        <w:tc>
          <w:tcPr>
            <w:tcW w:w="1314" w:type="dxa"/>
            <w:shd w:val="clear" w:color="auto" w:fill="auto"/>
          </w:tcPr>
          <w:p>
            <w:pPr>
              <w:pStyle w:val="290"/>
            </w:pPr>
            <w:r>
              <w:t>ΔF</w:t>
            </w:r>
            <w:r>
              <w:rPr>
                <w:vertAlign w:val="subscript"/>
              </w:rPr>
              <w:t>Raster</w:t>
            </w:r>
          </w:p>
          <w:p>
            <w:pPr>
              <w:pStyle w:val="290"/>
            </w:pPr>
            <w:r>
              <w:t>[kHz]</w:t>
            </w:r>
          </w:p>
        </w:tc>
        <w:tc>
          <w:tcPr>
            <w:tcW w:w="2754" w:type="dxa"/>
            <w:shd w:val="clear" w:color="auto" w:fill="auto"/>
          </w:tcPr>
          <w:p>
            <w:pPr>
              <w:pStyle w:val="290"/>
              <w:rPr>
                <w:vertAlign w:val="subscript"/>
              </w:rPr>
            </w:pPr>
            <w:r>
              <w:t>Uplink Range of N</w:t>
            </w:r>
            <w:r>
              <w:rPr>
                <w:vertAlign w:val="subscript"/>
              </w:rPr>
              <w:t>REF</w:t>
            </w:r>
          </w:p>
          <w:p>
            <w:pPr>
              <w:pStyle w:val="290"/>
            </w:pPr>
            <w:r>
              <w:t>(First – &lt;Step size&gt; – Last)</w:t>
            </w:r>
          </w:p>
        </w:tc>
        <w:tc>
          <w:tcPr>
            <w:tcW w:w="2841" w:type="dxa"/>
            <w:shd w:val="clear" w:color="auto" w:fill="auto"/>
          </w:tcPr>
          <w:p>
            <w:pPr>
              <w:pStyle w:val="290"/>
              <w:rPr>
                <w:vertAlign w:val="subscript"/>
              </w:rPr>
            </w:pPr>
            <w:r>
              <w:t>Downlink Range of N</w:t>
            </w:r>
            <w:r>
              <w:rPr>
                <w:vertAlign w:val="subscript"/>
              </w:rPr>
              <w:t>REF</w:t>
            </w:r>
          </w:p>
          <w:p>
            <w:pPr>
              <w:pStyle w:val="290"/>
            </w:pPr>
            <w:r>
              <w:t>(First – &lt;Step size&gt; – Last)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restart"/>
            <w:shd w:val="clear" w:color="auto" w:fill="auto"/>
            <w:vAlign w:val="center"/>
          </w:tcPr>
          <w:p>
            <w:pPr>
              <w:pStyle w:val="290"/>
            </w:pPr>
            <w:r>
              <w:t>2515—2675</w:t>
            </w:r>
          </w:p>
        </w:tc>
        <w:tc>
          <w:tcPr>
            <w:tcW w:w="1314" w:type="dxa"/>
            <w:shd w:val="clear" w:color="auto" w:fill="auto"/>
          </w:tcPr>
          <w:p>
            <w:pPr>
              <w:pStyle w:val="290"/>
            </w:pPr>
            <w:r>
              <w:t>15</w:t>
            </w:r>
          </w:p>
        </w:tc>
        <w:tc>
          <w:tcPr>
            <w:tcW w:w="2754" w:type="dxa"/>
            <w:shd w:val="clear" w:color="auto" w:fill="auto"/>
          </w:tcPr>
          <w:p>
            <w:pPr>
              <w:pStyle w:val="290"/>
            </w:pPr>
            <w:r>
              <w:t>503001 – &lt;3&gt; – 534999</w:t>
            </w:r>
          </w:p>
        </w:tc>
        <w:tc>
          <w:tcPr>
            <w:tcW w:w="2841" w:type="dxa"/>
            <w:shd w:val="clear" w:color="auto" w:fill="auto"/>
          </w:tcPr>
          <w:p>
            <w:pPr>
              <w:pStyle w:val="290"/>
            </w:pPr>
            <w:r>
              <w:t>503001 – &lt;3&gt; – 534999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continue"/>
            <w:shd w:val="clear" w:color="auto" w:fill="auto"/>
            <w:vAlign w:val="center"/>
          </w:tcPr>
          <w:p>
            <w:pPr>
              <w:pStyle w:val="290"/>
            </w:pPr>
          </w:p>
        </w:tc>
        <w:tc>
          <w:tcPr>
            <w:tcW w:w="1314" w:type="dxa"/>
            <w:shd w:val="clear" w:color="auto" w:fill="auto"/>
          </w:tcPr>
          <w:p>
            <w:pPr>
              <w:pStyle w:val="290"/>
            </w:pPr>
            <w:r>
              <w:t>30</w:t>
            </w:r>
          </w:p>
        </w:tc>
        <w:tc>
          <w:tcPr>
            <w:tcW w:w="2754" w:type="dxa"/>
            <w:shd w:val="clear" w:color="auto" w:fill="auto"/>
          </w:tcPr>
          <w:p>
            <w:pPr>
              <w:pStyle w:val="290"/>
            </w:pPr>
            <w:r>
              <w:t>503004 – &lt;6&gt; – 534996</w:t>
            </w:r>
          </w:p>
        </w:tc>
        <w:tc>
          <w:tcPr>
            <w:tcW w:w="2841" w:type="dxa"/>
            <w:shd w:val="clear" w:color="auto" w:fill="auto"/>
          </w:tcPr>
          <w:p>
            <w:pPr>
              <w:pStyle w:val="290"/>
            </w:pPr>
            <w:r>
              <w:t>503004 – &lt;6&gt; – 534996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restart"/>
            <w:shd w:val="clear" w:color="auto" w:fill="auto"/>
            <w:vAlign w:val="center"/>
          </w:tcPr>
          <w:p>
            <w:pPr>
              <w:pStyle w:val="290"/>
            </w:pPr>
            <w:r>
              <w:t>4800—4900</w:t>
            </w:r>
          </w:p>
        </w:tc>
        <w:tc>
          <w:tcPr>
            <w:tcW w:w="1314" w:type="dxa"/>
            <w:shd w:val="clear" w:color="auto" w:fill="auto"/>
          </w:tcPr>
          <w:p>
            <w:pPr>
              <w:pStyle w:val="290"/>
            </w:pPr>
            <w:r>
              <w:t>15</w:t>
            </w:r>
          </w:p>
        </w:tc>
        <w:tc>
          <w:tcPr>
            <w:tcW w:w="2754" w:type="dxa"/>
            <w:shd w:val="clear" w:color="auto" w:fill="auto"/>
          </w:tcPr>
          <w:p>
            <w:pPr>
              <w:pStyle w:val="290"/>
            </w:pPr>
            <w:r>
              <w:t>720000 – &lt;1&gt; – 726666</w:t>
            </w:r>
          </w:p>
        </w:tc>
        <w:tc>
          <w:tcPr>
            <w:tcW w:w="2841" w:type="dxa"/>
            <w:shd w:val="clear" w:color="auto" w:fill="auto"/>
          </w:tcPr>
          <w:p>
            <w:pPr>
              <w:pStyle w:val="290"/>
            </w:pPr>
            <w:r>
              <w:t>720000 – &lt;1&gt; – 726666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3" w:type="dxa"/>
            <w:vMerge w:val="continue"/>
            <w:shd w:val="clear" w:color="auto" w:fill="auto"/>
          </w:tcPr>
          <w:p>
            <w:pPr>
              <w:pStyle w:val="290"/>
            </w:pPr>
          </w:p>
        </w:tc>
        <w:tc>
          <w:tcPr>
            <w:tcW w:w="1314" w:type="dxa"/>
            <w:shd w:val="clear" w:color="auto" w:fill="auto"/>
          </w:tcPr>
          <w:p>
            <w:pPr>
              <w:pStyle w:val="290"/>
            </w:pPr>
            <w:r>
              <w:t>30</w:t>
            </w:r>
          </w:p>
        </w:tc>
        <w:tc>
          <w:tcPr>
            <w:tcW w:w="2754" w:type="dxa"/>
            <w:shd w:val="clear" w:color="auto" w:fill="auto"/>
          </w:tcPr>
          <w:p>
            <w:pPr>
              <w:pStyle w:val="290"/>
            </w:pPr>
            <w:r>
              <w:t>720000 – &lt;2&gt; – 726666</w:t>
            </w:r>
          </w:p>
        </w:tc>
        <w:tc>
          <w:tcPr>
            <w:tcW w:w="2841" w:type="dxa"/>
            <w:shd w:val="clear" w:color="auto" w:fill="auto"/>
          </w:tcPr>
          <w:p>
            <w:pPr>
              <w:pStyle w:val="290"/>
            </w:pPr>
            <w:r>
              <w:t>720000 – &lt;2&gt; – 726666</w:t>
            </w:r>
          </w:p>
        </w:tc>
      </w:tr>
    </w:tbl>
    <w:p>
      <w:pPr>
        <w:spacing w:before="100" w:beforeAutospacing="1"/>
        <w:ind w:firstLine="480"/>
        <w:rPr>
          <w:rFonts w:cs="Times New Roman"/>
        </w:rPr>
      </w:pPr>
      <w:r>
        <w:rPr>
          <w:rFonts w:cs="Times New Roman"/>
        </w:rPr>
        <w:t>综合频段、竞争、技术、应用与设备现状等因素，</w:t>
      </w:r>
      <w:r>
        <w:rPr>
          <w:rFonts w:cs="Times New Roman"/>
          <w:b/>
          <w:bCs/>
        </w:rPr>
        <w:t>建议5G网络二期工程采用100MHz带宽组网，主要工作于2515~2615MHz</w:t>
      </w:r>
      <w:r>
        <w:rPr>
          <w:rFonts w:cs="Times New Roman"/>
          <w:b/>
        </w:rPr>
        <w:t>。</w:t>
      </w:r>
      <w:r>
        <w:rPr>
          <w:rFonts w:cs="Times New Roman"/>
          <w:b/>
          <w:bCs/>
        </w:rPr>
        <w:t>静止或低速场景采用30kHz子载波间隔，高速场景采用60kHz子载波间隔</w:t>
      </w:r>
      <w:r>
        <w:rPr>
          <w:rFonts w:cs="Times New Roman"/>
        </w:rPr>
        <w:t>。</w:t>
      </w:r>
    </w:p>
    <w:p>
      <w:pPr>
        <w:pStyle w:val="5"/>
        <w:rPr>
          <w:rFonts w:cs="Times New Roman"/>
        </w:rPr>
      </w:pPr>
      <w:bookmarkStart w:id="198" w:name="_Toc18852"/>
      <w:r>
        <w:rPr>
          <w:rFonts w:cs="Times New Roman"/>
        </w:rPr>
        <w:t>无线网</w:t>
      </w:r>
      <w:bookmarkEnd w:id="194"/>
      <w:bookmarkEnd w:id="195"/>
      <w:bookmarkEnd w:id="196"/>
      <w:r>
        <w:rPr>
          <w:rFonts w:cs="Times New Roman"/>
        </w:rPr>
        <w:t>建设要求</w:t>
      </w:r>
      <w:bookmarkEnd w:id="197"/>
      <w:bookmarkEnd w:id="198"/>
    </w:p>
    <w:p>
      <w:pPr>
        <w:ind w:firstLine="480"/>
        <w:rPr>
          <w:rFonts w:cs="Times New Roman"/>
          <w:szCs w:val="24"/>
        </w:rPr>
      </w:pPr>
      <w:bookmarkStart w:id="199" w:name="_Toc2868664"/>
      <w:r>
        <w:rPr>
          <w:rFonts w:cs="Times New Roman"/>
          <w:szCs w:val="24"/>
        </w:rPr>
        <w:t>5G建设和发展既是落实中央“加强新一代信息基础设施建设、稳步推进通信网络建设”的要求，又是中国移动“保持领先优势、推动转型升级”的内在需要，5G二期将以建设一张“覆盖全国、技术先进、品质优良”的5G精品网络为目标组织开展建设工作。</w:t>
      </w:r>
    </w:p>
    <w:p>
      <w:pPr>
        <w:ind w:firstLine="199" w:firstLineChars="83"/>
        <w:rPr>
          <w:rFonts w:cs="Times New Roman"/>
          <w:szCs w:val="24"/>
        </w:rPr>
      </w:pPr>
      <w:r>
        <w:rPr>
          <w:rFonts w:cs="Times New Roman"/>
          <w:szCs w:val="24"/>
        </w:rPr>
        <w:t>（1）总体建设要求</w:t>
      </w:r>
    </w:p>
    <w:p>
      <w:pPr>
        <w:ind w:firstLine="480"/>
        <w:rPr>
          <w:rFonts w:cs="Times New Roman"/>
          <w:szCs w:val="24"/>
        </w:rPr>
      </w:pPr>
      <w:r>
        <w:rPr>
          <w:rFonts w:cs="Times New Roman"/>
          <w:szCs w:val="24"/>
        </w:rPr>
        <w:t>1）保持领先优势</w:t>
      </w:r>
    </w:p>
    <w:p>
      <w:pPr>
        <w:ind w:firstLine="480"/>
        <w:rPr>
          <w:rFonts w:cs="Times New Roman"/>
          <w:szCs w:val="24"/>
        </w:rPr>
      </w:pPr>
      <w:r>
        <w:rPr>
          <w:rFonts w:cs="Times New Roman"/>
          <w:szCs w:val="24"/>
        </w:rPr>
        <w:t>保持5G覆盖领先优势，在全国地级以上城市实现商用；保持5G技术领先优势，以SA方式开展建设，同步兼顾国际漫游、业务发展需求在47城市城区部署NSA基站，NSA覆盖区域不得随意扩大。</w:t>
      </w:r>
    </w:p>
    <w:p>
      <w:pPr>
        <w:ind w:firstLine="480"/>
        <w:rPr>
          <w:rFonts w:cs="Times New Roman"/>
          <w:szCs w:val="24"/>
        </w:rPr>
      </w:pPr>
      <w:r>
        <w:rPr>
          <w:rFonts w:cs="Times New Roman"/>
          <w:szCs w:val="24"/>
        </w:rPr>
        <w:t>2）兼顾“两个市场”</w:t>
      </w:r>
    </w:p>
    <w:p>
      <w:pPr>
        <w:ind w:firstLine="480"/>
        <w:rPr>
          <w:rFonts w:cs="Times New Roman"/>
          <w:szCs w:val="24"/>
        </w:rPr>
      </w:pPr>
      <w:r>
        <w:rPr>
          <w:rFonts w:cs="Times New Roman"/>
          <w:szCs w:val="24"/>
        </w:rPr>
        <w:t>兼顾大众、垂直行业市场发展，以满足投资效益为前提，采用专项无线资源保障方式，满足垂直行业示范拓展需求。</w:t>
      </w:r>
    </w:p>
    <w:p>
      <w:pPr>
        <w:ind w:firstLine="480"/>
        <w:rPr>
          <w:rFonts w:cs="Times New Roman"/>
          <w:szCs w:val="24"/>
        </w:rPr>
      </w:pPr>
      <w:r>
        <w:rPr>
          <w:rFonts w:cs="Times New Roman"/>
          <w:szCs w:val="24"/>
        </w:rPr>
        <w:t>3）降低建设费用</w:t>
      </w:r>
    </w:p>
    <w:p>
      <w:pPr>
        <w:ind w:firstLine="480"/>
        <w:rPr>
          <w:rFonts w:cs="Times New Roman"/>
          <w:szCs w:val="24"/>
        </w:rPr>
      </w:pPr>
      <w:r>
        <w:rPr>
          <w:rFonts w:cs="Times New Roman"/>
          <w:szCs w:val="24"/>
        </w:rPr>
        <w:t>充分利用现有站址进行规划，原则上不新增基站站址；</w:t>
      </w:r>
    </w:p>
    <w:p>
      <w:pPr>
        <w:ind w:firstLine="480"/>
        <w:rPr>
          <w:rFonts w:cs="Times New Roman"/>
          <w:szCs w:val="24"/>
        </w:rPr>
      </w:pPr>
      <w:r>
        <w:rPr>
          <w:rFonts w:cs="Times New Roman"/>
          <w:szCs w:val="24"/>
        </w:rPr>
        <w:t>积极推动C-RAN部署方式，降低传输配套投资、铁塔租赁费用；同步引入64通道、32通道、8通道宏基站产品，分场景选用合适站型开展精准建设。</w:t>
      </w:r>
    </w:p>
    <w:p>
      <w:pPr>
        <w:ind w:firstLine="480"/>
        <w:rPr>
          <w:rFonts w:cs="Times New Roman"/>
          <w:szCs w:val="24"/>
        </w:rPr>
      </w:pPr>
      <w:r>
        <w:rPr>
          <w:rFonts w:cs="Times New Roman"/>
          <w:szCs w:val="24"/>
        </w:rPr>
        <w:t>4）合理把控建设节奏</w:t>
      </w:r>
    </w:p>
    <w:p>
      <w:pPr>
        <w:ind w:firstLine="480"/>
        <w:rPr>
          <w:rFonts w:cs="Times New Roman"/>
          <w:szCs w:val="24"/>
        </w:rPr>
      </w:pPr>
      <w:r>
        <w:rPr>
          <w:rFonts w:cs="Times New Roman"/>
          <w:szCs w:val="24"/>
        </w:rPr>
        <w:t>按照 “先重点城市、后一般城市，先主城区、后一般城区，先室外、后室内”次序开展建设，严格控制乡镇、农村区域开展建设，以2.6GHz室外宏基站覆盖为主，合理把控建设规模和节奏。</w:t>
      </w:r>
    </w:p>
    <w:p>
      <w:pPr>
        <w:ind w:firstLine="480"/>
        <w:rPr>
          <w:rFonts w:cs="Times New Roman"/>
          <w:szCs w:val="24"/>
        </w:rPr>
      </w:pPr>
      <w:r>
        <w:rPr>
          <w:rFonts w:cs="Times New Roman"/>
          <w:szCs w:val="24"/>
        </w:rPr>
        <w:t>5）实现4/5G协同发展</w:t>
      </w:r>
    </w:p>
    <w:p>
      <w:pPr>
        <w:ind w:firstLine="480"/>
        <w:rPr>
          <w:rFonts w:cs="Times New Roman"/>
          <w:szCs w:val="24"/>
        </w:rPr>
      </w:pPr>
      <w:r>
        <w:rPr>
          <w:rFonts w:cs="Times New Roman"/>
          <w:szCs w:val="24"/>
        </w:rPr>
        <w:t>充分发挥2.6GHz 4/5G共设备的优势，合理配置4G载波、4G/5G发射功率，统筹做好TD-LTE D频段拆除设备调配，实现4/5G高效协同。</w:t>
      </w:r>
    </w:p>
    <w:p>
      <w:pPr>
        <w:ind w:firstLine="199" w:firstLineChars="83"/>
        <w:rPr>
          <w:rFonts w:cs="Times New Roman"/>
          <w:szCs w:val="24"/>
        </w:rPr>
      </w:pPr>
      <w:r>
        <w:rPr>
          <w:rFonts w:cs="Times New Roman"/>
          <w:szCs w:val="24"/>
        </w:rPr>
        <w:t>（2）分场景覆盖要求</w:t>
      </w:r>
    </w:p>
    <w:p>
      <w:pPr>
        <w:ind w:firstLine="480"/>
        <w:rPr>
          <w:rFonts w:cs="Times New Roman"/>
          <w:szCs w:val="24"/>
        </w:rPr>
      </w:pPr>
      <w:r>
        <w:rPr>
          <w:rFonts w:cs="Times New Roman"/>
          <w:szCs w:val="24"/>
        </w:rPr>
        <w:t>1）室外覆盖</w:t>
      </w:r>
    </w:p>
    <w:p>
      <w:pPr>
        <w:ind w:firstLine="480"/>
        <w:rPr>
          <w:rFonts w:cs="Times New Roman"/>
          <w:szCs w:val="24"/>
        </w:rPr>
      </w:pPr>
      <w:r>
        <w:rPr>
          <w:rFonts w:cs="Times New Roman"/>
          <w:szCs w:val="24"/>
        </w:rPr>
        <w:t>以2.6GHz宏基站产品为主，为满足更多建设场景需求、进一步降低宏基站建设成本及功耗，分场景选择64通道、32通道、8通道宏基站产品建设，其中64通道产品用于楼高超过30米、或CBD高校等高容量需求区域；32通道产品用于楼高低于30米、或容量需求不高的市县城区；8通道产品用于64、32通道产品工程实施确有困难的站址。</w:t>
      </w:r>
    </w:p>
    <w:p>
      <w:pPr>
        <w:ind w:firstLine="480"/>
        <w:rPr>
          <w:rFonts w:cs="Times New Roman"/>
          <w:szCs w:val="24"/>
        </w:rPr>
      </w:pPr>
      <w:r>
        <w:rPr>
          <w:rFonts w:cs="Times New Roman"/>
          <w:szCs w:val="24"/>
        </w:rPr>
        <w:t>2）室内覆盖</w:t>
      </w:r>
    </w:p>
    <w:p>
      <w:pPr>
        <w:ind w:firstLine="480"/>
        <w:rPr>
          <w:rFonts w:cs="Times New Roman"/>
          <w:szCs w:val="24"/>
        </w:rPr>
      </w:pPr>
      <w:r>
        <w:rPr>
          <w:rFonts w:cs="Times New Roman"/>
          <w:szCs w:val="24"/>
        </w:rPr>
        <w:t>如有源设备造价与传统室分价格接近，则新建场景全部采用分布式皮站，其中高容量区域采用4通道分布式皮站，中低容量区域采用2通道分布式皮站；对已有室分系统优先通过馈入5G信源方式实现5G信号覆盖，对于确有高流量、高价值的重要场景、或已有室分系统确实无法实施改造、或改造代价过大等情况，可建设分布式皮基站。</w:t>
      </w:r>
    </w:p>
    <w:p>
      <w:pPr>
        <w:ind w:firstLine="480"/>
        <w:rPr>
          <w:rFonts w:cs="Times New Roman"/>
          <w:szCs w:val="24"/>
        </w:rPr>
      </w:pPr>
      <w:r>
        <w:rPr>
          <w:rFonts w:cs="Times New Roman"/>
          <w:szCs w:val="24"/>
        </w:rPr>
        <w:t>3）高铁线路覆盖</w:t>
      </w:r>
    </w:p>
    <w:p>
      <w:pPr>
        <w:ind w:firstLine="480"/>
        <w:rPr>
          <w:rFonts w:cs="Times New Roman"/>
          <w:szCs w:val="24"/>
        </w:rPr>
      </w:pPr>
      <w:r>
        <w:rPr>
          <w:rFonts w:cs="Times New Roman"/>
          <w:szCs w:val="24"/>
        </w:rPr>
        <w:t>2.6GHz 8通道和2通道产品可用于高铁线路覆盖，2020年总部统筹推进与安排建设，积极开展5G高铁覆盖新方案技术论证。</w:t>
      </w:r>
    </w:p>
    <w:p>
      <w:pPr>
        <w:ind w:firstLine="480"/>
        <w:rPr>
          <w:rFonts w:cs="Times New Roman"/>
          <w:szCs w:val="24"/>
        </w:rPr>
      </w:pPr>
      <w:r>
        <w:rPr>
          <w:rFonts w:cs="Times New Roman"/>
          <w:szCs w:val="24"/>
        </w:rPr>
        <w:t>4）垂直行业覆盖</w:t>
      </w:r>
    </w:p>
    <w:p>
      <w:pPr>
        <w:adjustRightInd w:val="0"/>
        <w:snapToGrid w:val="0"/>
        <w:ind w:firstLine="480"/>
        <w:rPr>
          <w:rFonts w:cs="Times New Roman"/>
          <w:szCs w:val="24"/>
        </w:rPr>
      </w:pPr>
      <w:r>
        <w:rPr>
          <w:rFonts w:cs="Times New Roman"/>
          <w:szCs w:val="24"/>
        </w:rPr>
        <w:t>鉴于2.6GHz基站能力富余、且4.9GHz产业更不成熟，原则上复用2.6GHz公网基站以网络切片方式满足政企客户专网需求，严格控制4.9GHz独立频率建设。</w:t>
      </w:r>
    </w:p>
    <w:p>
      <w:pPr>
        <w:pStyle w:val="5"/>
        <w:rPr>
          <w:rFonts w:cs="Times New Roman"/>
        </w:rPr>
      </w:pPr>
      <w:bookmarkStart w:id="200" w:name="_Toc5038"/>
      <w:r>
        <w:rPr>
          <w:rFonts w:cs="Times New Roman"/>
        </w:rPr>
        <w:t>无线网络设计指标</w:t>
      </w:r>
      <w:bookmarkEnd w:id="199"/>
      <w:bookmarkEnd w:id="200"/>
    </w:p>
    <w:p>
      <w:pPr>
        <w:ind w:firstLine="480"/>
        <w:rPr>
          <w:rFonts w:cs="Times New Roman"/>
          <w:szCs w:val="24"/>
          <w:lang w:bidi="or-IN"/>
        </w:rPr>
      </w:pPr>
      <w:r>
        <w:rPr>
          <w:rFonts w:cs="Times New Roman"/>
          <w:szCs w:val="24"/>
          <w:lang w:bidi="or-IN"/>
        </w:rPr>
        <w:t>4G物理层中设计了CRS(Cell Specific Reference Signal)信号，该信号与用户接入性能及业务速率密切相关，因此将RSRP和RS-SINR作为4G网络规划指标。5G的物理层设计中不再使用CRS,而主要采用SS（Synchronization Signal）、CSI-RS（</w:t>
      </w:r>
      <w:r>
        <w:rPr>
          <w:rFonts w:cs="Times New Roman"/>
          <w:szCs w:val="24"/>
        </w:rPr>
        <w:t>Channel state Information ReferenceSignal</w:t>
      </w:r>
      <w:r>
        <w:rPr>
          <w:rFonts w:cs="Times New Roman"/>
          <w:szCs w:val="24"/>
          <w:lang w:bidi="or-IN"/>
        </w:rPr>
        <w:t>）等信号来衡量网络覆盖及业务性能，其中SS-RSRP和SS-SINR在空闲态和连接态都存在，CSI-RSRP和CSI-SINR只有在连接态才会存在，建议采用SS-RSRP，SS-SINR作为规划指标。</w:t>
      </w:r>
    </w:p>
    <w:p>
      <w:pPr>
        <w:ind w:firstLine="480"/>
        <w:rPr>
          <w:rFonts w:cs="Times New Roman"/>
          <w:szCs w:val="24"/>
          <w:lang w:bidi="or-IN"/>
        </w:rPr>
      </w:pPr>
      <w:r>
        <w:rPr>
          <w:rFonts w:cs="Times New Roman"/>
          <w:szCs w:val="24"/>
          <w:lang w:bidi="or-IN"/>
        </w:rPr>
        <w:t>5G无线网规划建设应面向独立组网提供解决方案，避免后期对大网网络结构进行频繁调整，针对eMBB场景的业务需求，建议5G 2.6GHz室外连续覆盖分场景规划的基准指标如下：</w:t>
      </w:r>
    </w:p>
    <w:p>
      <w:pPr>
        <w:ind w:firstLine="0" w:firstLineChars="0"/>
        <w:jc w:val="center"/>
        <w:rPr>
          <w:rFonts w:cs="Times New Roman"/>
          <w:sz w:val="21"/>
        </w:rPr>
      </w:pPr>
      <w:r>
        <w:rPr>
          <w:rFonts w:cs="Times New Roman"/>
          <w:sz w:val="21"/>
        </w:rPr>
        <w:t>表4.</w:t>
      </w:r>
      <w:r>
        <w:rPr>
          <w:rFonts w:hint="eastAsia" w:cs="Times New Roman"/>
          <w:sz w:val="21"/>
        </w:rPr>
        <w:t>5</w:t>
      </w:r>
      <w:r>
        <w:rPr>
          <w:rFonts w:cs="Times New Roman"/>
          <w:sz w:val="21"/>
        </w:rPr>
        <w:t>-1  2.6GHZ室外连续覆盖分场景规划基准指标</w:t>
      </w:r>
      <w:r>
        <w:rPr>
          <w:rFonts w:cs="Times New Roman"/>
          <w:snapToGrid w:val="0"/>
          <w:color w:val="000000"/>
          <w:sz w:val="21"/>
          <w:vertAlign w:val="superscript"/>
        </w:rPr>
        <w:t>注1</w:t>
      </w:r>
    </w:p>
    <w:tbl>
      <w:tblPr>
        <w:tblStyle w:val="60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验收指标</w:t>
            </w:r>
          </w:p>
        </w:tc>
        <w:tc>
          <w:tcPr>
            <w:tcW w:w="5682" w:type="dxa"/>
            <w:gridSpan w:val="2"/>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覆盖概率95%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ind w:firstLine="420"/>
              <w:jc w:val="center"/>
              <w:rPr>
                <w:rFonts w:cs="Times New Roman" w:asciiTheme="minorHAnsi" w:hAnsiTheme="minorHAnsi" w:eastAsiaTheme="minorEastAsia"/>
                <w:snapToGrid w:val="0"/>
                <w:color w:val="000000"/>
                <w:sz w:val="21"/>
              </w:rPr>
            </w:pPr>
          </w:p>
        </w:tc>
        <w:tc>
          <w:tcPr>
            <w:tcW w:w="2841" w:type="dxa"/>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SS-RSRP(dBm)</w:t>
            </w:r>
          </w:p>
        </w:tc>
        <w:tc>
          <w:tcPr>
            <w:tcW w:w="2841" w:type="dxa"/>
            <w:vAlign w:val="center"/>
          </w:tcPr>
          <w:p>
            <w:pPr>
              <w:ind w:firstLine="420"/>
              <w:jc w:val="center"/>
              <w:rPr>
                <w:rFonts w:cs="Times New Roman" w:asciiTheme="minorHAnsi" w:hAnsiTheme="minorHAnsi" w:eastAsiaTheme="minorEastAsia"/>
                <w:snapToGrid w:val="0"/>
                <w:color w:val="000000"/>
                <w:sz w:val="21"/>
              </w:rPr>
            </w:pPr>
            <w:r>
              <w:rPr>
                <w:rFonts w:cs="Times New Roman" w:asciiTheme="minorHAnsi" w:hAnsiTheme="minorHAnsi" w:eastAsiaTheme="minorEastAsia"/>
                <w:snapToGrid w:val="0"/>
                <w:color w:val="000000"/>
                <w:sz w:val="21"/>
              </w:rPr>
              <w:t>SS-SINR(dB)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ind w:firstLine="630" w:firstLineChars="300"/>
              <w:rPr>
                <w:rFonts w:cs="Times New Roman" w:asciiTheme="minorHAnsi" w:hAnsiTheme="minorHAnsi" w:eastAsiaTheme="minorEastAsia"/>
                <w:snapToGrid w:val="0"/>
                <w:color w:val="000000"/>
                <w:sz w:val="21"/>
              </w:rPr>
            </w:pPr>
            <w:r>
              <w:rPr>
                <w:rFonts w:cs="Times New Roman" w:asciiTheme="minorHAnsi" w:hAnsiTheme="minorHAnsi" w:eastAsiaTheme="minorEastAsia"/>
                <w:color w:val="000000"/>
                <w:kern w:val="24"/>
                <w:sz w:val="21"/>
              </w:rPr>
              <w:t>高穿损主城区</w:t>
            </w:r>
            <w:r>
              <w:rPr>
                <w:rFonts w:cs="Times New Roman" w:asciiTheme="minorHAnsi" w:hAnsiTheme="minorHAnsi" w:eastAsiaTheme="minorEastAsia"/>
                <w:snapToGrid w:val="0"/>
                <w:color w:val="000000"/>
                <w:sz w:val="21"/>
                <w:vertAlign w:val="superscript"/>
              </w:rPr>
              <w:t>注2</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≥-93</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ind w:firstLine="420"/>
              <w:jc w:val="center"/>
              <w:rPr>
                <w:rFonts w:cs="Times New Roman" w:asciiTheme="minorHAnsi" w:hAnsiTheme="minorHAnsi" w:eastAsiaTheme="minorEastAsia"/>
                <w:color w:val="000000"/>
                <w:kern w:val="24"/>
                <w:sz w:val="21"/>
              </w:rPr>
            </w:pPr>
            <w:r>
              <w:rPr>
                <w:rFonts w:cs="Times New Roman" w:asciiTheme="minorHAnsi" w:hAnsiTheme="minorHAnsi" w:eastAsiaTheme="minorEastAsia"/>
                <w:color w:val="000000"/>
                <w:kern w:val="24"/>
                <w:sz w:val="21"/>
              </w:rPr>
              <w:t>低穿损主城区</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≥-96</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一般城区</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≥-96</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县城</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≥-98</w:t>
            </w:r>
          </w:p>
        </w:tc>
        <w:tc>
          <w:tcPr>
            <w:tcW w:w="2841" w:type="dxa"/>
            <w:vAlign w:val="center"/>
          </w:tcPr>
          <w:p>
            <w:pPr>
              <w:widowControl/>
              <w:ind w:firstLine="420"/>
              <w:jc w:val="center"/>
              <w:rPr>
                <w:rFonts w:cs="Times New Roman" w:asciiTheme="minorHAnsi" w:hAnsiTheme="minorHAnsi" w:eastAsiaTheme="minorEastAsia"/>
                <w:kern w:val="0"/>
                <w:sz w:val="21"/>
              </w:rPr>
            </w:pPr>
            <w:r>
              <w:rPr>
                <w:rFonts w:cs="Times New Roman" w:asciiTheme="minorHAnsi" w:hAnsiTheme="minorHAnsi" w:eastAsiaTheme="minorEastAsia"/>
                <w:color w:val="000000"/>
                <w:kern w:val="24"/>
                <w:sz w:val="21"/>
              </w:rPr>
              <w:t>≥-3</w:t>
            </w:r>
          </w:p>
        </w:tc>
      </w:tr>
    </w:tbl>
    <w:p>
      <w:pPr>
        <w:adjustRightInd w:val="0"/>
        <w:snapToGrid w:val="0"/>
        <w:ind w:firstLine="360"/>
        <w:rPr>
          <w:rFonts w:cs="Times New Roman"/>
          <w:sz w:val="18"/>
          <w:szCs w:val="18"/>
        </w:rPr>
      </w:pPr>
      <w:r>
        <w:rPr>
          <w:rFonts w:cs="Times New Roman"/>
          <w:sz w:val="18"/>
          <w:szCs w:val="18"/>
        </w:rPr>
        <w:t>注1：指标为2.6GHz、100M带宽、200W功率、SSB水平8波束配置下的验收标准。SS-RSRP为测试终端位于车外时的要求；若测试终端位于车内，SS-RSRP应在当前要求基础上考虑车辆穿透损耗影响，再降低6dB。对于5G实际开通功率为160W的情况，SS-RSRP验收指标在上表基础上降低1dB。</w:t>
      </w:r>
    </w:p>
    <w:p>
      <w:pPr>
        <w:adjustRightInd w:val="0"/>
        <w:snapToGrid w:val="0"/>
        <w:ind w:firstLine="360"/>
        <w:rPr>
          <w:rFonts w:cs="Times New Roman"/>
          <w:sz w:val="18"/>
          <w:szCs w:val="18"/>
        </w:rPr>
      </w:pPr>
      <w:r>
        <w:rPr>
          <w:rFonts w:cs="Times New Roman"/>
          <w:sz w:val="18"/>
          <w:szCs w:val="18"/>
        </w:rPr>
        <w:t>注2：根据建筑物穿透损耗将主城区分为高穿损、低穿损场景，高穿损场景指中心商务区、中心商业务、密集居民区等区域，其他区域为低穿损场景。</w:t>
      </w:r>
    </w:p>
    <w:p>
      <w:pPr>
        <w:tabs>
          <w:tab w:val="left" w:pos="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考虑到本期工程“充分利用现有基站站址资源、严控新增站址”的建设要求以及不同</w:t>
      </w:r>
      <w:r>
        <w:rPr>
          <w:color w:val="000000" w:themeColor="text1"/>
          <w14:textFill>
            <w14:solidFill>
              <w14:schemeClr w14:val="tx1"/>
            </w14:solidFill>
          </w14:textFill>
        </w:rPr>
        <w:t>区域</w:t>
      </w:r>
      <w:r>
        <w:rPr>
          <w:rFonts w:hint="eastAsia"/>
          <w:color w:val="000000" w:themeColor="text1"/>
          <w14:textFill>
            <w14:solidFill>
              <w14:schemeClr w14:val="tx1"/>
            </w14:solidFill>
          </w14:textFill>
        </w:rPr>
        <w:t>当前站址密度的差异性，室外覆盖建设应遵循“弹性组网”思路。</w:t>
      </w:r>
    </w:p>
    <w:p>
      <w:pPr>
        <w:ind w:firstLine="480"/>
        <w:rPr>
          <w:rFonts w:cs="Times New Roman"/>
          <w:szCs w:val="24"/>
        </w:rPr>
      </w:pPr>
      <w:r>
        <w:rPr>
          <w:rFonts w:hint="eastAsia"/>
          <w:color w:val="000000" w:themeColor="text1"/>
          <w14:textFill>
            <w14:solidFill>
              <w14:schemeClr w14:val="tx1"/>
            </w14:solidFill>
          </w14:textFill>
        </w:rPr>
        <w:t>面向</w:t>
      </w:r>
      <w:r>
        <w:rPr>
          <w:color w:val="000000" w:themeColor="text1"/>
          <w14:textFill>
            <w14:solidFill>
              <w14:schemeClr w14:val="tx1"/>
            </w14:solidFill>
          </w14:textFill>
        </w:rPr>
        <w:t>eMBB</w:t>
      </w:r>
      <w:r>
        <w:rPr>
          <w:rFonts w:hint="eastAsia"/>
          <w:color w:val="000000" w:themeColor="text1"/>
          <w14:textFill>
            <w14:solidFill>
              <w14:schemeClr w14:val="tx1"/>
            </w14:solidFill>
          </w14:textFill>
        </w:rPr>
        <w:t>业务场景，</w:t>
      </w:r>
      <w:r>
        <w:rPr>
          <w:color w:val="000000" w:themeColor="text1"/>
          <w14:textFill>
            <w14:solidFill>
              <w14:schemeClr w14:val="tx1"/>
            </w14:solidFill>
          </w14:textFill>
        </w:rPr>
        <w:t>5G</w:t>
      </w:r>
      <w:r>
        <w:rPr>
          <w:rFonts w:hint="eastAsia"/>
          <w:color w:val="000000" w:themeColor="text1"/>
          <w14:textFill>
            <w14:solidFill>
              <w14:schemeClr w14:val="tx1"/>
            </w14:solidFill>
          </w14:textFill>
        </w:rPr>
        <w:t>室内覆盖系统基于与</w:t>
      </w:r>
      <w:r>
        <w:rPr>
          <w:color w:val="000000" w:themeColor="text1"/>
          <w14:textFill>
            <w14:solidFill>
              <w14:schemeClr w14:val="tx1"/>
            </w14:solidFill>
          </w14:textFill>
        </w:rPr>
        <w:t>4G</w:t>
      </w:r>
      <w:r>
        <w:rPr>
          <w:rFonts w:hint="eastAsia"/>
          <w:color w:val="000000" w:themeColor="text1"/>
          <w14:textFill>
            <w14:solidFill>
              <w14:schemeClr w14:val="tx1"/>
            </w14:solidFill>
          </w14:textFill>
        </w:rPr>
        <w:t>系统同点位部署条件，则规划指标初步如下表，需通过试验网测试验证并修正。</w:t>
      </w:r>
    </w:p>
    <w:p>
      <w:pPr>
        <w:tabs>
          <w:tab w:val="left" w:pos="0"/>
        </w:tabs>
        <w:ind w:firstLine="480"/>
        <w:rPr>
          <w:rFonts w:cs="Times New Roman"/>
        </w:rPr>
      </w:pPr>
      <w:r>
        <w:rPr>
          <w:rFonts w:cs="Times New Roman"/>
        </w:rPr>
        <w:t>面向eMBB业务场景，5G室内覆盖系统的规划指标如下表：</w:t>
      </w:r>
    </w:p>
    <w:p>
      <w:pPr>
        <w:pStyle w:val="290"/>
      </w:pPr>
      <w:r>
        <w:t>表 4.</w:t>
      </w:r>
      <w:r>
        <w:rPr>
          <w:rFonts w:hint="eastAsia"/>
        </w:rPr>
        <w:t>5</w:t>
      </w:r>
      <w:r>
        <w:t>-2 室内覆盖系统规划设计指标</w:t>
      </w:r>
    </w:p>
    <w:tbl>
      <w:tblPr>
        <w:tblStyle w:val="63"/>
        <w:tblW w:w="7439" w:type="dxa"/>
        <w:jc w:val="center"/>
        <w:tblLayout w:type="fixed"/>
        <w:tblCellMar>
          <w:top w:w="0" w:type="dxa"/>
          <w:left w:w="0" w:type="dxa"/>
          <w:bottom w:w="0" w:type="dxa"/>
          <w:right w:w="0" w:type="dxa"/>
        </w:tblCellMar>
      </w:tblPr>
      <w:tblGrid>
        <w:gridCol w:w="3672"/>
        <w:gridCol w:w="1968"/>
        <w:gridCol w:w="1799"/>
      </w:tblGrid>
      <w:tr>
        <w:tblPrEx>
          <w:tblCellMar>
            <w:top w:w="0" w:type="dxa"/>
            <w:left w:w="0" w:type="dxa"/>
            <w:bottom w:w="0" w:type="dxa"/>
            <w:right w:w="0" w:type="dxa"/>
          </w:tblCellMar>
        </w:tblPrEx>
        <w:trPr>
          <w:trHeight w:val="169" w:hRule="atLeast"/>
          <w:jc w:val="center"/>
        </w:trPr>
        <w:tc>
          <w:tcPr>
            <w:tcW w:w="3672" w:type="dxa"/>
            <w:vMerge w:val="restart"/>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288" w:lineRule="atLeast"/>
              <w:ind w:firstLine="420"/>
              <w:jc w:val="center"/>
              <w:rPr>
                <w:rFonts w:cs="Times New Roman"/>
                <w:kern w:val="0"/>
                <w:sz w:val="21"/>
              </w:rPr>
            </w:pPr>
            <w:r>
              <w:rPr>
                <w:rFonts w:cs="Times New Roman"/>
                <w:bCs/>
                <w:color w:val="000000" w:themeColor="text1"/>
                <w:kern w:val="0"/>
                <w:sz w:val="21"/>
                <w14:textFill>
                  <w14:solidFill>
                    <w14:schemeClr w14:val="tx1"/>
                  </w14:solidFill>
                </w14:textFill>
              </w:rPr>
              <w:t>覆盖区域</w:t>
            </w:r>
          </w:p>
        </w:tc>
        <w:tc>
          <w:tcPr>
            <w:tcW w:w="3767" w:type="dxa"/>
            <w:gridSpan w:val="2"/>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ind w:firstLine="420"/>
              <w:jc w:val="center"/>
              <w:rPr>
                <w:rFonts w:cs="Times New Roman"/>
                <w:kern w:val="0"/>
                <w:sz w:val="21"/>
              </w:rPr>
            </w:pPr>
            <w:r>
              <w:rPr>
                <w:rFonts w:cs="Times New Roman"/>
                <w:bCs/>
                <w:color w:val="000000" w:themeColor="text1"/>
                <w:kern w:val="0"/>
                <w:sz w:val="21"/>
                <w14:textFill>
                  <w14:solidFill>
                    <w14:schemeClr w14:val="tx1"/>
                  </w14:solidFill>
                </w14:textFill>
              </w:rPr>
              <w:t>覆盖指标（覆盖概率95%）</w:t>
            </w:r>
          </w:p>
        </w:tc>
      </w:tr>
      <w:tr>
        <w:tblPrEx>
          <w:tblCellMar>
            <w:top w:w="0" w:type="dxa"/>
            <w:left w:w="0" w:type="dxa"/>
            <w:bottom w:w="0" w:type="dxa"/>
            <w:right w:w="0" w:type="dxa"/>
          </w:tblCellMar>
        </w:tblPrEx>
        <w:trPr>
          <w:trHeight w:val="169" w:hRule="atLeast"/>
          <w:jc w:val="center"/>
        </w:trPr>
        <w:tc>
          <w:tcPr>
            <w:tcW w:w="3672" w:type="dxa"/>
            <w:vMerge w:val="continue"/>
            <w:tcBorders>
              <w:top w:val="single" w:color="000000" w:sz="8" w:space="0"/>
              <w:left w:val="single" w:color="000000" w:sz="8" w:space="0"/>
              <w:bottom w:val="single" w:color="000000" w:sz="8" w:space="0"/>
              <w:right w:val="single" w:color="000000" w:sz="8" w:space="0"/>
            </w:tcBorders>
            <w:vAlign w:val="center"/>
          </w:tcPr>
          <w:p>
            <w:pPr>
              <w:widowControl/>
              <w:ind w:firstLine="420"/>
              <w:jc w:val="left"/>
              <w:rPr>
                <w:rFonts w:cs="Times New Roman"/>
                <w:kern w:val="0"/>
                <w:sz w:val="21"/>
              </w:rPr>
            </w:pPr>
          </w:p>
        </w:tc>
        <w:tc>
          <w:tcPr>
            <w:tcW w:w="196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288" w:lineRule="atLeast"/>
              <w:ind w:firstLine="39" w:firstLineChars="19"/>
              <w:jc w:val="center"/>
              <w:rPr>
                <w:rFonts w:cs="Times New Roman"/>
                <w:kern w:val="0"/>
                <w:sz w:val="21"/>
              </w:rPr>
            </w:pPr>
            <w:r>
              <w:rPr>
                <w:rFonts w:cs="Times New Roman"/>
                <w:bCs/>
                <w:color w:val="000000" w:themeColor="text1"/>
                <w:kern w:val="0"/>
                <w:sz w:val="21"/>
                <w14:textFill>
                  <w14:solidFill>
                    <w14:schemeClr w14:val="tx1"/>
                  </w14:solidFill>
                </w14:textFill>
              </w:rPr>
              <w:t>SS-RSRP</w:t>
            </w:r>
            <w:r>
              <w:rPr>
                <w:rFonts w:cs="Times New Roman"/>
                <w:kern w:val="0"/>
                <w:sz w:val="18"/>
                <w:szCs w:val="18"/>
                <w:vertAlign w:val="superscript"/>
              </w:rPr>
              <w:t>注</w:t>
            </w:r>
            <w:r>
              <w:rPr>
                <w:rFonts w:cs="Times New Roman"/>
                <w:bCs/>
                <w:color w:val="000000" w:themeColor="text1"/>
                <w:kern w:val="0"/>
                <w:sz w:val="21"/>
                <w14:textFill>
                  <w14:solidFill>
                    <w14:schemeClr w14:val="tx1"/>
                  </w14:solidFill>
                </w14:textFill>
              </w:rPr>
              <w:t>（dBm）</w:t>
            </w:r>
          </w:p>
        </w:tc>
        <w:tc>
          <w:tcPr>
            <w:tcW w:w="179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288" w:lineRule="atLeast"/>
              <w:ind w:firstLine="0" w:firstLineChars="0"/>
              <w:jc w:val="center"/>
              <w:rPr>
                <w:rFonts w:cs="Times New Roman"/>
                <w:kern w:val="0"/>
                <w:sz w:val="21"/>
              </w:rPr>
            </w:pPr>
            <w:r>
              <w:rPr>
                <w:rFonts w:cs="Times New Roman"/>
                <w:bCs/>
                <w:color w:val="000000" w:themeColor="text1"/>
                <w:kern w:val="0"/>
                <w:sz w:val="21"/>
                <w14:textFill>
                  <w14:solidFill>
                    <w14:schemeClr w14:val="tx1"/>
                  </w14:solidFill>
                </w14:textFill>
              </w:rPr>
              <w:t>SS-SINR（dB）</w:t>
            </w:r>
          </w:p>
        </w:tc>
      </w:tr>
      <w:tr>
        <w:tblPrEx>
          <w:tblCellMar>
            <w:top w:w="0" w:type="dxa"/>
            <w:left w:w="0" w:type="dxa"/>
            <w:bottom w:w="0" w:type="dxa"/>
            <w:right w:w="0" w:type="dxa"/>
          </w:tblCellMar>
        </w:tblPrEx>
        <w:trPr>
          <w:trHeight w:val="112" w:hRule="atLeast"/>
          <w:jc w:val="center"/>
        </w:trPr>
        <w:tc>
          <w:tcPr>
            <w:tcW w:w="367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19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一般区域</w:t>
            </w:r>
          </w:p>
        </w:tc>
        <w:tc>
          <w:tcPr>
            <w:tcW w:w="1968"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19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≥-105</w:t>
            </w:r>
          </w:p>
        </w:tc>
        <w:tc>
          <w:tcPr>
            <w:tcW w:w="1799"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19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≥0</w:t>
            </w:r>
          </w:p>
        </w:tc>
      </w:tr>
      <w:tr>
        <w:tblPrEx>
          <w:tblCellMar>
            <w:top w:w="0" w:type="dxa"/>
            <w:left w:w="0" w:type="dxa"/>
            <w:bottom w:w="0" w:type="dxa"/>
            <w:right w:w="0" w:type="dxa"/>
          </w:tblCellMar>
        </w:tblPrEx>
        <w:trPr>
          <w:trHeight w:val="200" w:hRule="atLeast"/>
          <w:jc w:val="center"/>
        </w:trPr>
        <w:tc>
          <w:tcPr>
            <w:tcW w:w="3672"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widowControl/>
              <w:spacing w:line="342" w:lineRule="atLeast"/>
              <w:ind w:firstLine="420"/>
              <w:jc w:val="left"/>
              <w:rPr>
                <w:rFonts w:cs="Times New Roman"/>
                <w:kern w:val="0"/>
                <w:sz w:val="21"/>
              </w:rPr>
            </w:pPr>
            <w:r>
              <w:rPr>
                <w:rFonts w:cs="Times New Roman"/>
                <w:color w:val="000000" w:themeColor="text1"/>
                <w:kern w:val="0"/>
                <w:sz w:val="21"/>
                <w14:textFill>
                  <w14:solidFill>
                    <w14:schemeClr w14:val="tx1"/>
                  </w14:solidFill>
                </w14:textFill>
              </w:rPr>
              <w:t>重要场景如大型场馆、交通枢纽、营业厅（旗舰店）、重要会议区或办公区等业务需求高的区域</w:t>
            </w:r>
          </w:p>
        </w:tc>
        <w:tc>
          <w:tcPr>
            <w:tcW w:w="1968"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34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≥-95</w:t>
            </w:r>
          </w:p>
        </w:tc>
        <w:tc>
          <w:tcPr>
            <w:tcW w:w="1799" w:type="dxa"/>
            <w:tcBorders>
              <w:top w:val="single" w:color="000000" w:sz="8" w:space="0"/>
              <w:left w:val="single" w:color="000000" w:sz="8" w:space="0"/>
              <w:bottom w:val="single" w:color="000000" w:sz="8" w:space="0"/>
              <w:right w:val="single" w:color="000000" w:sz="8" w:space="0"/>
            </w:tcBorders>
            <w:shd w:val="clear" w:color="auto" w:fill="FFFFFF"/>
            <w:tcMar>
              <w:top w:w="15" w:type="dxa"/>
              <w:left w:w="108" w:type="dxa"/>
              <w:bottom w:w="0" w:type="dxa"/>
              <w:right w:w="108" w:type="dxa"/>
            </w:tcMar>
            <w:vAlign w:val="center"/>
          </w:tcPr>
          <w:p>
            <w:pPr>
              <w:widowControl/>
              <w:spacing w:line="342" w:lineRule="atLeast"/>
              <w:ind w:firstLine="420"/>
              <w:jc w:val="center"/>
              <w:rPr>
                <w:rFonts w:cs="Times New Roman"/>
                <w:kern w:val="0"/>
                <w:sz w:val="21"/>
              </w:rPr>
            </w:pPr>
            <w:r>
              <w:rPr>
                <w:rFonts w:cs="Times New Roman"/>
                <w:color w:val="000000" w:themeColor="text1"/>
                <w:kern w:val="0"/>
                <w:sz w:val="21"/>
                <w14:textFill>
                  <w14:solidFill>
                    <w14:schemeClr w14:val="tx1"/>
                  </w14:solidFill>
                </w14:textFill>
              </w:rPr>
              <w:t>≥3</w:t>
            </w:r>
          </w:p>
        </w:tc>
      </w:tr>
    </w:tbl>
    <w:p>
      <w:pPr>
        <w:adjustRightInd w:val="0"/>
        <w:snapToGrid w:val="0"/>
        <w:ind w:firstLine="360"/>
        <w:rPr>
          <w:rFonts w:cs="Times New Roman"/>
          <w:sz w:val="18"/>
          <w:szCs w:val="18"/>
        </w:rPr>
      </w:pPr>
      <w:r>
        <w:rPr>
          <w:rFonts w:cs="Times New Roman"/>
          <w:sz w:val="18"/>
          <w:szCs w:val="18"/>
        </w:rPr>
        <w:t>注： 对于室内覆盖系统泄漏到室外的信号，要求室内小区外泄至室外10米处信号强度低于室外主小区10dB（当建筑物距离道路不足10米时，以道路靠建筑一侧作为参考点）。</w:t>
      </w:r>
    </w:p>
    <w:p>
      <w:pPr>
        <w:tabs>
          <w:tab w:val="left" w:pos="0"/>
        </w:tabs>
        <w:ind w:left="178" w:leftChars="74" w:firstLine="480"/>
        <w:rPr>
          <w:rFonts w:cs="Times New Roman"/>
        </w:rPr>
      </w:pPr>
      <w:r>
        <w:rPr>
          <w:rFonts w:cs="Times New Roman"/>
        </w:rPr>
        <w:t>室内覆盖系统速率指标，主要针对5G分布式皮基站提出。对于现有DAS系统，若采用合路方式馈入5G信源，不对此类方式提指标要求，如果无源器件等存在损坏、频段不支持等情况，应予以维修、更换。</w:t>
      </w:r>
    </w:p>
    <w:p>
      <w:pPr>
        <w:tabs>
          <w:tab w:val="left" w:pos="0"/>
        </w:tabs>
        <w:ind w:left="178" w:leftChars="74" w:firstLine="480"/>
        <w:rPr>
          <w:rFonts w:cs="Times New Roman"/>
        </w:rPr>
      </w:pPr>
      <w:r>
        <w:rPr>
          <w:rFonts w:cs="Times New Roman"/>
        </w:rPr>
        <w:t>单用户平均速率指标如下：</w:t>
      </w:r>
    </w:p>
    <w:p>
      <w:pPr>
        <w:pStyle w:val="290"/>
      </w:pPr>
      <w:r>
        <w:t>表 4.</w:t>
      </w:r>
      <w:r>
        <w:rPr>
          <w:rFonts w:hint="eastAsia"/>
        </w:rPr>
        <w:t>5</w:t>
      </w:r>
      <w:r>
        <w:t>-3 室内覆盖系统单用户平均速率指标</w:t>
      </w:r>
    </w:p>
    <w:tbl>
      <w:tblPr>
        <w:tblStyle w:val="63"/>
        <w:tblW w:w="8726" w:type="dxa"/>
        <w:jc w:val="center"/>
        <w:tblLayout w:type="fixed"/>
        <w:tblCellMar>
          <w:top w:w="0" w:type="dxa"/>
          <w:left w:w="0" w:type="dxa"/>
          <w:bottom w:w="0" w:type="dxa"/>
          <w:right w:w="0" w:type="dxa"/>
        </w:tblCellMar>
      </w:tblPr>
      <w:tblGrid>
        <w:gridCol w:w="1842"/>
        <w:gridCol w:w="1701"/>
        <w:gridCol w:w="1701"/>
        <w:gridCol w:w="1781"/>
        <w:gridCol w:w="1701"/>
      </w:tblGrid>
      <w:tr>
        <w:tblPrEx>
          <w:tblCellMar>
            <w:top w:w="0" w:type="dxa"/>
            <w:left w:w="0" w:type="dxa"/>
            <w:bottom w:w="0" w:type="dxa"/>
            <w:right w:w="0" w:type="dxa"/>
          </w:tblCellMar>
        </w:tblPrEx>
        <w:trPr>
          <w:trHeight w:val="58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基站类型</w:t>
            </w:r>
          </w:p>
        </w:tc>
        <w:tc>
          <w:tcPr>
            <w:tcW w:w="340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分布式皮基站（4T4R）</w:t>
            </w:r>
          </w:p>
        </w:tc>
        <w:tc>
          <w:tcPr>
            <w:tcW w:w="348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分布式皮基站（2T2R）</w:t>
            </w:r>
          </w:p>
        </w:tc>
      </w:tr>
      <w:tr>
        <w:tblPrEx>
          <w:tblCellMar>
            <w:top w:w="0" w:type="dxa"/>
            <w:left w:w="0" w:type="dxa"/>
            <w:bottom w:w="0" w:type="dxa"/>
            <w:right w:w="0" w:type="dxa"/>
          </w:tblCellMar>
        </w:tblPrEx>
        <w:trPr>
          <w:trHeight w:val="432"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指标类型</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上行平均速率（Mbps）</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199" w:firstLineChars="95"/>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w:t>
            </w:r>
          </w:p>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（Mbps）</w:t>
            </w:r>
          </w:p>
        </w:tc>
      </w:tr>
      <w:tr>
        <w:tblPrEx>
          <w:tblCellMar>
            <w:top w:w="0" w:type="dxa"/>
            <w:left w:w="0" w:type="dxa"/>
            <w:bottom w:w="0" w:type="dxa"/>
            <w:right w:w="0" w:type="dxa"/>
          </w:tblCellMar>
        </w:tblPrEx>
        <w:trPr>
          <w:trHeight w:val="34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SA组网架构</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≥600</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≥70</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≥300</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 xml:space="preserve">≥30 </w:t>
            </w:r>
          </w:p>
        </w:tc>
      </w:tr>
    </w:tbl>
    <w:p>
      <w:pPr>
        <w:tabs>
          <w:tab w:val="left" w:pos="0"/>
        </w:tabs>
        <w:ind w:left="178" w:leftChars="74" w:firstLine="480"/>
        <w:rPr>
          <w:rFonts w:cs="Times New Roman"/>
        </w:rPr>
      </w:pPr>
      <w:r>
        <w:rPr>
          <w:rFonts w:cs="Times New Roman"/>
        </w:rPr>
        <w:t>单用户的边缘速率定义为：RSRP覆盖电平在-105~-100dBm之间的速率平均值。单用户边缘速率指标如下：</w:t>
      </w:r>
    </w:p>
    <w:p>
      <w:pPr>
        <w:pStyle w:val="290"/>
      </w:pPr>
      <w:r>
        <w:t>表 4.</w:t>
      </w:r>
      <w:r>
        <w:rPr>
          <w:rFonts w:hint="eastAsia"/>
        </w:rPr>
        <w:t>5</w:t>
      </w:r>
      <w:r>
        <w:t>-4  室内覆盖基站单用户边缘速率指标</w:t>
      </w:r>
    </w:p>
    <w:tbl>
      <w:tblPr>
        <w:tblStyle w:val="63"/>
        <w:tblW w:w="8726" w:type="dxa"/>
        <w:jc w:val="center"/>
        <w:tblLayout w:type="fixed"/>
        <w:tblCellMar>
          <w:top w:w="0" w:type="dxa"/>
          <w:left w:w="0" w:type="dxa"/>
          <w:bottom w:w="0" w:type="dxa"/>
          <w:right w:w="0" w:type="dxa"/>
        </w:tblCellMar>
      </w:tblPr>
      <w:tblGrid>
        <w:gridCol w:w="1842"/>
        <w:gridCol w:w="1701"/>
        <w:gridCol w:w="1701"/>
        <w:gridCol w:w="1781"/>
        <w:gridCol w:w="1701"/>
      </w:tblGrid>
      <w:tr>
        <w:tblPrEx>
          <w:tblCellMar>
            <w:top w:w="0" w:type="dxa"/>
            <w:left w:w="0" w:type="dxa"/>
            <w:bottom w:w="0" w:type="dxa"/>
            <w:right w:w="0" w:type="dxa"/>
          </w:tblCellMar>
        </w:tblPrEx>
        <w:trPr>
          <w:trHeight w:val="58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基站类型</w:t>
            </w:r>
          </w:p>
        </w:tc>
        <w:tc>
          <w:tcPr>
            <w:tcW w:w="340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分布式皮基站（4T4R）</w:t>
            </w:r>
          </w:p>
        </w:tc>
        <w:tc>
          <w:tcPr>
            <w:tcW w:w="3482" w:type="dxa"/>
            <w:gridSpan w:val="2"/>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分布式皮基站（2T2R）</w:t>
            </w:r>
          </w:p>
        </w:tc>
      </w:tr>
      <w:tr>
        <w:tblPrEx>
          <w:tblCellMar>
            <w:top w:w="0" w:type="dxa"/>
            <w:left w:w="0" w:type="dxa"/>
            <w:bottom w:w="0" w:type="dxa"/>
            <w:right w:w="0" w:type="dxa"/>
          </w:tblCellMar>
        </w:tblPrEx>
        <w:trPr>
          <w:trHeight w:val="432"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指标类型</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w:t>
            </w:r>
          </w:p>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上行平均速率（Mbps）</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下行平均速率（Mbps）</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上行平均速率（Mbps）</w:t>
            </w:r>
          </w:p>
        </w:tc>
      </w:tr>
      <w:tr>
        <w:tblPrEx>
          <w:tblCellMar>
            <w:top w:w="0" w:type="dxa"/>
            <w:left w:w="0" w:type="dxa"/>
            <w:bottom w:w="0" w:type="dxa"/>
            <w:right w:w="0" w:type="dxa"/>
          </w:tblCellMar>
        </w:tblPrEx>
        <w:trPr>
          <w:trHeight w:val="348" w:hRule="atLeast"/>
          <w:jc w:val="center"/>
        </w:trPr>
        <w:tc>
          <w:tcPr>
            <w:tcW w:w="184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42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SA组网架构</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≥200</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≥20</w:t>
            </w:r>
          </w:p>
        </w:tc>
        <w:tc>
          <w:tcPr>
            <w:tcW w:w="178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 xml:space="preserve">≥120 </w:t>
            </w:r>
          </w:p>
        </w:tc>
        <w:tc>
          <w:tcPr>
            <w:tcW w:w="1701"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bottom w:w="0" w:type="dxa"/>
              <w:right w:w="12" w:type="dxa"/>
            </w:tcMar>
            <w:vAlign w:val="center"/>
          </w:tcPr>
          <w:p>
            <w:pPr>
              <w:widowControl/>
              <w:spacing w:line="288" w:lineRule="atLeast"/>
              <w:ind w:firstLine="0" w:firstLineChars="0"/>
              <w:jc w:val="center"/>
              <w:rPr>
                <w:rFonts w:cs="Times New Roman"/>
                <w:bCs/>
                <w:color w:val="000000" w:themeColor="text1"/>
                <w:kern w:val="0"/>
                <w:sz w:val="21"/>
                <w14:textFill>
                  <w14:solidFill>
                    <w14:schemeClr w14:val="tx1"/>
                  </w14:solidFill>
                </w14:textFill>
              </w:rPr>
            </w:pPr>
            <w:r>
              <w:rPr>
                <w:rFonts w:cs="Times New Roman"/>
                <w:bCs/>
                <w:color w:val="000000" w:themeColor="text1"/>
                <w:kern w:val="0"/>
                <w:sz w:val="21"/>
                <w14:textFill>
                  <w14:solidFill>
                    <w14:schemeClr w14:val="tx1"/>
                  </w14:solidFill>
                </w14:textFill>
              </w:rPr>
              <w:t>≥12</w:t>
            </w:r>
          </w:p>
        </w:tc>
      </w:tr>
    </w:tbl>
    <w:p>
      <w:pPr>
        <w:tabs>
          <w:tab w:val="left" w:pos="0"/>
        </w:tabs>
        <w:ind w:firstLine="480"/>
        <w:rPr>
          <w:rFonts w:cs="Times New Roman"/>
          <w:color w:val="FF0000"/>
        </w:rPr>
      </w:pPr>
    </w:p>
    <w:p>
      <w:pPr>
        <w:pStyle w:val="5"/>
        <w:rPr>
          <w:rFonts w:cs="Times New Roman"/>
        </w:rPr>
      </w:pPr>
      <w:bookmarkStart w:id="201" w:name="_Toc11767579"/>
      <w:bookmarkEnd w:id="201"/>
      <w:bookmarkStart w:id="202" w:name="_Toc11766603"/>
      <w:bookmarkEnd w:id="202"/>
      <w:bookmarkStart w:id="203" w:name="_Toc23824"/>
      <w:bookmarkStart w:id="204" w:name="_Toc447202462"/>
      <w:bookmarkStart w:id="205" w:name="_Toc447204511"/>
      <w:bookmarkStart w:id="206" w:name="_Toc452131580"/>
      <w:bookmarkStart w:id="207" w:name="_Toc2868666"/>
      <w:r>
        <w:rPr>
          <w:rFonts w:cs="Times New Roman"/>
        </w:rPr>
        <w:t>基站同步要求</w:t>
      </w:r>
      <w:bookmarkEnd w:id="203"/>
      <w:bookmarkEnd w:id="204"/>
      <w:bookmarkEnd w:id="205"/>
      <w:bookmarkEnd w:id="206"/>
      <w:bookmarkEnd w:id="207"/>
    </w:p>
    <w:p>
      <w:pPr>
        <w:adjustRightInd w:val="0"/>
        <w:snapToGrid w:val="0"/>
        <w:ind w:firstLine="424" w:firstLineChars="177"/>
        <w:rPr>
          <w:rFonts w:cs="Times New Roman"/>
        </w:rPr>
      </w:pPr>
      <w:bookmarkStart w:id="208" w:name="_Toc447204512"/>
      <w:bookmarkStart w:id="209" w:name="_Toc452131581"/>
      <w:bookmarkStart w:id="210" w:name="_Toc447202463"/>
      <w:r>
        <w:rPr>
          <w:rFonts w:cs="Times New Roman"/>
        </w:rPr>
        <w:t>系统需要严格的时间同步，同步方案包括卫星同步、IEEE 1588V2等。</w:t>
      </w:r>
    </w:p>
    <w:p>
      <w:pPr>
        <w:adjustRightInd w:val="0"/>
        <w:snapToGrid w:val="0"/>
        <w:ind w:firstLine="424" w:firstLineChars="177"/>
        <w:rPr>
          <w:rFonts w:cs="Times New Roman"/>
        </w:rPr>
      </w:pPr>
      <w:r>
        <w:rPr>
          <w:rFonts w:cs="Times New Roman"/>
        </w:rPr>
        <w:t>（1）卫星同步：指接收定位卫星（如GPS，北斗等）的定位信号，获取时钟同步。此技术可获得较高的同步精度，但在卫星信号难以获取的室外楼宇遮挡较严重区域、室内区域等此技术可能失效。5G基站应优先采用卫星同步方案。</w:t>
      </w:r>
    </w:p>
    <w:p>
      <w:pPr>
        <w:adjustRightInd w:val="0"/>
        <w:snapToGrid w:val="0"/>
        <w:ind w:firstLine="424" w:firstLineChars="177"/>
        <w:rPr>
          <w:rFonts w:cs="Times New Roman"/>
        </w:rPr>
      </w:pPr>
      <w:r>
        <w:rPr>
          <w:rFonts w:cs="Times New Roman"/>
        </w:rPr>
        <w:t>中国移动5G基站同步要求支持北斗和GPS双模工作，具备自动切换功能。对于5G和TD-LTE共址基站，若5G与TD-LTE设备同厂家共BBU设置，且当前卫星接收天线支持北斗/GPS双模，5G可直接利用现有同步信号；若5G 与TD-LTE设备同厂家分BBU设置，且当前卫星接收天线支持北斗/GPS双模，在满足北斗/GPS信号接收灵敏度的前提下，优先通过北斗/GPS信号分路方式为5G提供基站同步信号。否则新建北斗/GPS卫星接收天线。</w:t>
      </w:r>
    </w:p>
    <w:p>
      <w:pPr>
        <w:adjustRightInd w:val="0"/>
        <w:snapToGrid w:val="0"/>
        <w:ind w:firstLine="424" w:firstLineChars="177"/>
        <w:rPr>
          <w:rFonts w:cs="Times New Roman"/>
        </w:rPr>
      </w:pPr>
      <w:r>
        <w:rPr>
          <w:rFonts w:cs="Times New Roman"/>
        </w:rPr>
        <w:t>（2）IEEE 1588V2：在回传链路具备条件时，可采用IEEE 1588V2的时钟同步，通过传输网络中的时钟服务器获取时钟同步，精度可达到亚微秒级。IEEE 1588V2部署包括时间同步源部署和地面回传网络改造，地面回传网络改造需解决抖动测量和时延配置补偿等传输设备配置与调整问题。当具备IEEE 1588V2同步条件时，对于北斗/GPS天线安装困难场景，可利用传输1588V2信号进行同步。</w:t>
      </w:r>
    </w:p>
    <w:p>
      <w:pPr>
        <w:pStyle w:val="5"/>
        <w:rPr>
          <w:rFonts w:cs="Times New Roman"/>
        </w:rPr>
      </w:pPr>
      <w:bookmarkStart w:id="211" w:name="_Toc18715"/>
      <w:bookmarkStart w:id="212" w:name="_Toc2868667"/>
      <w:r>
        <w:rPr>
          <w:rFonts w:cs="Times New Roman"/>
        </w:rPr>
        <w:t>4G基站升级改造需求</w:t>
      </w:r>
      <w:bookmarkEnd w:id="211"/>
      <w:bookmarkEnd w:id="212"/>
    </w:p>
    <w:p>
      <w:pPr>
        <w:pStyle w:val="6"/>
        <w:rPr>
          <w:rFonts w:cs="Times New Roman"/>
        </w:rPr>
      </w:pPr>
      <w:r>
        <w:rPr>
          <w:rFonts w:cs="Times New Roman"/>
        </w:rPr>
        <w:t>软件升级</w:t>
      </w:r>
    </w:p>
    <w:p>
      <w:pPr>
        <w:tabs>
          <w:tab w:val="left" w:pos="0"/>
        </w:tabs>
        <w:ind w:firstLine="480"/>
        <w:rPr>
          <w:rFonts w:cs="Times New Roman"/>
        </w:rPr>
      </w:pPr>
      <w:r>
        <w:rPr>
          <w:rFonts w:cs="Times New Roman"/>
        </w:rPr>
        <w:t>NSA组网方案下，现网4G基站应进行系列改造以支持4G基站与5G基站之间的双连接建立与管理，如：X2接口上双连接建立、修改、变更、释放等信令流程，数据在X2接口上的分流，流量控制以及双连接下的移动性等。</w:t>
      </w:r>
    </w:p>
    <w:p>
      <w:pPr>
        <w:tabs>
          <w:tab w:val="left" w:pos="0"/>
        </w:tabs>
        <w:ind w:firstLine="480"/>
        <w:rPr>
          <w:rFonts w:cs="Times New Roman"/>
        </w:rPr>
      </w:pPr>
      <w:r>
        <w:rPr>
          <w:rFonts w:cs="Times New Roman"/>
        </w:rPr>
        <w:t>SA组网方案下，现网4G基站应进行升级改造以支持4G、5G系统间互操作，如Xn接口、小区重选和切换等。</w:t>
      </w:r>
    </w:p>
    <w:p>
      <w:pPr>
        <w:pStyle w:val="6"/>
        <w:rPr>
          <w:rFonts w:cs="Times New Roman"/>
        </w:rPr>
      </w:pPr>
      <w:r>
        <w:rPr>
          <w:rFonts w:cs="Times New Roman"/>
        </w:rPr>
        <w:t>TDD 2.6G基站清频</w:t>
      </w:r>
    </w:p>
    <w:p>
      <w:pPr>
        <w:tabs>
          <w:tab w:val="left" w:pos="0"/>
        </w:tabs>
        <w:ind w:firstLine="480"/>
        <w:rPr>
          <w:rFonts w:cs="Times New Roman"/>
        </w:rPr>
      </w:pPr>
      <w:r>
        <w:rPr>
          <w:rFonts w:cs="Times New Roman"/>
        </w:rPr>
        <w:t>中国移动现有TDD 2.6G网络工作于2575~2635MHz频段（D1、D2、D3频点），为支持5G系统100MHz带宽，须对现有TDD 2.6G网络清频D1、D2频点。现网局部高容量区域，4G可暂保留D2频点，相应地5G工作带宽减为80MHz。</w:t>
      </w:r>
    </w:p>
    <w:p>
      <w:pPr>
        <w:pStyle w:val="6"/>
        <w:rPr>
          <w:rFonts w:cs="Times New Roman"/>
        </w:rPr>
      </w:pPr>
      <w:r>
        <w:rPr>
          <w:rFonts w:cs="Times New Roman"/>
        </w:rPr>
        <w:t>增配支持TDD 3D-MIMO的基带板</w:t>
      </w:r>
    </w:p>
    <w:p>
      <w:pPr>
        <w:ind w:firstLine="480"/>
        <w:jc w:val="left"/>
        <w:rPr>
          <w:rFonts w:cs="Times New Roman"/>
        </w:rPr>
      </w:pPr>
      <w:r>
        <w:rPr>
          <w:rFonts w:cs="Times New Roman"/>
        </w:rPr>
        <w:t>对于需要利用5G 160MHz 共模AAU反向开通TDD 2.6G的场景，应增配支持TDD 3D-MIMO的基带板。该基带板应选择4G/5G通用基带板。</w:t>
      </w:r>
    </w:p>
    <w:p>
      <w:pPr>
        <w:ind w:firstLine="480"/>
        <w:rPr>
          <w:rFonts w:cs="Times New Roman"/>
        </w:rPr>
      </w:pPr>
      <w:r>
        <w:rPr>
          <w:rFonts w:cs="Times New Roman"/>
        </w:rPr>
        <w:t>软件升级及增配基带板投资纳入本工程。</w:t>
      </w:r>
    </w:p>
    <w:p>
      <w:pPr>
        <w:pStyle w:val="5"/>
        <w:rPr>
          <w:rFonts w:cs="Times New Roman"/>
        </w:rPr>
      </w:pPr>
      <w:bookmarkStart w:id="213" w:name="_Toc12375"/>
      <w:bookmarkStart w:id="214" w:name="_Toc2868668"/>
      <w:r>
        <w:rPr>
          <w:rFonts w:cs="Times New Roman"/>
        </w:rPr>
        <w:t>基站传输带宽需求</w:t>
      </w:r>
      <w:bookmarkEnd w:id="208"/>
      <w:bookmarkEnd w:id="209"/>
      <w:bookmarkEnd w:id="210"/>
      <w:bookmarkEnd w:id="213"/>
      <w:bookmarkEnd w:id="214"/>
    </w:p>
    <w:p>
      <w:pPr>
        <w:pStyle w:val="6"/>
        <w:rPr>
          <w:rFonts w:cs="Times New Roman"/>
        </w:rPr>
      </w:pPr>
      <w:r>
        <w:rPr>
          <w:rFonts w:cs="Times New Roman"/>
        </w:rPr>
        <w:t>基站回传</w:t>
      </w:r>
    </w:p>
    <w:p>
      <w:pPr>
        <w:ind w:firstLine="480"/>
        <w:jc w:val="left"/>
        <w:rPr>
          <w:rFonts w:cs="Times New Roman"/>
        </w:rPr>
      </w:pPr>
      <w:r>
        <w:rPr>
          <w:rFonts w:cs="Times New Roman"/>
        </w:rPr>
        <w:t>5G NR系统相对于4G的平均速率和峰值速率有了较大的提升，各类基站回传对于传输带宽要求如下。具体配置及预留的传输带宽由传输专业根据传输环的不同层面和不同因素综合取定。</w:t>
      </w:r>
    </w:p>
    <w:p>
      <w:pPr>
        <w:pStyle w:val="603"/>
        <w:rPr>
          <w:rFonts w:cs="Times New Roman"/>
        </w:rPr>
      </w:pPr>
      <w:r>
        <w:rPr>
          <w:rFonts w:cs="Times New Roman"/>
        </w:rPr>
        <w:t>表 4.</w:t>
      </w:r>
      <w:r>
        <w:rPr>
          <w:rFonts w:hint="eastAsia" w:cs="Times New Roman"/>
        </w:rPr>
        <w:t>8</w:t>
      </w:r>
      <w:r>
        <w:rPr>
          <w:rFonts w:cs="Times New Roman"/>
        </w:rPr>
        <w:t>-1  5G基站回传带宽需求表</w:t>
      </w:r>
    </w:p>
    <w:tbl>
      <w:tblPr>
        <w:tblStyle w:val="63"/>
        <w:tblW w:w="833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0" w:type="dxa"/>
          <w:bottom w:w="0" w:type="dxa"/>
          <w:right w:w="0" w:type="dxa"/>
        </w:tblCellMar>
      </w:tblPr>
      <w:tblGrid>
        <w:gridCol w:w="1715"/>
        <w:gridCol w:w="879"/>
        <w:gridCol w:w="1957"/>
        <w:gridCol w:w="1984"/>
        <w:gridCol w:w="18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88" w:hRule="atLeast"/>
        </w:trPr>
        <w:tc>
          <w:tcPr>
            <w:tcW w:w="4551" w:type="dxa"/>
            <w:gridSpan w:val="3"/>
            <w:shd w:val="clear" w:color="auto" w:fill="auto"/>
            <w:tcMar>
              <w:top w:w="15" w:type="dxa"/>
              <w:left w:w="15" w:type="dxa"/>
              <w:bottom w:w="0" w:type="dxa"/>
              <w:right w:w="15" w:type="dxa"/>
            </w:tcMar>
            <w:vAlign w:val="center"/>
          </w:tcPr>
          <w:p>
            <w:pPr>
              <w:widowControl/>
              <w:ind w:firstLine="422"/>
              <w:jc w:val="center"/>
              <w:textAlignment w:val="center"/>
              <w:rPr>
                <w:rFonts w:cs="Times New Roman"/>
                <w:kern w:val="0"/>
                <w:sz w:val="21"/>
              </w:rPr>
            </w:pPr>
            <w:r>
              <w:rPr>
                <w:rFonts w:cs="Times New Roman"/>
                <w:b/>
                <w:bCs/>
                <w:color w:val="000000"/>
                <w:kern w:val="24"/>
                <w:sz w:val="21"/>
              </w:rPr>
              <w:t>5G NR带宽需求（Gbps）</w:t>
            </w:r>
          </w:p>
        </w:tc>
        <w:tc>
          <w:tcPr>
            <w:tcW w:w="1984"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b/>
                <w:bCs/>
                <w:color w:val="000000"/>
                <w:kern w:val="24"/>
                <w:sz w:val="21"/>
              </w:rPr>
              <w:t>100MHz载波带宽</w:t>
            </w:r>
          </w:p>
        </w:tc>
        <w:tc>
          <w:tcPr>
            <w:tcW w:w="1801"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b/>
                <w:bCs/>
                <w:color w:val="000000"/>
                <w:kern w:val="24"/>
                <w:sz w:val="21"/>
              </w:rPr>
              <w:t>80MHz载波带宽</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402" w:hRule="atLeast"/>
        </w:trPr>
        <w:tc>
          <w:tcPr>
            <w:tcW w:w="1715" w:type="dxa"/>
            <w:vMerge w:val="restart"/>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color w:val="000000"/>
                <w:kern w:val="24"/>
                <w:sz w:val="21"/>
              </w:rPr>
              <w:t>宏基站</w:t>
            </w:r>
            <w:r>
              <w:rPr>
                <w:rFonts w:cs="Times New Roman"/>
                <w:color w:val="000000"/>
                <w:kern w:val="24"/>
                <w:sz w:val="21"/>
                <w:vertAlign w:val="superscript"/>
              </w:rPr>
              <w:t>注1</w:t>
            </w:r>
          </w:p>
        </w:tc>
        <w:tc>
          <w:tcPr>
            <w:tcW w:w="879" w:type="dxa"/>
            <w:vMerge w:val="restart"/>
            <w:shd w:val="clear" w:color="auto" w:fill="auto"/>
            <w:tcMar>
              <w:top w:w="15" w:type="dxa"/>
              <w:left w:w="15" w:type="dxa"/>
              <w:bottom w:w="0" w:type="dxa"/>
              <w:right w:w="15" w:type="dxa"/>
            </w:tcMar>
            <w:vAlign w:val="center"/>
          </w:tcPr>
          <w:p>
            <w:pPr>
              <w:pStyle w:val="290"/>
            </w:pPr>
            <w:r>
              <w:t>S111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vAlign w:val="center"/>
          </w:tcPr>
          <w:p>
            <w:pPr>
              <w:pStyle w:val="290"/>
            </w:pPr>
            <w:r>
              <w:t>3.60</w:t>
            </w:r>
          </w:p>
        </w:tc>
        <w:tc>
          <w:tcPr>
            <w:tcW w:w="1801" w:type="dxa"/>
            <w:shd w:val="clear" w:color="auto" w:fill="auto"/>
            <w:tcMar>
              <w:top w:w="15" w:type="dxa"/>
              <w:left w:w="15" w:type="dxa"/>
              <w:bottom w:w="0" w:type="dxa"/>
              <w:right w:w="15" w:type="dxa"/>
            </w:tcMar>
            <w:vAlign w:val="center"/>
          </w:tcPr>
          <w:p>
            <w:pPr>
              <w:pStyle w:val="290"/>
            </w:pPr>
            <w:r>
              <w:t>2.88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4"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widowControl/>
              <w:ind w:firstLine="420"/>
              <w:jc w:val="center"/>
              <w:rPr>
                <w:rFonts w:cs="Times New Roman"/>
                <w:kern w:val="0"/>
                <w:sz w:val="21"/>
              </w:rPr>
            </w:pPr>
          </w:p>
        </w:tc>
        <w:tc>
          <w:tcPr>
            <w:tcW w:w="1957"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sz w:val="21"/>
              </w:rPr>
              <w:t>峰值传输速率</w:t>
            </w:r>
          </w:p>
        </w:tc>
        <w:tc>
          <w:tcPr>
            <w:tcW w:w="1984" w:type="dxa"/>
            <w:shd w:val="clear" w:color="auto" w:fill="auto"/>
            <w:tcMar>
              <w:top w:w="15" w:type="dxa"/>
              <w:left w:w="15" w:type="dxa"/>
              <w:bottom w:w="0" w:type="dxa"/>
              <w:right w:w="15" w:type="dxa"/>
            </w:tcMar>
          </w:tcPr>
          <w:p>
            <w:pPr>
              <w:pStyle w:val="290"/>
            </w:pPr>
            <w:r>
              <w:t>15.30</w:t>
            </w:r>
          </w:p>
        </w:tc>
        <w:tc>
          <w:tcPr>
            <w:tcW w:w="1801" w:type="dxa"/>
            <w:shd w:val="clear" w:color="auto" w:fill="auto"/>
            <w:tcMar>
              <w:top w:w="15" w:type="dxa"/>
              <w:left w:w="15" w:type="dxa"/>
              <w:bottom w:w="0" w:type="dxa"/>
              <w:right w:w="15" w:type="dxa"/>
            </w:tcMar>
          </w:tcPr>
          <w:p>
            <w:pPr>
              <w:pStyle w:val="290"/>
            </w:pPr>
            <w:r>
              <w:t>12.24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401" w:hRule="atLeast"/>
        </w:trPr>
        <w:tc>
          <w:tcPr>
            <w:tcW w:w="1715" w:type="dxa"/>
            <w:vMerge w:val="continue"/>
            <w:vAlign w:val="center"/>
          </w:tcPr>
          <w:p>
            <w:pPr>
              <w:widowControl/>
              <w:ind w:firstLine="420"/>
              <w:jc w:val="center"/>
              <w:rPr>
                <w:rFonts w:cs="Times New Roman"/>
                <w:kern w:val="0"/>
                <w:sz w:val="21"/>
              </w:rPr>
            </w:pPr>
          </w:p>
        </w:tc>
        <w:tc>
          <w:tcPr>
            <w:tcW w:w="879" w:type="dxa"/>
            <w:vMerge w:val="restart"/>
            <w:shd w:val="clear" w:color="auto" w:fill="auto"/>
            <w:tcMar>
              <w:top w:w="15" w:type="dxa"/>
              <w:left w:w="15" w:type="dxa"/>
              <w:bottom w:w="0" w:type="dxa"/>
              <w:right w:w="15" w:type="dxa"/>
            </w:tcMar>
            <w:vAlign w:val="center"/>
          </w:tcPr>
          <w:p>
            <w:pPr>
              <w:pStyle w:val="290"/>
            </w:pPr>
            <w:r>
              <w:t>S11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vAlign w:val="center"/>
          </w:tcPr>
          <w:p>
            <w:pPr>
              <w:pStyle w:val="290"/>
            </w:pPr>
            <w:r>
              <w:t>2.40</w:t>
            </w:r>
          </w:p>
        </w:tc>
        <w:tc>
          <w:tcPr>
            <w:tcW w:w="1801" w:type="dxa"/>
            <w:shd w:val="clear" w:color="auto" w:fill="auto"/>
            <w:tcMar>
              <w:top w:w="15" w:type="dxa"/>
              <w:left w:w="15" w:type="dxa"/>
              <w:bottom w:w="0" w:type="dxa"/>
              <w:right w:w="15" w:type="dxa"/>
            </w:tcMar>
            <w:vAlign w:val="center"/>
          </w:tcPr>
          <w:p>
            <w:pPr>
              <w:pStyle w:val="290"/>
            </w:pPr>
            <w:r>
              <w:t>1.92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3"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widowControl/>
              <w:ind w:firstLine="420"/>
              <w:jc w:val="center"/>
              <w:rPr>
                <w:rFonts w:cs="Times New Roman"/>
                <w:kern w:val="0"/>
                <w:sz w:val="21"/>
              </w:rPr>
            </w:pPr>
          </w:p>
        </w:tc>
        <w:tc>
          <w:tcPr>
            <w:tcW w:w="1957"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sz w:val="21"/>
              </w:rPr>
              <w:t>峰值传输速率</w:t>
            </w:r>
          </w:p>
        </w:tc>
        <w:tc>
          <w:tcPr>
            <w:tcW w:w="1984" w:type="dxa"/>
            <w:shd w:val="clear" w:color="auto" w:fill="auto"/>
            <w:tcMar>
              <w:top w:w="15" w:type="dxa"/>
              <w:left w:w="15" w:type="dxa"/>
              <w:bottom w:w="0" w:type="dxa"/>
              <w:right w:w="15" w:type="dxa"/>
            </w:tcMar>
          </w:tcPr>
          <w:p>
            <w:pPr>
              <w:pStyle w:val="290"/>
            </w:pPr>
            <w:r>
              <w:t>10.20</w:t>
            </w:r>
          </w:p>
        </w:tc>
        <w:tc>
          <w:tcPr>
            <w:tcW w:w="1801" w:type="dxa"/>
            <w:shd w:val="clear" w:color="auto" w:fill="auto"/>
            <w:tcMar>
              <w:top w:w="15" w:type="dxa"/>
              <w:left w:w="15" w:type="dxa"/>
              <w:bottom w:w="0" w:type="dxa"/>
              <w:right w:w="15" w:type="dxa"/>
            </w:tcMar>
          </w:tcPr>
          <w:p>
            <w:pPr>
              <w:pStyle w:val="290"/>
            </w:pPr>
            <w:r>
              <w:t>8.16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8" w:hRule="atLeast"/>
        </w:trPr>
        <w:tc>
          <w:tcPr>
            <w:tcW w:w="1715" w:type="dxa"/>
            <w:vMerge w:val="continue"/>
            <w:vAlign w:val="center"/>
          </w:tcPr>
          <w:p>
            <w:pPr>
              <w:widowControl/>
              <w:ind w:firstLine="420"/>
              <w:jc w:val="center"/>
              <w:rPr>
                <w:rFonts w:cs="Times New Roman"/>
                <w:kern w:val="0"/>
                <w:sz w:val="21"/>
              </w:rPr>
            </w:pPr>
          </w:p>
        </w:tc>
        <w:tc>
          <w:tcPr>
            <w:tcW w:w="879" w:type="dxa"/>
            <w:vMerge w:val="restart"/>
            <w:shd w:val="clear" w:color="auto" w:fill="auto"/>
            <w:tcMar>
              <w:top w:w="15" w:type="dxa"/>
              <w:left w:w="15" w:type="dxa"/>
              <w:bottom w:w="0" w:type="dxa"/>
              <w:right w:w="15" w:type="dxa"/>
            </w:tcMar>
            <w:vAlign w:val="center"/>
          </w:tcPr>
          <w:p>
            <w:pPr>
              <w:pStyle w:val="290"/>
            </w:pPr>
            <w:r>
              <w:t>O1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vAlign w:val="center"/>
          </w:tcPr>
          <w:p>
            <w:pPr>
              <w:pStyle w:val="290"/>
            </w:pPr>
            <w:r>
              <w:t>1.20</w:t>
            </w:r>
          </w:p>
        </w:tc>
        <w:tc>
          <w:tcPr>
            <w:tcW w:w="1801" w:type="dxa"/>
            <w:shd w:val="clear" w:color="auto" w:fill="auto"/>
            <w:tcMar>
              <w:top w:w="15" w:type="dxa"/>
              <w:left w:w="15" w:type="dxa"/>
              <w:bottom w:w="0" w:type="dxa"/>
              <w:right w:w="15" w:type="dxa"/>
            </w:tcMar>
            <w:vAlign w:val="center"/>
          </w:tcPr>
          <w:p>
            <w:pPr>
              <w:pStyle w:val="290"/>
            </w:pPr>
            <w:r>
              <w:t>0.96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1"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widowControl/>
              <w:ind w:firstLine="420"/>
              <w:jc w:val="center"/>
              <w:rPr>
                <w:rFonts w:cs="Times New Roman"/>
                <w:kern w:val="0"/>
                <w:sz w:val="21"/>
              </w:rPr>
            </w:pPr>
          </w:p>
        </w:tc>
        <w:tc>
          <w:tcPr>
            <w:tcW w:w="1957" w:type="dxa"/>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sz w:val="21"/>
              </w:rPr>
              <w:t>峰值传输速率</w:t>
            </w:r>
          </w:p>
        </w:tc>
        <w:tc>
          <w:tcPr>
            <w:tcW w:w="1984" w:type="dxa"/>
            <w:shd w:val="clear" w:color="auto" w:fill="auto"/>
            <w:tcMar>
              <w:top w:w="15" w:type="dxa"/>
              <w:left w:w="15" w:type="dxa"/>
              <w:bottom w:w="0" w:type="dxa"/>
              <w:right w:w="15" w:type="dxa"/>
            </w:tcMar>
          </w:tcPr>
          <w:p>
            <w:pPr>
              <w:pStyle w:val="290"/>
            </w:pPr>
            <w:r>
              <w:t>5.10</w:t>
            </w:r>
          </w:p>
        </w:tc>
        <w:tc>
          <w:tcPr>
            <w:tcW w:w="1801" w:type="dxa"/>
            <w:shd w:val="clear" w:color="auto" w:fill="auto"/>
            <w:tcMar>
              <w:top w:w="15" w:type="dxa"/>
              <w:left w:w="15" w:type="dxa"/>
              <w:bottom w:w="0" w:type="dxa"/>
              <w:right w:w="15" w:type="dxa"/>
            </w:tcMar>
          </w:tcPr>
          <w:p>
            <w:pPr>
              <w:pStyle w:val="290"/>
            </w:pPr>
            <w:r>
              <w:t>4.08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97" w:hRule="atLeast"/>
        </w:trPr>
        <w:tc>
          <w:tcPr>
            <w:tcW w:w="1715" w:type="dxa"/>
            <w:vMerge w:val="restart"/>
            <w:shd w:val="clear" w:color="auto" w:fill="auto"/>
            <w:tcMar>
              <w:top w:w="15" w:type="dxa"/>
              <w:left w:w="15" w:type="dxa"/>
              <w:bottom w:w="0" w:type="dxa"/>
              <w:right w:w="15" w:type="dxa"/>
            </w:tcMar>
            <w:vAlign w:val="center"/>
          </w:tcPr>
          <w:p>
            <w:pPr>
              <w:widowControl/>
              <w:ind w:firstLine="0" w:firstLineChars="0"/>
              <w:jc w:val="center"/>
              <w:textAlignment w:val="center"/>
              <w:rPr>
                <w:rFonts w:cs="Times New Roman"/>
                <w:kern w:val="0"/>
                <w:sz w:val="21"/>
              </w:rPr>
            </w:pPr>
            <w:r>
              <w:rPr>
                <w:rFonts w:cs="Times New Roman"/>
                <w:color w:val="000000"/>
                <w:kern w:val="24"/>
                <w:sz w:val="21"/>
              </w:rPr>
              <w:t>室内覆盖基站</w:t>
            </w:r>
            <w:r>
              <w:rPr>
                <w:rFonts w:cs="Times New Roman"/>
                <w:color w:val="000000"/>
                <w:kern w:val="24"/>
                <w:sz w:val="21"/>
                <w:vertAlign w:val="superscript"/>
              </w:rPr>
              <w:t>注2</w:t>
            </w:r>
          </w:p>
        </w:tc>
        <w:tc>
          <w:tcPr>
            <w:tcW w:w="879" w:type="dxa"/>
            <w:vMerge w:val="restart"/>
            <w:shd w:val="clear" w:color="auto" w:fill="auto"/>
            <w:tcMar>
              <w:top w:w="15" w:type="dxa"/>
              <w:left w:w="15" w:type="dxa"/>
              <w:bottom w:w="0" w:type="dxa"/>
              <w:right w:w="15" w:type="dxa"/>
            </w:tcMar>
            <w:vAlign w:val="center"/>
          </w:tcPr>
          <w:p>
            <w:pPr>
              <w:pStyle w:val="290"/>
            </w:pPr>
            <w:r>
              <w:t>O1</w:t>
            </w:r>
          </w:p>
        </w:tc>
        <w:tc>
          <w:tcPr>
            <w:tcW w:w="1957" w:type="dxa"/>
            <w:shd w:val="clear" w:color="auto" w:fill="auto"/>
            <w:tcMar>
              <w:top w:w="15" w:type="dxa"/>
              <w:left w:w="15" w:type="dxa"/>
              <w:bottom w:w="0" w:type="dxa"/>
              <w:right w:w="15" w:type="dxa"/>
            </w:tcMar>
            <w:vAlign w:val="center"/>
          </w:tcPr>
          <w:p>
            <w:pPr>
              <w:pStyle w:val="290"/>
            </w:pPr>
            <w:r>
              <w:t>平均传输速率</w:t>
            </w:r>
          </w:p>
        </w:tc>
        <w:tc>
          <w:tcPr>
            <w:tcW w:w="1984" w:type="dxa"/>
            <w:shd w:val="clear" w:color="auto" w:fill="auto"/>
            <w:tcMar>
              <w:top w:w="15" w:type="dxa"/>
              <w:left w:w="15" w:type="dxa"/>
              <w:bottom w:w="0" w:type="dxa"/>
              <w:right w:w="15" w:type="dxa"/>
            </w:tcMar>
          </w:tcPr>
          <w:p>
            <w:pPr>
              <w:pStyle w:val="290"/>
            </w:pPr>
            <w:r>
              <w:t>0.60</w:t>
            </w:r>
          </w:p>
        </w:tc>
        <w:tc>
          <w:tcPr>
            <w:tcW w:w="1801" w:type="dxa"/>
            <w:shd w:val="clear" w:color="auto" w:fill="auto"/>
            <w:tcMar>
              <w:top w:w="15" w:type="dxa"/>
              <w:left w:w="15" w:type="dxa"/>
              <w:bottom w:w="0" w:type="dxa"/>
              <w:right w:w="15" w:type="dxa"/>
            </w:tcMar>
            <w:vAlign w:val="center"/>
          </w:tcPr>
          <w:p>
            <w:pPr>
              <w:pStyle w:val="290"/>
            </w:pPr>
            <w:r>
              <w:t>0.48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0" w:type="dxa"/>
            <w:bottom w:w="0" w:type="dxa"/>
            <w:right w:w="0" w:type="dxa"/>
          </w:tblCellMar>
        </w:tblPrEx>
        <w:trPr>
          <w:trHeight w:val="389" w:hRule="atLeast"/>
        </w:trPr>
        <w:tc>
          <w:tcPr>
            <w:tcW w:w="1715" w:type="dxa"/>
            <w:vMerge w:val="continue"/>
            <w:vAlign w:val="center"/>
          </w:tcPr>
          <w:p>
            <w:pPr>
              <w:widowControl/>
              <w:ind w:firstLine="420"/>
              <w:jc w:val="center"/>
              <w:rPr>
                <w:rFonts w:cs="Times New Roman"/>
                <w:kern w:val="0"/>
                <w:sz w:val="21"/>
              </w:rPr>
            </w:pPr>
          </w:p>
        </w:tc>
        <w:tc>
          <w:tcPr>
            <w:tcW w:w="879" w:type="dxa"/>
            <w:vMerge w:val="continue"/>
            <w:vAlign w:val="center"/>
          </w:tcPr>
          <w:p>
            <w:pPr>
              <w:pStyle w:val="290"/>
            </w:pPr>
          </w:p>
        </w:tc>
        <w:tc>
          <w:tcPr>
            <w:tcW w:w="1957" w:type="dxa"/>
            <w:shd w:val="clear" w:color="auto" w:fill="auto"/>
            <w:tcMar>
              <w:top w:w="15" w:type="dxa"/>
              <w:left w:w="15" w:type="dxa"/>
              <w:bottom w:w="0" w:type="dxa"/>
              <w:right w:w="15" w:type="dxa"/>
            </w:tcMar>
            <w:vAlign w:val="center"/>
          </w:tcPr>
          <w:p>
            <w:pPr>
              <w:pStyle w:val="290"/>
            </w:pPr>
            <w:r>
              <w:t>峰值传输速率</w:t>
            </w:r>
          </w:p>
        </w:tc>
        <w:tc>
          <w:tcPr>
            <w:tcW w:w="1984" w:type="dxa"/>
            <w:shd w:val="clear" w:color="auto" w:fill="auto"/>
            <w:tcMar>
              <w:top w:w="15" w:type="dxa"/>
              <w:left w:w="15" w:type="dxa"/>
              <w:bottom w:w="0" w:type="dxa"/>
              <w:right w:w="15" w:type="dxa"/>
            </w:tcMar>
          </w:tcPr>
          <w:p>
            <w:pPr>
              <w:pStyle w:val="290"/>
            </w:pPr>
            <w:r>
              <w:t>1.40</w:t>
            </w:r>
          </w:p>
        </w:tc>
        <w:tc>
          <w:tcPr>
            <w:tcW w:w="1801" w:type="dxa"/>
            <w:shd w:val="clear" w:color="auto" w:fill="auto"/>
            <w:tcMar>
              <w:top w:w="15" w:type="dxa"/>
              <w:left w:w="15" w:type="dxa"/>
              <w:bottom w:w="0" w:type="dxa"/>
              <w:right w:w="15" w:type="dxa"/>
            </w:tcMar>
            <w:vAlign w:val="center"/>
          </w:tcPr>
          <w:p>
            <w:pPr>
              <w:pStyle w:val="290"/>
            </w:pPr>
            <w:r>
              <w:t>1.12</w:t>
            </w:r>
          </w:p>
        </w:tc>
      </w:tr>
    </w:tbl>
    <w:p>
      <w:pPr>
        <w:adjustRightInd w:val="0"/>
        <w:snapToGrid w:val="0"/>
        <w:ind w:firstLine="360"/>
        <w:rPr>
          <w:rFonts w:cs="Times New Roman"/>
          <w:sz w:val="18"/>
          <w:szCs w:val="18"/>
        </w:rPr>
      </w:pPr>
      <w:r>
        <w:rPr>
          <w:rFonts w:cs="Times New Roman"/>
          <w:sz w:val="18"/>
          <w:szCs w:val="18"/>
        </w:rPr>
        <w:t>注1：2.6G宏站，SCS-30KHz，AAU-53dBm，UE-26dBm，5ms(6:4:4) frame structure，192 mMIMO 64T64R；</w:t>
      </w:r>
    </w:p>
    <w:p>
      <w:pPr>
        <w:adjustRightInd w:val="0"/>
        <w:snapToGrid w:val="0"/>
        <w:ind w:firstLine="360"/>
        <w:rPr>
          <w:rFonts w:cs="Times New Roman"/>
          <w:sz w:val="18"/>
          <w:szCs w:val="18"/>
        </w:rPr>
      </w:pPr>
      <w:r>
        <w:rPr>
          <w:rFonts w:cs="Times New Roman"/>
          <w:sz w:val="18"/>
          <w:szCs w:val="18"/>
        </w:rPr>
        <w:t>注2：分布式皮基站按照4T4R核算。</w:t>
      </w:r>
    </w:p>
    <w:p>
      <w:pPr>
        <w:ind w:firstLine="480"/>
        <w:jc w:val="left"/>
        <w:rPr>
          <w:rFonts w:cs="Times New Roman"/>
        </w:rPr>
      </w:pPr>
      <w:r>
        <w:rPr>
          <w:rFonts w:cs="Times New Roman"/>
        </w:rPr>
        <w:t>同时，应根据现网部署场景的业务模型对以上峰值速率和平均速率进行加权取定。例如对于典型S111宏站（载波带宽100MHz），当业务模型为1个小区达到峰值、2个小区达到均值时，其回传传输带宽需求约为7.5Gbps，建议基站主控板配置10GE光模块。</w:t>
      </w:r>
    </w:p>
    <w:p>
      <w:pPr>
        <w:pStyle w:val="6"/>
        <w:rPr>
          <w:rFonts w:cs="Times New Roman"/>
        </w:rPr>
      </w:pPr>
      <w:r>
        <w:rPr>
          <w:rFonts w:cs="Times New Roman"/>
        </w:rPr>
        <w:t>基站前传</w:t>
      </w:r>
    </w:p>
    <w:p>
      <w:pPr>
        <w:ind w:firstLine="480"/>
        <w:rPr>
          <w:rFonts w:cs="Times New Roman"/>
        </w:rPr>
      </w:pPr>
      <w:r>
        <w:rPr>
          <w:rFonts w:cs="Times New Roman"/>
        </w:rPr>
        <w:t>5G BBU至AAU或RRU之间的信号传输称为“基站前传”。根据设备规范要求，单小区前传带宽需求应小于25Gbps。</w:t>
      </w:r>
    </w:p>
    <w:p>
      <w:pPr>
        <w:pStyle w:val="4"/>
        <w:ind w:left="608" w:hanging="608"/>
        <w:rPr>
          <w:rFonts w:cs="Times New Roman"/>
        </w:rPr>
      </w:pPr>
      <w:bookmarkStart w:id="215" w:name="_Toc11446"/>
      <w:bookmarkStart w:id="216" w:name="_Toc2868662"/>
      <w:r>
        <w:rPr>
          <w:rFonts w:cs="Times New Roman"/>
        </w:rPr>
        <w:t>SA/NSA组网方案</w:t>
      </w:r>
      <w:bookmarkEnd w:id="215"/>
      <w:bookmarkEnd w:id="216"/>
    </w:p>
    <w:p>
      <w:pPr>
        <w:pStyle w:val="5"/>
        <w:rPr>
          <w:rFonts w:cs="Times New Roman"/>
        </w:rPr>
      </w:pPr>
      <w:bookmarkStart w:id="217" w:name="_Toc17619"/>
      <w:r>
        <w:rPr>
          <w:rFonts w:cs="Times New Roman"/>
        </w:rPr>
        <w:t>组网方式</w:t>
      </w:r>
      <w:bookmarkEnd w:id="217"/>
    </w:p>
    <w:p>
      <w:pPr>
        <w:ind w:firstLine="480"/>
        <w:rPr>
          <w:rFonts w:cs="Times New Roman"/>
        </w:rPr>
      </w:pPr>
      <w:r>
        <w:rPr>
          <w:rFonts w:cs="Times New Roman"/>
        </w:rPr>
        <w:t>以SA作为目标架构，同步推进NSA、SA发展与成熟。手机用户与垂直行业应用并举，手机客户本期工程由NSA承载，垂直行业终端由SA承载。</w:t>
      </w:r>
    </w:p>
    <w:p>
      <w:pPr>
        <w:ind w:firstLine="480"/>
        <w:rPr>
          <w:rFonts w:cs="Times New Roman"/>
        </w:rPr>
      </w:pPr>
      <w:r>
        <w:rPr>
          <w:rFonts w:cs="Times New Roman"/>
        </w:rPr>
        <w:t>5G基站支持NSA/SA双模工作模式，基站全部与EPC+连接，按需开启SA模式的基站与5GC连接。NSA方式升级改造4G/5G同覆盖区域相关的4G核心网为EPC+；SA方式利用试验网在南京建设的5GC，采用新卡新号方式，服务于行业终端。所有基站均按NSA方式开通，同时根据垂直行业需求，按需开通SA模式。</w:t>
      </w:r>
    </w:p>
    <w:p>
      <w:pPr>
        <w:ind w:firstLine="480"/>
        <w:rPr>
          <w:rFonts w:cs="Times New Roman"/>
        </w:rPr>
      </w:pPr>
      <w:r>
        <w:rPr>
          <w:rFonts w:cs="Times New Roman"/>
        </w:rPr>
        <w:t>中国移动5G以SA为目标架构，2020年主要以SA方式开展建设，确保技术领先；同时考虑到SA核心网2020年下半年具备基站接入能力、且5G NSA国际来访用户只可漫入 NSA/4G网络，因此SA核心网商用前，面向国际漫入、业务发展需求，在47个城市以NSA方式开通5G站点；其余城市不开启NSA方式；SA核心网具备基站接入能力后，全国所有5G基站均接入SA商用核心网，实现SA商用，56城市（一期工程52城市+47个国际漫游城市剔重）NSA开通的基站仍同时保留NSA方式。</w:t>
      </w:r>
    </w:p>
    <w:p>
      <w:pPr>
        <w:ind w:firstLine="480"/>
        <w:rPr>
          <w:rFonts w:cs="Times New Roman"/>
          <w:color w:val="00B0F0"/>
        </w:rPr>
      </w:pPr>
      <w:r>
        <w:rPr>
          <w:rFonts w:cs="Times New Roman"/>
          <w:color w:val="00B0F0"/>
        </w:rPr>
        <w:t xml:space="preserve"> </w:t>
      </w:r>
      <w:r>
        <w:rPr>
          <w:rFonts w:hint="eastAsia" w:cs="Times New Roman"/>
        </w:rPr>
        <w:t>无锡</w:t>
      </w:r>
      <w:r>
        <w:rPr>
          <w:rFonts w:cs="Times New Roman"/>
        </w:rPr>
        <w:t>市国际来访用户较多，属于47个城市之一。在SA核心网商用前，面向国际漫入、业务发展需求，以NSA方式开通5G站点。SA核心网具备基站接入能力后，</w:t>
      </w:r>
      <w:r>
        <w:rPr>
          <w:rFonts w:hint="eastAsia" w:cs="Times New Roman"/>
        </w:rPr>
        <w:t>无锡</w:t>
      </w:r>
      <w:r>
        <w:rPr>
          <w:rFonts w:cs="Times New Roman"/>
        </w:rPr>
        <w:t>市5G基站均接入SA商用核心网，实现SA商用，此前NSA开通的基站仍同时保留NSA方式。</w:t>
      </w:r>
    </w:p>
    <w:p>
      <w:pPr>
        <w:pStyle w:val="5"/>
        <w:rPr>
          <w:rFonts w:cs="Times New Roman"/>
        </w:rPr>
      </w:pPr>
      <w:bookmarkStart w:id="218" w:name="_Toc32928131"/>
      <w:bookmarkStart w:id="219" w:name="_Toc10878"/>
      <w:r>
        <w:rPr>
          <w:rFonts w:cs="Times New Roman"/>
        </w:rPr>
        <w:t>NSA组网锚点方案</w:t>
      </w:r>
      <w:bookmarkEnd w:id="218"/>
      <w:bookmarkEnd w:id="219"/>
    </w:p>
    <w:p>
      <w:pPr>
        <w:ind w:firstLine="480"/>
        <w:rPr>
          <w:rFonts w:cs="Times New Roman"/>
        </w:rPr>
      </w:pPr>
      <w:r>
        <w:rPr>
          <w:rFonts w:cs="Times New Roman"/>
        </w:rPr>
        <w:t>47城市NSA方式下5G基站需锚定4G网络开通，室外场景可以选择LTE FDD 1800MHz或TD-LTE 1.9GHz作为锚点网络，由于1800MHz作为锚点的上下行峰值速率、上下行边缘速率均好于F频段，建议同等情况下优先锚定1800MHz。</w:t>
      </w:r>
    </w:p>
    <w:p>
      <w:pPr>
        <w:ind w:firstLine="480"/>
        <w:rPr>
          <w:rFonts w:cs="Times New Roman"/>
        </w:rPr>
      </w:pPr>
      <w:r>
        <w:rPr>
          <w:rFonts w:cs="Times New Roman"/>
        </w:rPr>
        <w:t>室内新建场景，如采用多频多模（支持LTE FDD 1800MHz）分布式皮站建设，可采用LTE FDD 1800MHz作为锚点网络；已有传统室分系统改造场景，由于目前NSA方式不支持E频段锚点，无法开通NSA，待SA核心网商用后以SA方式开通。</w:t>
      </w:r>
    </w:p>
    <w:p>
      <w:pPr>
        <w:pStyle w:val="5"/>
        <w:rPr>
          <w:rFonts w:cs="Times New Roman"/>
        </w:rPr>
      </w:pPr>
      <w:bookmarkStart w:id="220" w:name="_Toc11876"/>
      <w:bookmarkStart w:id="221" w:name="_Toc32928132"/>
      <w:r>
        <w:rPr>
          <w:rFonts w:cs="Times New Roman"/>
        </w:rPr>
        <w:t>SA组网方案</w:t>
      </w:r>
      <w:bookmarkEnd w:id="220"/>
      <w:bookmarkEnd w:id="221"/>
    </w:p>
    <w:p>
      <w:pPr>
        <w:ind w:firstLine="480"/>
        <w:rPr>
          <w:rFonts w:cs="Times New Roman"/>
        </w:rPr>
      </w:pPr>
      <w:r>
        <w:rPr>
          <w:rFonts w:cs="Times New Roman"/>
        </w:rPr>
        <w:t>5G SA总体组网方案由核心网工程负责，本节主要简要描述5G无线网与SA核心网N2、N3接口对应的AMF、UPF组网方案。</w:t>
      </w:r>
    </w:p>
    <w:p>
      <w:pPr>
        <w:ind w:firstLine="480"/>
        <w:jc w:val="center"/>
        <w:rPr>
          <w:rFonts w:cs="Times New Roman"/>
          <w:sz w:val="21"/>
        </w:rPr>
      </w:pPr>
      <w:r>
        <w:rPr>
          <w:rFonts w:cs="Times New Roman"/>
        </w:rPr>
        <w:drawing>
          <wp:inline distT="0" distB="0" distL="0" distR="0">
            <wp:extent cx="5274310" cy="21659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274310" cy="2166102"/>
                    </a:xfrm>
                    <a:prstGeom prst="rect">
                      <a:avLst/>
                    </a:prstGeom>
                  </pic:spPr>
                </pic:pic>
              </a:graphicData>
            </a:graphic>
          </wp:inline>
        </w:drawing>
      </w:r>
      <w:r>
        <w:rPr>
          <w:rFonts w:cs="Times New Roman"/>
          <w:sz w:val="21"/>
        </w:rPr>
        <w:t>图5.</w:t>
      </w:r>
      <w:r>
        <w:rPr>
          <w:rFonts w:hint="eastAsia" w:cs="Times New Roman"/>
          <w:sz w:val="21"/>
        </w:rPr>
        <w:t>3</w:t>
      </w:r>
      <w:r>
        <w:rPr>
          <w:rFonts w:cs="Times New Roman"/>
          <w:sz w:val="21"/>
        </w:rPr>
        <w:t>-1 5G SA组网逻辑架构图</w:t>
      </w:r>
    </w:p>
    <w:p>
      <w:pPr>
        <w:ind w:firstLine="480"/>
        <w:rPr>
          <w:rFonts w:cs="Times New Roman"/>
        </w:rPr>
      </w:pPr>
      <w:r>
        <w:rPr>
          <w:rFonts w:cs="Times New Roman"/>
        </w:rPr>
        <w:t>与5G无线接入网通过N2接口联接的5G核心网AMF区分2B和2C独立设置，都在八大区网络云虚拟化部署，省份划分如下：</w:t>
      </w:r>
    </w:p>
    <w:p>
      <w:pPr>
        <w:ind w:firstLine="420"/>
        <w:jc w:val="center"/>
        <w:rPr>
          <w:rFonts w:cs="Times New Roman"/>
          <w:sz w:val="21"/>
        </w:rPr>
      </w:pPr>
      <w:r>
        <w:rPr>
          <w:rFonts w:cs="Times New Roman"/>
          <w:sz w:val="21"/>
        </w:rPr>
        <w:t>表5.</w:t>
      </w:r>
      <w:r>
        <w:rPr>
          <w:rFonts w:hint="eastAsia" w:cs="Times New Roman"/>
          <w:sz w:val="21"/>
        </w:rPr>
        <w:t>3</w:t>
      </w:r>
      <w:r>
        <w:rPr>
          <w:rFonts w:cs="Times New Roman"/>
          <w:sz w:val="21"/>
        </w:rPr>
        <w:t>-1 核心网八大区所辖表</w:t>
      </w:r>
    </w:p>
    <w:tbl>
      <w:tblPr>
        <w:tblStyle w:val="63"/>
        <w:tblW w:w="3640" w:type="dxa"/>
        <w:jc w:val="center"/>
        <w:tblLayout w:type="fixed"/>
        <w:tblCellMar>
          <w:top w:w="0" w:type="dxa"/>
          <w:left w:w="0" w:type="dxa"/>
          <w:bottom w:w="0" w:type="dxa"/>
          <w:right w:w="0" w:type="dxa"/>
        </w:tblCellMar>
      </w:tblPr>
      <w:tblGrid>
        <w:gridCol w:w="980"/>
        <w:gridCol w:w="1640"/>
        <w:gridCol w:w="1020"/>
      </w:tblGrid>
      <w:tr>
        <w:tblPrEx>
          <w:tblCellMar>
            <w:top w:w="0" w:type="dxa"/>
            <w:left w:w="0" w:type="dxa"/>
            <w:bottom w:w="0" w:type="dxa"/>
            <w:right w:w="0" w:type="dxa"/>
          </w:tblCellMar>
        </w:tblPrEx>
        <w:trPr>
          <w:trHeight w:val="516" w:hRule="atLeast"/>
          <w:tblHeader/>
          <w:jc w:val="center"/>
        </w:trPr>
        <w:tc>
          <w:tcPr>
            <w:tcW w:w="980" w:type="dxa"/>
            <w:tcBorders>
              <w:top w:val="single" w:color="auto" w:sz="4" w:space="0"/>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left"/>
              <w:rPr>
                <w:rFonts w:cs="Times New Roman"/>
                <w:kern w:val="0"/>
                <w:sz w:val="21"/>
              </w:rPr>
            </w:pPr>
            <w:r>
              <w:rPr>
                <w:rFonts w:cs="Times New Roman"/>
                <w:b/>
                <w:bCs/>
                <w:kern w:val="0"/>
                <w:sz w:val="21"/>
              </w:rPr>
              <w:t>大区名</w:t>
            </w:r>
          </w:p>
        </w:tc>
        <w:tc>
          <w:tcPr>
            <w:tcW w:w="1640" w:type="dxa"/>
            <w:tcBorders>
              <w:top w:val="single" w:color="auto" w:sz="4" w:space="0"/>
              <w:left w:val="nil"/>
              <w:bottom w:val="single" w:color="auto" w:sz="4" w:space="0"/>
              <w:right w:val="single" w:color="auto" w:sz="4" w:space="0"/>
            </w:tcBorders>
            <w:shd w:val="clear" w:color="auto" w:fill="FFFFFF"/>
            <w:vAlign w:val="center"/>
          </w:tcPr>
          <w:p>
            <w:pPr>
              <w:widowControl/>
              <w:spacing w:line="240" w:lineRule="auto"/>
              <w:ind w:firstLine="0" w:firstLineChars="0"/>
              <w:jc w:val="left"/>
              <w:rPr>
                <w:rFonts w:cs="Times New Roman"/>
                <w:kern w:val="0"/>
                <w:sz w:val="21"/>
              </w:rPr>
            </w:pPr>
            <w:r>
              <w:rPr>
                <w:rFonts w:cs="Times New Roman"/>
                <w:b/>
                <w:bCs/>
                <w:kern w:val="0"/>
                <w:sz w:val="21"/>
              </w:rPr>
              <w:t>大区中心所在省</w:t>
            </w:r>
          </w:p>
        </w:tc>
        <w:tc>
          <w:tcPr>
            <w:tcW w:w="1020" w:type="dxa"/>
            <w:tcBorders>
              <w:top w:val="single" w:color="auto" w:sz="4" w:space="0"/>
              <w:left w:val="nil"/>
              <w:bottom w:val="single" w:color="auto" w:sz="4" w:space="0"/>
              <w:right w:val="single" w:color="auto" w:sz="4" w:space="0"/>
            </w:tcBorders>
            <w:shd w:val="clear" w:color="auto" w:fill="FFFFFF"/>
            <w:vAlign w:val="center"/>
          </w:tcPr>
          <w:p>
            <w:pPr>
              <w:widowControl/>
              <w:spacing w:line="240" w:lineRule="auto"/>
              <w:ind w:firstLine="0" w:firstLineChars="0"/>
              <w:jc w:val="left"/>
              <w:rPr>
                <w:rFonts w:cs="Times New Roman"/>
                <w:kern w:val="0"/>
                <w:sz w:val="21"/>
              </w:rPr>
            </w:pPr>
            <w:r>
              <w:rPr>
                <w:rFonts w:cs="Times New Roman"/>
                <w:b/>
                <w:bCs/>
                <w:kern w:val="0"/>
                <w:sz w:val="21"/>
              </w:rPr>
              <w:t>下辖省份</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河北</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北京</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天津</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山西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内蒙古</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东北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黑龙江</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辽宁</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吉林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黑龙江</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华东北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江苏</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江苏</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山东</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安徽</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华东南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浙江</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上海</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浙江</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江西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福建</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华中</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河南</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河南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湖北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湖南</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华南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广东</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广东</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广西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海南</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西南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四川</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重庆</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四川</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贵州</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云南</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西藏</w:t>
            </w:r>
          </w:p>
        </w:tc>
      </w:tr>
      <w:tr>
        <w:tblPrEx>
          <w:tblCellMar>
            <w:top w:w="0" w:type="dxa"/>
            <w:left w:w="0" w:type="dxa"/>
            <w:bottom w:w="0" w:type="dxa"/>
            <w:right w:w="0" w:type="dxa"/>
          </w:tblCellMar>
        </w:tblPrEx>
        <w:trPr>
          <w:trHeight w:val="288" w:hRule="atLeast"/>
          <w:jc w:val="center"/>
        </w:trPr>
        <w:tc>
          <w:tcPr>
            <w:tcW w:w="98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西北</w:t>
            </w:r>
          </w:p>
        </w:tc>
        <w:tc>
          <w:tcPr>
            <w:tcW w:w="1640" w:type="dxa"/>
            <w:vMerge w:val="restart"/>
            <w:tcBorders>
              <w:top w:val="nil"/>
              <w:left w:val="single" w:color="auto" w:sz="4" w:space="0"/>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陕西</w:t>
            </w: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陕西</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甘肃</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青海</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宁夏</w:t>
            </w:r>
          </w:p>
        </w:tc>
      </w:tr>
      <w:tr>
        <w:tblPrEx>
          <w:tblCellMar>
            <w:top w:w="0" w:type="dxa"/>
            <w:left w:w="0" w:type="dxa"/>
            <w:bottom w:w="0" w:type="dxa"/>
            <w:right w:w="0" w:type="dxa"/>
          </w:tblCellMar>
        </w:tblPrEx>
        <w:trPr>
          <w:trHeight w:val="288" w:hRule="atLeast"/>
          <w:jc w:val="center"/>
        </w:trPr>
        <w:tc>
          <w:tcPr>
            <w:tcW w:w="98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6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kern w:val="0"/>
                <w:sz w:val="21"/>
              </w:rPr>
            </w:pPr>
          </w:p>
        </w:tc>
        <w:tc>
          <w:tcPr>
            <w:tcW w:w="1020" w:type="dxa"/>
            <w:tcBorders>
              <w:top w:val="nil"/>
              <w:left w:val="nil"/>
              <w:bottom w:val="single" w:color="auto" w:sz="4" w:space="0"/>
              <w:right w:val="single" w:color="auto" w:sz="4" w:space="0"/>
            </w:tcBorders>
            <w:shd w:val="clear" w:color="auto" w:fill="FFFFFF"/>
            <w:vAlign w:val="center"/>
          </w:tcPr>
          <w:p>
            <w:pPr>
              <w:widowControl/>
              <w:spacing w:line="240" w:lineRule="auto"/>
              <w:ind w:firstLine="0" w:firstLineChars="0"/>
              <w:jc w:val="center"/>
              <w:rPr>
                <w:rFonts w:cs="Times New Roman"/>
                <w:kern w:val="0"/>
                <w:sz w:val="21"/>
              </w:rPr>
            </w:pPr>
            <w:r>
              <w:rPr>
                <w:rFonts w:cs="Times New Roman"/>
                <w:kern w:val="0"/>
                <w:sz w:val="21"/>
              </w:rPr>
              <w:t>新疆</w:t>
            </w:r>
          </w:p>
        </w:tc>
      </w:tr>
    </w:tbl>
    <w:p>
      <w:pPr>
        <w:ind w:firstLine="480"/>
        <w:rPr>
          <w:rFonts w:cs="Times New Roman"/>
          <w:color w:val="FF0000"/>
        </w:rPr>
      </w:pPr>
      <w:r>
        <w:rPr>
          <w:rFonts w:hint="eastAsia" w:cs="Times New Roman"/>
          <w:color w:val="FF0000"/>
        </w:rPr>
        <w:t>无锡</w:t>
      </w:r>
      <w:r>
        <w:rPr>
          <w:rFonts w:cs="Times New Roman"/>
          <w:color w:val="FF0000"/>
        </w:rPr>
        <w:t>市5G基站控制面信息将通过传输最终接入</w:t>
      </w:r>
      <w:r>
        <w:rPr>
          <w:rFonts w:hint="eastAsia" w:cs="Times New Roman"/>
          <w:color w:val="FF0000"/>
        </w:rPr>
        <w:t>华东北</w:t>
      </w:r>
      <w:r>
        <w:rPr>
          <w:rFonts w:cs="Times New Roman"/>
          <w:color w:val="FF0000"/>
        </w:rPr>
        <w:t>大区AMF。</w:t>
      </w:r>
    </w:p>
    <w:p>
      <w:pPr>
        <w:ind w:firstLine="480"/>
        <w:rPr>
          <w:rFonts w:cs="Times New Roman"/>
          <w:color w:val="FF0000"/>
        </w:rPr>
      </w:pPr>
      <w:r>
        <w:rPr>
          <w:rFonts w:cs="Times New Roman"/>
          <w:color w:val="FF0000"/>
        </w:rPr>
        <w:t>与5G无线接入网通过N3接口联接的5G核心网UPF也区分2C和2B，原则上2C UPF部署在省内，优先下沉本地网部署；2B UPF按需在省内下沉部署。 </w:t>
      </w:r>
      <w:r>
        <w:rPr>
          <w:rFonts w:hint="eastAsia" w:cs="Times New Roman"/>
          <w:color w:val="FF0000"/>
        </w:rPr>
        <w:t>无锡</w:t>
      </w:r>
      <w:r>
        <w:rPr>
          <w:rFonts w:cs="Times New Roman"/>
          <w:color w:val="FF0000"/>
        </w:rPr>
        <w:t>市5G基站用户面信息将通过传输最终接入部署在</w:t>
      </w:r>
      <w:r>
        <w:rPr>
          <w:rFonts w:hint="eastAsia" w:cs="Times New Roman"/>
          <w:color w:val="FF0000"/>
        </w:rPr>
        <w:t>江苏</w:t>
      </w:r>
      <w:r>
        <w:rPr>
          <w:rFonts w:cs="Times New Roman"/>
          <w:color w:val="FF0000"/>
        </w:rPr>
        <w:t>的UPF。</w:t>
      </w:r>
    </w:p>
    <w:p>
      <w:pPr>
        <w:pStyle w:val="4"/>
        <w:ind w:left="608" w:hanging="608"/>
        <w:rPr>
          <w:rFonts w:cs="Times New Roman"/>
        </w:rPr>
      </w:pPr>
      <w:r>
        <w:rPr>
          <w:rFonts w:cs="Times New Roman"/>
        </w:rPr>
        <w:t xml:space="preserve"> </w:t>
      </w:r>
      <w:bookmarkStart w:id="222" w:name="_Toc1838"/>
      <w:r>
        <w:rPr>
          <w:rFonts w:cs="Times New Roman"/>
        </w:rPr>
        <w:t>C-RAN建设方案</w:t>
      </w:r>
      <w:bookmarkEnd w:id="222"/>
    </w:p>
    <w:p>
      <w:pPr>
        <w:ind w:firstLine="480"/>
        <w:rPr>
          <w:rFonts w:cs="Times New Roman"/>
          <w:color w:val="000000"/>
        </w:rPr>
      </w:pPr>
      <w:bookmarkStart w:id="223" w:name="_Toc323421270"/>
      <w:bookmarkEnd w:id="223"/>
      <w:bookmarkStart w:id="224" w:name="_Toc323421300"/>
      <w:bookmarkEnd w:id="224"/>
      <w:bookmarkStart w:id="225" w:name="_Toc323421299"/>
      <w:bookmarkEnd w:id="225"/>
      <w:bookmarkStart w:id="226" w:name="_Toc329251014"/>
      <w:bookmarkEnd w:id="226"/>
      <w:bookmarkStart w:id="227" w:name="_Toc323413099"/>
      <w:bookmarkEnd w:id="227"/>
      <w:bookmarkStart w:id="228" w:name="_Toc323413082"/>
      <w:bookmarkEnd w:id="228"/>
      <w:bookmarkStart w:id="229" w:name="_Toc323421316"/>
      <w:bookmarkEnd w:id="229"/>
      <w:bookmarkStart w:id="230" w:name="_Toc329251021"/>
      <w:bookmarkEnd w:id="230"/>
      <w:bookmarkStart w:id="231" w:name="_Toc323413054"/>
      <w:bookmarkEnd w:id="231"/>
      <w:bookmarkStart w:id="232" w:name="_Toc329251026"/>
      <w:bookmarkEnd w:id="232"/>
      <w:bookmarkStart w:id="233" w:name="_Toc323421271"/>
      <w:bookmarkEnd w:id="233"/>
      <w:bookmarkStart w:id="234" w:name="_Toc323305044"/>
      <w:bookmarkEnd w:id="234"/>
      <w:bookmarkStart w:id="235" w:name="_Toc323305027"/>
      <w:bookmarkEnd w:id="235"/>
      <w:bookmarkStart w:id="236" w:name="_Toc323304999"/>
      <w:bookmarkEnd w:id="236"/>
      <w:bookmarkStart w:id="237" w:name="_Toc323413053"/>
      <w:bookmarkEnd w:id="237"/>
      <w:bookmarkStart w:id="238" w:name="_Toc323417142"/>
      <w:bookmarkEnd w:id="238"/>
      <w:bookmarkStart w:id="239" w:name="_Toc323417097"/>
      <w:bookmarkEnd w:id="239"/>
      <w:bookmarkStart w:id="240" w:name="_Toc329251016"/>
      <w:bookmarkEnd w:id="240"/>
      <w:bookmarkStart w:id="241" w:name="_Toc323417125"/>
      <w:bookmarkEnd w:id="241"/>
      <w:bookmarkStart w:id="242" w:name="_Toc323304998"/>
      <w:bookmarkEnd w:id="242"/>
      <w:bookmarkStart w:id="243" w:name="_Toc323305028"/>
      <w:bookmarkEnd w:id="243"/>
      <w:bookmarkStart w:id="244" w:name="_Toc329251025"/>
      <w:bookmarkEnd w:id="244"/>
      <w:bookmarkStart w:id="245" w:name="_Toc323417126"/>
      <w:bookmarkEnd w:id="245"/>
      <w:bookmarkStart w:id="246" w:name="_Toc323417096"/>
      <w:bookmarkEnd w:id="246"/>
      <w:bookmarkStart w:id="247" w:name="_Toc329251015"/>
      <w:bookmarkEnd w:id="247"/>
      <w:bookmarkStart w:id="248" w:name="_Toc323413083"/>
      <w:bookmarkEnd w:id="248"/>
      <w:r>
        <w:rPr>
          <w:rFonts w:cs="Times New Roman"/>
          <w:color w:val="000000"/>
        </w:rPr>
        <w:t>面向5G网络建设，C-RAN组网有利于降低网络建设和运行维护成本，有利于降低基站选址难度、提高建设灵活性，有利于引入协作化提升网络性能，有利于MEC等技术的部署。</w:t>
      </w:r>
    </w:p>
    <w:p>
      <w:pPr>
        <w:pStyle w:val="5"/>
        <w:rPr>
          <w:rFonts w:cs="Times New Roman"/>
        </w:rPr>
      </w:pPr>
      <w:bookmarkStart w:id="249" w:name="_Toc1489"/>
      <w:r>
        <w:rPr>
          <w:rFonts w:cs="Times New Roman"/>
        </w:rPr>
        <w:t>C-RAN 规划原则</w:t>
      </w:r>
      <w:bookmarkEnd w:id="249"/>
    </w:p>
    <w:p>
      <w:pPr>
        <w:ind w:firstLine="199" w:firstLineChars="83"/>
        <w:rPr>
          <w:rFonts w:cs="Times New Roman"/>
          <w:color w:val="000000"/>
        </w:rPr>
      </w:pPr>
      <w:r>
        <w:rPr>
          <w:rFonts w:cs="Times New Roman"/>
          <w:color w:val="000000"/>
        </w:rPr>
        <w:t>（1）以终为始、面向长远，科学开展C-RAN规划</w:t>
      </w:r>
    </w:p>
    <w:p>
      <w:pPr>
        <w:ind w:firstLine="480"/>
        <w:rPr>
          <w:rFonts w:cs="Times New Roman"/>
          <w:color w:val="000000"/>
        </w:rPr>
      </w:pPr>
      <w:r>
        <w:rPr>
          <w:rFonts w:cs="Times New Roman"/>
          <w:color w:val="000000"/>
        </w:rPr>
        <w:t>C-RAN规划要面向未来5G目标网架构，结合汇聚机房、综合业务接入区的规划，按照“以终为始”的原则科学开展，实现“规划一步到位、能力分步部署”。</w:t>
      </w:r>
    </w:p>
    <w:p>
      <w:pPr>
        <w:ind w:firstLine="199" w:firstLineChars="83"/>
        <w:rPr>
          <w:rFonts w:cs="Times New Roman"/>
          <w:color w:val="000000"/>
        </w:rPr>
      </w:pPr>
      <w:r>
        <w:rPr>
          <w:rFonts w:cs="Times New Roman"/>
          <w:color w:val="000000"/>
        </w:rPr>
        <w:t>（2）统筹兼顾、注重效益，全面考虑4/5G需求</w:t>
      </w:r>
    </w:p>
    <w:p>
      <w:pPr>
        <w:ind w:firstLine="480"/>
        <w:rPr>
          <w:rFonts w:cs="Times New Roman"/>
          <w:color w:val="000000"/>
        </w:rPr>
      </w:pPr>
      <w:r>
        <w:rPr>
          <w:rFonts w:cs="Times New Roman"/>
          <w:color w:val="000000"/>
        </w:rPr>
        <w:t>C-RAN规划要深入落实公司“降本增效”的工作要求，综合建设投资、运维成本等因素，统筹考虑5G新建和4G改造的需求，提高投资效益、降低运维成本。</w:t>
      </w:r>
    </w:p>
    <w:p>
      <w:pPr>
        <w:ind w:firstLine="199" w:firstLineChars="83"/>
        <w:rPr>
          <w:rFonts w:cs="Times New Roman"/>
          <w:color w:val="000000"/>
        </w:rPr>
      </w:pPr>
      <w:r>
        <w:rPr>
          <w:rFonts w:cs="Times New Roman"/>
          <w:color w:val="000000"/>
        </w:rPr>
        <w:t>（3）把控节奏、分步实施，逐步推进C-RAN部署</w:t>
      </w:r>
    </w:p>
    <w:p>
      <w:pPr>
        <w:ind w:firstLine="480"/>
        <w:rPr>
          <w:rFonts w:cs="Times New Roman"/>
          <w:color w:val="000000"/>
        </w:rPr>
      </w:pPr>
      <w:r>
        <w:rPr>
          <w:rFonts w:cs="Times New Roman"/>
          <w:color w:val="000000"/>
        </w:rPr>
        <w:t>C-RAN规划要合理把控节奏，结合5G建设进度，分步实施、逐步推进。现网4G已实现C-RAN部署的区域，应沿用现有规划实现5G基站集中；现网4G未实现C-RAN部署的区域，应根据C-RAN规划结果和5G建设节奏，逐步推进C-RAN的部署。</w:t>
      </w:r>
    </w:p>
    <w:p>
      <w:pPr>
        <w:pStyle w:val="5"/>
        <w:rPr>
          <w:rFonts w:cs="Times New Roman"/>
        </w:rPr>
      </w:pPr>
      <w:bookmarkStart w:id="250" w:name="_Toc2970"/>
      <w:r>
        <w:rPr>
          <w:rFonts w:cs="Times New Roman"/>
        </w:rPr>
        <w:t>C-RAN 组网基本要求</w:t>
      </w:r>
      <w:bookmarkEnd w:id="250"/>
    </w:p>
    <w:p>
      <w:pPr>
        <w:ind w:firstLine="240" w:firstLineChars="100"/>
        <w:rPr>
          <w:rFonts w:cs="Times New Roman"/>
        </w:rPr>
      </w:pPr>
      <w:r>
        <w:rPr>
          <w:rFonts w:cs="Times New Roman"/>
        </w:rPr>
        <w:t>（1）C-RAN区域应在单一传输综合业务接入区的规划边界内，原则上不得跨区组网。</w:t>
      </w:r>
    </w:p>
    <w:p>
      <w:pPr>
        <w:ind w:firstLine="240" w:firstLineChars="100"/>
        <w:rPr>
          <w:rFonts w:cs="Times New Roman"/>
        </w:rPr>
      </w:pPr>
      <w:r>
        <w:rPr>
          <w:rFonts w:cs="Times New Roman"/>
        </w:rPr>
        <w:t>（2）C-RAN区域内的物理基站原则上要求连续覆盖，原则上不得跨区插花集中。</w:t>
      </w:r>
    </w:p>
    <w:p>
      <w:pPr>
        <w:ind w:firstLine="240" w:firstLineChars="100"/>
        <w:rPr>
          <w:rFonts w:cs="Times New Roman"/>
        </w:rPr>
      </w:pPr>
      <w:r>
        <w:rPr>
          <w:rFonts w:cs="Times New Roman"/>
        </w:rPr>
        <w:t>（3）C-RAN区域内应尽量保持同制式的基站设备厂家单一，原则上不得异厂家插花集中。</w:t>
      </w:r>
    </w:p>
    <w:p>
      <w:pPr>
        <w:ind w:firstLine="240" w:firstLineChars="100"/>
        <w:rPr>
          <w:rFonts w:cs="Times New Roman"/>
        </w:rPr>
      </w:pPr>
      <w:r>
        <w:rPr>
          <w:rFonts w:cs="Times New Roman"/>
        </w:rPr>
        <w:t>（4）应综合考虑集中机房条件、投资效益、网络安全性等因素，合理确定C-RAN集中度，原则上单个集中机房以5-15个物理基站为宜，最大不宜超过20个。</w:t>
      </w:r>
    </w:p>
    <w:p>
      <w:pPr>
        <w:pStyle w:val="5"/>
        <w:rPr>
          <w:rFonts w:cs="Times New Roman"/>
        </w:rPr>
      </w:pPr>
      <w:bookmarkStart w:id="251" w:name="_Toc24345"/>
      <w:r>
        <w:rPr>
          <w:rFonts w:cs="Times New Roman"/>
        </w:rPr>
        <w:t>C-RAN 组网分场景要求</w:t>
      </w:r>
      <w:bookmarkEnd w:id="251"/>
    </w:p>
    <w:p>
      <w:pPr>
        <w:ind w:firstLine="199" w:firstLineChars="83"/>
        <w:rPr>
          <w:rFonts w:cs="Times New Roman"/>
        </w:rPr>
      </w:pPr>
      <w:r>
        <w:rPr>
          <w:rFonts w:cs="Times New Roman"/>
        </w:rPr>
        <w:t>（1）城区、县城及重要乡镇的室外宏站</w:t>
      </w:r>
    </w:p>
    <w:p>
      <w:pPr>
        <w:ind w:firstLine="480"/>
        <w:rPr>
          <w:rFonts w:cs="Times New Roman"/>
        </w:rPr>
      </w:pPr>
      <w:r>
        <w:rPr>
          <w:rFonts w:hint="eastAsia" w:ascii="宋体" w:hAnsi="宋体" w:cs="宋体"/>
        </w:rPr>
        <w:t>①</w:t>
      </w:r>
      <w:r>
        <w:rPr>
          <w:rFonts w:cs="Times New Roman"/>
        </w:rPr>
        <w:tab/>
      </w:r>
      <w:r>
        <w:rPr>
          <w:rFonts w:cs="Times New Roman"/>
        </w:rPr>
        <w:t>5G基站应优先考虑C-RAN集中，4G基站应在满足投资效益的前提下搬迁集中。</w:t>
      </w:r>
    </w:p>
    <w:p>
      <w:pPr>
        <w:ind w:firstLine="480"/>
        <w:rPr>
          <w:rFonts w:cs="Times New Roman"/>
        </w:rPr>
      </w:pPr>
      <w:r>
        <w:rPr>
          <w:rFonts w:hint="eastAsia" w:ascii="宋体" w:hAnsi="宋体" w:cs="宋体"/>
        </w:rPr>
        <w:t>②</w:t>
      </w:r>
      <w:r>
        <w:rPr>
          <w:rFonts w:cs="Times New Roman"/>
        </w:rPr>
        <w:tab/>
      </w:r>
      <w:r>
        <w:rPr>
          <w:rFonts w:cs="Times New Roman"/>
        </w:rPr>
        <w:t>光缆故障频发区域，暂不考虑基站集中，待具备保护能力的前传方案成熟后再考虑进行搬迁集中。</w:t>
      </w:r>
    </w:p>
    <w:p>
      <w:pPr>
        <w:ind w:firstLine="480"/>
        <w:rPr>
          <w:rFonts w:cs="Times New Roman"/>
        </w:rPr>
      </w:pPr>
      <w:r>
        <w:rPr>
          <w:rFonts w:hint="eastAsia" w:ascii="宋体" w:hAnsi="宋体" w:cs="宋体"/>
        </w:rPr>
        <w:t>③</w:t>
      </w:r>
      <w:r>
        <w:rPr>
          <w:rFonts w:cs="Times New Roman"/>
        </w:rPr>
        <w:tab/>
      </w:r>
      <w:r>
        <w:rPr>
          <w:rFonts w:cs="Times New Roman"/>
        </w:rPr>
        <w:t>已接入集客业务的4G基站，应在分析现网资源、搬迁风险及改造成本的基础上，考虑是否搬迁集中。</w:t>
      </w:r>
    </w:p>
    <w:p>
      <w:pPr>
        <w:ind w:firstLine="480"/>
        <w:rPr>
          <w:rFonts w:cs="Times New Roman"/>
        </w:rPr>
      </w:pPr>
      <w:r>
        <w:rPr>
          <w:rFonts w:hint="eastAsia" w:ascii="宋体" w:hAnsi="宋体" w:cs="宋体"/>
        </w:rPr>
        <w:t>④</w:t>
      </w:r>
      <w:r>
        <w:rPr>
          <w:rFonts w:cs="Times New Roman"/>
        </w:rPr>
        <w:tab/>
      </w:r>
      <w:r>
        <w:rPr>
          <w:rFonts w:cs="Times New Roman"/>
        </w:rPr>
        <w:t>如现有基站机房和铁塔公司的租约较长，在经协商后，短期内仍无法实现退租退费的4G基站，暂不考虑搬迁集中，待租约到期后再进行搬迁。</w:t>
      </w:r>
    </w:p>
    <w:p>
      <w:pPr>
        <w:ind w:firstLine="199" w:firstLineChars="83"/>
        <w:rPr>
          <w:rFonts w:cs="Times New Roman"/>
        </w:rPr>
      </w:pPr>
      <w:r>
        <w:rPr>
          <w:rFonts w:cs="Times New Roman"/>
        </w:rPr>
        <w:t>（2）普通乡镇、农村区域的室外宏站</w:t>
      </w:r>
    </w:p>
    <w:p>
      <w:pPr>
        <w:ind w:firstLine="480"/>
        <w:rPr>
          <w:rFonts w:cs="Times New Roman"/>
        </w:rPr>
      </w:pPr>
      <w:r>
        <w:rPr>
          <w:rFonts w:cs="Times New Roman"/>
        </w:rPr>
        <w:t>普通乡镇、农村区域内一般不设置传输综合业务区，没有汇聚机房，如果采用C-RAN集中，需新建集中机房，成本较高；同时农村基站站间距大，光纤拉远距离受限，因此原则上普通乡镇、农村区域不考虑C-RAN集中。</w:t>
      </w:r>
    </w:p>
    <w:p>
      <w:pPr>
        <w:ind w:firstLine="480"/>
        <w:rPr>
          <w:rFonts w:cs="Times New Roman"/>
        </w:rPr>
      </w:pPr>
      <w:r>
        <w:rPr>
          <w:rFonts w:cs="Times New Roman"/>
        </w:rPr>
        <w:t>如果乡镇、农村的热点区域有条件较好的自有基站机房，且基站间距较小，也可考虑C-RAN集中。</w:t>
      </w:r>
    </w:p>
    <w:p>
      <w:pPr>
        <w:ind w:firstLine="199" w:firstLineChars="83"/>
        <w:rPr>
          <w:rFonts w:cs="Times New Roman"/>
        </w:rPr>
      </w:pPr>
      <w:r>
        <w:rPr>
          <w:rFonts w:cs="Times New Roman"/>
        </w:rPr>
        <w:t>（3）室分基站</w:t>
      </w:r>
    </w:p>
    <w:p>
      <w:pPr>
        <w:ind w:firstLine="480"/>
        <w:rPr>
          <w:rFonts w:cs="Times New Roman"/>
        </w:rPr>
      </w:pPr>
      <w:r>
        <w:rPr>
          <w:rFonts w:hint="eastAsia" w:ascii="宋体" w:hAnsi="宋体" w:cs="宋体"/>
        </w:rPr>
        <w:t>①</w:t>
      </w:r>
      <w:r>
        <w:rPr>
          <w:rFonts w:cs="Times New Roman"/>
        </w:rPr>
        <w:tab/>
      </w:r>
      <w:r>
        <w:rPr>
          <w:rFonts w:cs="Times New Roman"/>
        </w:rPr>
        <w:t>大容量室分基站RRU数量较多（RRU数量9个以上），天然就是C-RAN架构，BBU可不做二次集中。</w:t>
      </w:r>
    </w:p>
    <w:p>
      <w:pPr>
        <w:ind w:firstLine="480"/>
        <w:rPr>
          <w:rFonts w:cs="Times New Roman"/>
        </w:rPr>
      </w:pPr>
      <w:r>
        <w:rPr>
          <w:rFonts w:hint="eastAsia" w:ascii="宋体" w:hAnsi="宋体" w:cs="宋体"/>
        </w:rPr>
        <w:t>②</w:t>
      </w:r>
      <w:r>
        <w:rPr>
          <w:rFonts w:cs="Times New Roman"/>
        </w:rPr>
        <w:tab/>
      </w:r>
      <w:r>
        <w:rPr>
          <w:rFonts w:cs="Times New Roman"/>
        </w:rPr>
        <w:t>小容量室分基站（RRU数量少于9个），如BBU放置在物业设备间且有稳定接入电源，则无需集中；如BBU放置在就近的宏站机房，应随宏站统筹考虑是否集中，以便更好开展室内外协同优化。</w:t>
      </w:r>
    </w:p>
    <w:p>
      <w:pPr>
        <w:ind w:firstLine="199" w:firstLineChars="83"/>
        <w:rPr>
          <w:rFonts w:cs="Times New Roman"/>
        </w:rPr>
      </w:pPr>
      <w:r>
        <w:rPr>
          <w:rFonts w:cs="Times New Roman"/>
        </w:rPr>
        <w:t>（4）微基站</w:t>
      </w:r>
    </w:p>
    <w:p>
      <w:pPr>
        <w:ind w:firstLine="480"/>
        <w:rPr>
          <w:rFonts w:cs="Times New Roman"/>
        </w:rPr>
      </w:pPr>
      <w:r>
        <w:rPr>
          <w:rFonts w:hint="eastAsia" w:ascii="宋体" w:hAnsi="宋体" w:cs="宋体"/>
        </w:rPr>
        <w:t>①</w:t>
      </w:r>
      <w:r>
        <w:rPr>
          <w:rFonts w:cs="Times New Roman"/>
        </w:rPr>
        <w:tab/>
      </w:r>
      <w:r>
        <w:rPr>
          <w:rFonts w:cs="Times New Roman"/>
        </w:rPr>
        <w:t>分布式微站主要用于小区覆盖，其网络结构与室分基站类似，可参照室分基站考虑是否集中。</w:t>
      </w:r>
    </w:p>
    <w:p>
      <w:pPr>
        <w:ind w:firstLine="480"/>
        <w:rPr>
          <w:rFonts w:cs="Times New Roman"/>
        </w:rPr>
      </w:pPr>
      <w:r>
        <w:rPr>
          <w:rFonts w:hint="eastAsia" w:ascii="宋体" w:hAnsi="宋体" w:cs="宋体"/>
        </w:rPr>
        <w:t>②</w:t>
      </w:r>
      <w:r>
        <w:rPr>
          <w:rFonts w:cs="Times New Roman"/>
        </w:rPr>
        <w:tab/>
      </w:r>
      <w:r>
        <w:rPr>
          <w:rFonts w:cs="Times New Roman"/>
        </w:rPr>
        <w:t>一体化微站集成了BBU、RRU功能，无法进行集中。</w:t>
      </w:r>
    </w:p>
    <w:p>
      <w:pPr>
        <w:ind w:firstLine="199" w:firstLineChars="83"/>
        <w:rPr>
          <w:rFonts w:cs="Times New Roman"/>
        </w:rPr>
      </w:pPr>
      <w:r>
        <w:rPr>
          <w:rFonts w:cs="Times New Roman"/>
        </w:rPr>
        <w:t>（5）特殊场景</w:t>
      </w:r>
    </w:p>
    <w:p>
      <w:pPr>
        <w:ind w:firstLine="480"/>
        <w:rPr>
          <w:rFonts w:cs="Times New Roman"/>
        </w:rPr>
      </w:pPr>
      <w:r>
        <w:rPr>
          <w:rFonts w:hint="eastAsia" w:ascii="宋体" w:hAnsi="宋体" w:cs="宋体"/>
        </w:rPr>
        <w:t>①</w:t>
      </w:r>
      <w:r>
        <w:rPr>
          <w:rFonts w:cs="Times New Roman"/>
        </w:rPr>
        <w:tab/>
      </w:r>
      <w:r>
        <w:rPr>
          <w:rFonts w:cs="Times New Roman"/>
        </w:rPr>
        <w:t>高校、大型园区、医院等场景</w:t>
      </w:r>
    </w:p>
    <w:p>
      <w:pPr>
        <w:ind w:firstLine="480"/>
        <w:rPr>
          <w:rFonts w:cs="Times New Roman"/>
        </w:rPr>
      </w:pPr>
      <w:r>
        <w:rPr>
          <w:rFonts w:cs="Times New Roman"/>
        </w:rPr>
        <w:t>此类区域物理边界范围清晰、基站密度大、光纤资源丰富、业务聚合度高、业主单一易于谈判，应将区域内的所有新建基站按照C-RAN组网进行集中，同时推动现有4G基站搬迁集中。</w:t>
      </w:r>
    </w:p>
    <w:p>
      <w:pPr>
        <w:ind w:firstLine="480"/>
        <w:rPr>
          <w:rFonts w:cs="Times New Roman"/>
        </w:rPr>
      </w:pPr>
      <w:r>
        <w:rPr>
          <w:rFonts w:hint="eastAsia" w:ascii="宋体" w:hAnsi="宋体" w:cs="宋体"/>
        </w:rPr>
        <w:t>②</w:t>
      </w:r>
      <w:r>
        <w:rPr>
          <w:rFonts w:cs="Times New Roman"/>
        </w:rPr>
        <w:tab/>
      </w:r>
      <w:r>
        <w:rPr>
          <w:rFonts w:cs="Times New Roman"/>
        </w:rPr>
        <w:t>高铁、高速公路、地铁等场景</w:t>
      </w:r>
    </w:p>
    <w:p>
      <w:pPr>
        <w:ind w:firstLine="480"/>
        <w:rPr>
          <w:rFonts w:cs="Times New Roman"/>
        </w:rPr>
      </w:pPr>
      <w:r>
        <w:rPr>
          <w:rFonts w:cs="Times New Roman"/>
        </w:rPr>
        <w:t>高铁、高速公路、地铁等场景的基站呈链状结构分布，应按照C-RAN组网进行集中，并综合考虑基站站间距、传输光纤拉远距离、覆盖方式、设备处理能力、网络安全性等因素，合理设置基站集中度。</w:t>
      </w:r>
    </w:p>
    <w:p>
      <w:pPr>
        <w:pStyle w:val="5"/>
        <w:rPr>
          <w:rFonts w:cs="Times New Roman"/>
        </w:rPr>
      </w:pPr>
      <w:bookmarkStart w:id="252" w:name="_Toc14394"/>
      <w:r>
        <w:rPr>
          <w:rFonts w:cs="Times New Roman"/>
        </w:rPr>
        <w:t>C-RAN 传输建设要求</w:t>
      </w:r>
      <w:bookmarkEnd w:id="252"/>
    </w:p>
    <w:p>
      <w:pPr>
        <w:ind w:firstLine="199" w:firstLineChars="83"/>
        <w:rPr>
          <w:rFonts w:cs="Times New Roman"/>
        </w:rPr>
      </w:pPr>
      <w:r>
        <w:rPr>
          <w:rFonts w:cs="Times New Roman"/>
        </w:rPr>
        <w:t>（1）前传网络</w:t>
      </w:r>
    </w:p>
    <w:p>
      <w:pPr>
        <w:ind w:firstLine="480"/>
        <w:rPr>
          <w:rFonts w:cs="Times New Roman"/>
        </w:rPr>
      </w:pPr>
      <w:r>
        <w:rPr>
          <w:rFonts w:cs="Times New Roman"/>
        </w:rPr>
        <w:t>前传网络应综合考虑建设成本和光纤资源条件，选择合理的前传方案：</w:t>
      </w:r>
    </w:p>
    <w:p>
      <w:pPr>
        <w:ind w:firstLine="480"/>
        <w:rPr>
          <w:rFonts w:cs="Times New Roman"/>
        </w:rPr>
      </w:pPr>
      <w:r>
        <w:rPr>
          <w:rFonts w:hint="eastAsia" w:ascii="宋体" w:hAnsi="宋体" w:cs="宋体"/>
        </w:rPr>
        <w:t>①</w:t>
      </w:r>
      <w:r>
        <w:rPr>
          <w:rFonts w:cs="Times New Roman"/>
        </w:rPr>
        <w:tab/>
      </w:r>
      <w:r>
        <w:rPr>
          <w:rFonts w:cs="Times New Roman"/>
        </w:rPr>
        <w:t>对于接入距离较短（2km之内）或光纤资源丰富的场景宜采用光纤直驱，并优先选择单纤双向方式。</w:t>
      </w:r>
    </w:p>
    <w:p>
      <w:pPr>
        <w:ind w:firstLine="480"/>
        <w:rPr>
          <w:rFonts w:cs="Times New Roman"/>
        </w:rPr>
      </w:pPr>
      <w:r>
        <w:rPr>
          <w:rFonts w:hint="eastAsia" w:ascii="宋体" w:hAnsi="宋体" w:cs="宋体"/>
        </w:rPr>
        <w:t>②</w:t>
      </w:r>
      <w:r>
        <w:rPr>
          <w:rFonts w:cs="Times New Roman"/>
        </w:rPr>
        <w:tab/>
      </w:r>
      <w:r>
        <w:rPr>
          <w:rFonts w:cs="Times New Roman"/>
        </w:rPr>
        <w:t>当光纤资源受限或接入距离较长(2km以上)时，可综合现网管孔及分纤点资源、其他业务需求选择光纤直驱（优先单纤双向）、无源波分、半无源波分（需结合技术成熟度及成本考虑使用）；若采用无源波分/半无源波分进行前传，设备规格应根据远端基站配置而确定。</w:t>
      </w:r>
    </w:p>
    <w:p>
      <w:pPr>
        <w:ind w:firstLine="480"/>
        <w:rPr>
          <w:rFonts w:cs="Times New Roman"/>
        </w:rPr>
      </w:pPr>
      <w:r>
        <w:rPr>
          <w:rFonts w:hint="eastAsia" w:ascii="宋体" w:hAnsi="宋体" w:cs="宋体"/>
        </w:rPr>
        <w:t>③</w:t>
      </w:r>
      <w:r>
        <w:rPr>
          <w:rFonts w:cs="Times New Roman"/>
        </w:rPr>
        <w:tab/>
      </w:r>
      <w:r>
        <w:rPr>
          <w:rFonts w:cs="Times New Roman"/>
        </w:rPr>
        <w:t>鉴于当前有源波分方案成本较高，应谨慎选择该方案，建议目前仅在需要监控或安全性要求较高等特殊场景采用，并根据半无源波分技术成熟度，逐步采用半无源波分方案满足此类场景需求。</w:t>
      </w:r>
    </w:p>
    <w:p>
      <w:pPr>
        <w:ind w:firstLine="199" w:firstLineChars="83"/>
        <w:rPr>
          <w:rFonts w:cs="Times New Roman"/>
        </w:rPr>
      </w:pPr>
      <w:r>
        <w:rPr>
          <w:rFonts w:cs="Times New Roman"/>
        </w:rPr>
        <w:t>（2）回传网络</w:t>
      </w:r>
    </w:p>
    <w:p>
      <w:pPr>
        <w:ind w:firstLine="480"/>
        <w:rPr>
          <w:rFonts w:cs="Times New Roman"/>
        </w:rPr>
      </w:pPr>
      <w:r>
        <w:rPr>
          <w:rFonts w:cs="Times New Roman"/>
        </w:rPr>
        <w:t xml:space="preserve">5G回传网络应分场景采用新建SPN设备、PTN设备升级或PTN设备扩容，并根据C-RAN集中度选择10G或50G环路。  </w:t>
      </w:r>
    </w:p>
    <w:p>
      <w:pPr>
        <w:ind w:firstLine="480"/>
        <w:rPr>
          <w:rFonts w:cs="Times New Roman"/>
        </w:rPr>
      </w:pPr>
      <w:r>
        <w:rPr>
          <w:rFonts w:hint="eastAsia" w:ascii="宋体" w:hAnsi="宋体" w:cs="宋体"/>
        </w:rPr>
        <w:t>①</w:t>
      </w:r>
      <w:r>
        <w:rPr>
          <w:rFonts w:cs="Times New Roman"/>
        </w:rPr>
        <w:tab/>
      </w:r>
      <w:r>
        <w:rPr>
          <w:rFonts w:cs="Times New Roman"/>
        </w:rPr>
        <w:t>环路节点以2-8个为宜，单个环路的基站规模一般不超过40个。</w:t>
      </w:r>
    </w:p>
    <w:p>
      <w:pPr>
        <w:ind w:firstLine="480"/>
        <w:rPr>
          <w:rFonts w:cs="Times New Roman"/>
        </w:rPr>
      </w:pPr>
      <w:r>
        <w:rPr>
          <w:rFonts w:hint="eastAsia" w:ascii="宋体" w:hAnsi="宋体" w:cs="宋体"/>
        </w:rPr>
        <w:t>②</w:t>
      </w:r>
      <w:r>
        <w:rPr>
          <w:rFonts w:cs="Times New Roman"/>
        </w:rPr>
        <w:tab/>
      </w:r>
      <w:r>
        <w:rPr>
          <w:rFonts w:cs="Times New Roman"/>
        </w:rPr>
        <w:t>集中机房内的传输设备应确保成环且无同路由（出局第一个人口井后具有两个不同的物理路由），并优先考虑双归。</w:t>
      </w:r>
    </w:p>
    <w:p>
      <w:pPr>
        <w:ind w:firstLine="480"/>
        <w:rPr>
          <w:rFonts w:cs="Times New Roman"/>
        </w:rPr>
      </w:pPr>
      <w:r>
        <w:rPr>
          <w:rFonts w:hint="eastAsia" w:ascii="宋体" w:hAnsi="宋体" w:cs="宋体"/>
        </w:rPr>
        <w:t>③</w:t>
      </w:r>
      <w:r>
        <w:rPr>
          <w:rFonts w:cs="Times New Roman"/>
        </w:rPr>
        <w:tab/>
      </w:r>
      <w:r>
        <w:rPr>
          <w:rFonts w:cs="Times New Roman"/>
        </w:rPr>
        <w:t>集中机房内的传输设备应具备双交叉（主控）、双电源，配置不少于2块支路板卡对接BBU设备。</w:t>
      </w:r>
    </w:p>
    <w:p>
      <w:pPr>
        <w:pStyle w:val="5"/>
        <w:rPr>
          <w:rFonts w:cs="Times New Roman"/>
        </w:rPr>
      </w:pPr>
      <w:bookmarkStart w:id="253" w:name="_Toc27498"/>
      <w:r>
        <w:rPr>
          <w:rFonts w:cs="Times New Roman"/>
        </w:rPr>
        <w:t>C-RAN</w:t>
      </w:r>
      <w:r>
        <w:rPr>
          <w:rFonts w:hint="eastAsia" w:cs="Times New Roman"/>
        </w:rPr>
        <w:t xml:space="preserve"> </w:t>
      </w:r>
      <w:r>
        <w:rPr>
          <w:rFonts w:cs="Times New Roman"/>
        </w:rPr>
        <w:t>集中机房建设要求</w:t>
      </w:r>
      <w:bookmarkEnd w:id="253"/>
    </w:p>
    <w:p>
      <w:pPr>
        <w:ind w:firstLine="199" w:firstLineChars="83"/>
        <w:rPr>
          <w:rFonts w:cs="Times New Roman"/>
        </w:rPr>
      </w:pPr>
      <w:r>
        <w:rPr>
          <w:rFonts w:cs="Times New Roman"/>
        </w:rPr>
        <w:t>（1）合理选择集中机房</w:t>
      </w:r>
    </w:p>
    <w:p>
      <w:pPr>
        <w:ind w:firstLine="480"/>
        <w:rPr>
          <w:rFonts w:cs="Times New Roman"/>
        </w:rPr>
      </w:pPr>
      <w:r>
        <w:rPr>
          <w:rFonts w:cs="Times New Roman"/>
        </w:rPr>
        <w:t>集中机房是C-RAN建设最基础的资源。应综合考虑机房条件和发展规划，依托现有汇聚机房、辅以条件较好的自有基站机房，合理选择C-RAN集中机房。</w:t>
      </w:r>
    </w:p>
    <w:p>
      <w:pPr>
        <w:ind w:firstLine="480"/>
        <w:rPr>
          <w:rFonts w:cs="Times New Roman"/>
        </w:rPr>
      </w:pPr>
      <w:r>
        <w:rPr>
          <w:rFonts w:hint="eastAsia" w:ascii="宋体" w:hAnsi="宋体" w:cs="宋体"/>
        </w:rPr>
        <w:t>①</w:t>
      </w:r>
      <w:r>
        <w:rPr>
          <w:rFonts w:cs="Times New Roman"/>
        </w:rPr>
        <w:tab/>
      </w:r>
      <w:r>
        <w:rPr>
          <w:rFonts w:cs="Times New Roman"/>
        </w:rPr>
        <w:t>集中机房改造要一次性同步考虑满足4/5G基站的集中需求，避免重复改造。</w:t>
      </w:r>
    </w:p>
    <w:p>
      <w:pPr>
        <w:ind w:firstLine="480"/>
        <w:rPr>
          <w:rFonts w:cs="Times New Roman"/>
        </w:rPr>
      </w:pPr>
      <w:r>
        <w:rPr>
          <w:rFonts w:hint="eastAsia" w:ascii="宋体" w:hAnsi="宋体" w:cs="宋体"/>
        </w:rPr>
        <w:t>②</w:t>
      </w:r>
      <w:r>
        <w:rPr>
          <w:rFonts w:cs="Times New Roman"/>
        </w:rPr>
        <w:tab/>
      </w:r>
      <w:r>
        <w:rPr>
          <w:rFonts w:cs="Times New Roman"/>
        </w:rPr>
        <w:t>新建机房应统筹考虑全专业、全业务的需求，在确有必要的情况下进行新建，避免仅为满足C-RAN需求而新建。</w:t>
      </w:r>
    </w:p>
    <w:p>
      <w:pPr>
        <w:ind w:firstLine="199" w:firstLineChars="83"/>
        <w:rPr>
          <w:rFonts w:cs="Times New Roman"/>
        </w:rPr>
      </w:pPr>
      <w:r>
        <w:rPr>
          <w:rFonts w:cs="Times New Roman"/>
        </w:rPr>
        <w:t>（2）按需核算引电容量</w:t>
      </w:r>
    </w:p>
    <w:p>
      <w:pPr>
        <w:ind w:firstLine="480"/>
        <w:rPr>
          <w:rFonts w:cs="Times New Roman"/>
        </w:rPr>
      </w:pPr>
      <w:r>
        <w:rPr>
          <w:rFonts w:cs="Times New Roman"/>
        </w:rPr>
        <w:t>应根据集中机房原有设备电力负荷以及新增设备功耗情况，核算交流市电容量需求，结合市电增容可行性进行改造。如受客观建设条件无法进行市电增容的，应适当降低C-RAN集中度。</w:t>
      </w:r>
    </w:p>
    <w:p>
      <w:pPr>
        <w:ind w:firstLine="199" w:firstLineChars="83"/>
        <w:rPr>
          <w:rFonts w:cs="Times New Roman"/>
        </w:rPr>
      </w:pPr>
      <w:r>
        <w:rPr>
          <w:rFonts w:cs="Times New Roman"/>
        </w:rPr>
        <w:t>（3）按需配置蓄电池组</w:t>
      </w:r>
    </w:p>
    <w:p>
      <w:pPr>
        <w:ind w:firstLine="480"/>
        <w:rPr>
          <w:rFonts w:cs="Times New Roman"/>
        </w:rPr>
      </w:pPr>
      <w:r>
        <w:rPr>
          <w:rFonts w:cs="Times New Roman"/>
        </w:rPr>
        <w:t>应根据机房可用空间条件、承重等条件，综合考虑机房改造成本效益、基站重要性等多方因素，制定蓄电池组的新增/改造方案，本省/市C-RAN集中机房备电时长应为</w:t>
      </w:r>
      <w:r>
        <w:rPr>
          <w:rFonts w:hint="eastAsia" w:cs="Times New Roman"/>
        </w:rPr>
        <w:t>3</w:t>
      </w:r>
      <w:r>
        <w:rPr>
          <w:rFonts w:cs="Times New Roman"/>
        </w:rPr>
        <w:t>小时；需特殊重点保障的集中机房（包括</w:t>
      </w:r>
      <w:r>
        <w:rPr>
          <w:rFonts w:hint="eastAsia" w:cs="Times New Roman"/>
        </w:rPr>
        <w:t>传输节点机房</w:t>
      </w:r>
      <w:r>
        <w:rPr>
          <w:rFonts w:cs="Times New Roman"/>
        </w:rPr>
        <w:t>等），以及距离远、维护难的集中机房，备电时长应为</w:t>
      </w:r>
      <w:r>
        <w:rPr>
          <w:rFonts w:hint="eastAsia" w:cs="Times New Roman"/>
        </w:rPr>
        <w:t>7</w:t>
      </w:r>
      <w:r>
        <w:rPr>
          <w:rFonts w:cs="Times New Roman"/>
        </w:rPr>
        <w:t>时。</w:t>
      </w:r>
    </w:p>
    <w:p>
      <w:pPr>
        <w:ind w:firstLine="199" w:firstLineChars="83"/>
        <w:rPr>
          <w:rFonts w:cs="Times New Roman"/>
        </w:rPr>
      </w:pPr>
      <w:r>
        <w:rPr>
          <w:rFonts w:cs="Times New Roman"/>
        </w:rPr>
        <w:t>（4）按需配置机房空调</w:t>
      </w:r>
    </w:p>
    <w:p>
      <w:pPr>
        <w:ind w:firstLine="480"/>
        <w:rPr>
          <w:rFonts w:cs="Times New Roman"/>
        </w:rPr>
      </w:pPr>
      <w:r>
        <w:rPr>
          <w:rFonts w:cs="Times New Roman"/>
        </w:rPr>
        <w:t>应综合考虑新增相关设备的散热需求、原有机房的空调现状情况，按需增配机房空调。</w:t>
      </w:r>
    </w:p>
    <w:p>
      <w:pPr>
        <w:pStyle w:val="5"/>
        <w:rPr>
          <w:rFonts w:cs="Times New Roman"/>
        </w:rPr>
      </w:pPr>
      <w:bookmarkStart w:id="254" w:name="_Toc10709"/>
      <w:r>
        <w:rPr>
          <w:rFonts w:cs="Times New Roman"/>
        </w:rPr>
        <w:t>C-RAN 设置方案</w:t>
      </w:r>
      <w:bookmarkEnd w:id="254"/>
    </w:p>
    <w:p>
      <w:pPr>
        <w:adjustRightInd w:val="0"/>
        <w:snapToGrid w:val="0"/>
        <w:ind w:firstLine="480"/>
      </w:pPr>
      <w:r>
        <w:rPr>
          <w:rFonts w:hint="eastAsia"/>
        </w:rPr>
        <w:t>面向中远期，统一规划基带集中机房，分场景确定综合业务区内集中机房数量、</w:t>
      </w:r>
      <w:r>
        <w:t xml:space="preserve">BBU 集中度等。C-RAN 集中业务区方案分为核心/密集城区、一般城区和郊区、发达乡镇、一般乡镇四类。原则上农村地区不规划 C-RAN。 </w:t>
      </w:r>
    </w:p>
    <w:p>
      <w:pPr>
        <w:adjustRightInd w:val="0"/>
        <w:snapToGrid w:val="0"/>
        <w:ind w:firstLine="480"/>
      </w:pPr>
      <w:r>
        <w:rPr>
          <w:rFonts w:hint="eastAsia"/>
        </w:rPr>
        <w:t>根据现有基站布局，并结合综合业务机房经验数据，基站集中度部署建议如下：</w:t>
      </w:r>
    </w:p>
    <w:p>
      <w:pPr>
        <w:adjustRightInd w:val="0"/>
        <w:snapToGrid w:val="0"/>
        <w:ind w:firstLine="480"/>
      </w:pPr>
      <w:r>
        <w:t></w:t>
      </w:r>
      <w:r>
        <w:tab/>
      </w:r>
      <w:r>
        <w:t>核心/密集城区：集中的 BBU 数宜 5-18 个，每个 C-RAN 区覆盖面积约 0.5-3 平方公里；</w:t>
      </w:r>
    </w:p>
    <w:p>
      <w:pPr>
        <w:adjustRightInd w:val="0"/>
        <w:snapToGrid w:val="0"/>
        <w:ind w:firstLine="480"/>
      </w:pPr>
      <w:r>
        <w:t></w:t>
      </w:r>
      <w:r>
        <w:tab/>
      </w:r>
      <w:r>
        <w:t>一般城区、郊区：集中的 BBU 数宜 5-18 个，每个 C-RAN 区覆盖面积约 2-5 平方公里；</w:t>
      </w:r>
    </w:p>
    <w:p>
      <w:pPr>
        <w:adjustRightInd w:val="0"/>
        <w:snapToGrid w:val="0"/>
        <w:ind w:firstLine="480"/>
      </w:pPr>
      <w:r>
        <w:t></w:t>
      </w:r>
      <w:r>
        <w:tab/>
      </w:r>
      <w:r>
        <w:t>发达乡镇：集中的 BBU 数宜 5-12 个，每个 C-RAN 区覆盖面积</w:t>
      </w:r>
      <w:r>
        <w:rPr>
          <w:rFonts w:hint="eastAsia"/>
        </w:rPr>
        <w:t>约</w:t>
      </w:r>
      <w:r>
        <w:t xml:space="preserve"> 5-8 平方公里；</w:t>
      </w:r>
    </w:p>
    <w:p>
      <w:pPr>
        <w:adjustRightInd w:val="0"/>
        <w:snapToGrid w:val="0"/>
        <w:ind w:firstLine="480"/>
      </w:pPr>
      <w:r>
        <w:rPr>
          <w:rFonts w:hint="eastAsia"/>
        </w:rPr>
        <w:t>一般乡镇：集中的</w:t>
      </w:r>
      <w:r>
        <w:t xml:space="preserve"> BBU 数宜 5-8 个，每个 C-RAN 区覆盖面积约 5-10 平方公里。</w:t>
      </w:r>
    </w:p>
    <w:p>
      <w:pPr>
        <w:ind w:firstLine="360"/>
        <w:rPr>
          <w:rFonts w:cs="Times New Roman" w:eastAsiaTheme="minorEastAsia"/>
          <w:sz w:val="18"/>
          <w:szCs w:val="18"/>
          <w:shd w:val="clear" w:color="auto" w:fill="FFFFFF"/>
        </w:rPr>
      </w:pPr>
    </w:p>
    <w:p>
      <w:pPr>
        <w:pStyle w:val="4"/>
        <w:ind w:left="608" w:hanging="608"/>
        <w:rPr>
          <w:rFonts w:cs="Times New Roman"/>
        </w:rPr>
      </w:pPr>
      <w:bookmarkStart w:id="255" w:name="_Toc207503355"/>
      <w:bookmarkEnd w:id="255"/>
      <w:bookmarkStart w:id="256" w:name="_Toc207503508"/>
      <w:bookmarkEnd w:id="256"/>
      <w:bookmarkStart w:id="257" w:name="_Toc209426781"/>
      <w:bookmarkEnd w:id="257"/>
      <w:bookmarkStart w:id="258" w:name="_Toc207503536"/>
      <w:bookmarkEnd w:id="258"/>
      <w:bookmarkStart w:id="259" w:name="_Toc207503367"/>
      <w:bookmarkEnd w:id="259"/>
      <w:bookmarkStart w:id="260" w:name="_Toc209426722"/>
      <w:bookmarkEnd w:id="260"/>
      <w:bookmarkStart w:id="261" w:name="_Toc207503459"/>
      <w:bookmarkEnd w:id="261"/>
      <w:bookmarkStart w:id="262" w:name="_Toc207503552"/>
      <w:bookmarkEnd w:id="262"/>
      <w:bookmarkStart w:id="263" w:name="_Toc209427428"/>
      <w:bookmarkEnd w:id="263"/>
      <w:bookmarkStart w:id="264" w:name="_Toc209426678"/>
      <w:bookmarkEnd w:id="264"/>
      <w:bookmarkStart w:id="265" w:name="_Toc209426642"/>
      <w:bookmarkEnd w:id="265"/>
      <w:bookmarkStart w:id="266" w:name="_Toc207503532"/>
      <w:bookmarkEnd w:id="266"/>
      <w:bookmarkStart w:id="267" w:name="_Toc209426579"/>
      <w:bookmarkEnd w:id="267"/>
      <w:bookmarkStart w:id="268" w:name="_Toc207503366"/>
      <w:bookmarkEnd w:id="268"/>
      <w:bookmarkStart w:id="269" w:name="_Toc209426730"/>
      <w:bookmarkEnd w:id="269"/>
      <w:bookmarkStart w:id="270" w:name="_Toc209426538"/>
      <w:bookmarkEnd w:id="270"/>
      <w:bookmarkStart w:id="271" w:name="_Toc209426690"/>
      <w:bookmarkEnd w:id="271"/>
      <w:bookmarkStart w:id="272" w:name="_Toc207503362"/>
      <w:bookmarkEnd w:id="272"/>
      <w:bookmarkStart w:id="273" w:name="_Toc207503635"/>
      <w:bookmarkEnd w:id="273"/>
      <w:bookmarkStart w:id="274" w:name="_Toc207503675"/>
      <w:bookmarkEnd w:id="274"/>
      <w:bookmarkStart w:id="275" w:name="_Toc207503365"/>
      <w:bookmarkEnd w:id="275"/>
      <w:bookmarkStart w:id="276" w:name="_Toc207503497"/>
      <w:bookmarkEnd w:id="276"/>
      <w:bookmarkStart w:id="277" w:name="_Toc207503414"/>
      <w:bookmarkEnd w:id="277"/>
      <w:bookmarkStart w:id="278" w:name="_Toc207503499"/>
      <w:bookmarkEnd w:id="278"/>
      <w:bookmarkStart w:id="279" w:name="_Toc207503580"/>
      <w:bookmarkEnd w:id="279"/>
      <w:bookmarkStart w:id="280" w:name="_Toc209426857"/>
      <w:bookmarkEnd w:id="280"/>
      <w:bookmarkStart w:id="281" w:name="_Toc207503750"/>
      <w:bookmarkEnd w:id="281"/>
      <w:bookmarkStart w:id="282" w:name="_Toc207503564"/>
      <w:bookmarkEnd w:id="282"/>
      <w:bookmarkStart w:id="283" w:name="_Toc209426633"/>
      <w:bookmarkEnd w:id="283"/>
      <w:bookmarkStart w:id="284" w:name="_Toc209426772"/>
      <w:bookmarkEnd w:id="284"/>
      <w:bookmarkStart w:id="285" w:name="_Toc209426673"/>
      <w:bookmarkEnd w:id="285"/>
      <w:bookmarkStart w:id="286" w:name="_Toc207503347"/>
      <w:bookmarkEnd w:id="286"/>
      <w:bookmarkStart w:id="287" w:name="_Toc199726936"/>
      <w:bookmarkEnd w:id="287"/>
      <w:bookmarkStart w:id="288" w:name="_Toc207503520"/>
      <w:bookmarkEnd w:id="288"/>
      <w:bookmarkStart w:id="289" w:name="_Toc207503432"/>
      <w:bookmarkEnd w:id="289"/>
      <w:bookmarkStart w:id="290" w:name="_Toc209426738"/>
      <w:bookmarkEnd w:id="290"/>
      <w:bookmarkStart w:id="291" w:name="_Toc209426754"/>
      <w:bookmarkEnd w:id="291"/>
      <w:bookmarkStart w:id="292" w:name="_Toc209426742"/>
      <w:bookmarkEnd w:id="292"/>
      <w:bookmarkStart w:id="293" w:name="_Toc207503597"/>
      <w:bookmarkEnd w:id="293"/>
      <w:bookmarkStart w:id="294" w:name="_Toc207503498"/>
      <w:bookmarkEnd w:id="294"/>
      <w:bookmarkStart w:id="295" w:name="_Toc209426698"/>
      <w:bookmarkEnd w:id="295"/>
      <w:bookmarkStart w:id="296" w:name="_Toc207503556"/>
      <w:bookmarkEnd w:id="296"/>
      <w:bookmarkStart w:id="297" w:name="_Toc209426670"/>
      <w:bookmarkEnd w:id="297"/>
      <w:bookmarkStart w:id="298" w:name="_Toc207503468"/>
      <w:bookmarkEnd w:id="298"/>
      <w:bookmarkStart w:id="299" w:name="_Toc207503598"/>
      <w:bookmarkEnd w:id="299"/>
      <w:bookmarkStart w:id="300" w:name="_Toc209426789"/>
      <w:bookmarkEnd w:id="300"/>
      <w:bookmarkStart w:id="301" w:name="_Toc209426694"/>
      <w:bookmarkEnd w:id="301"/>
      <w:bookmarkStart w:id="302" w:name="_Toc209426896"/>
      <w:bookmarkEnd w:id="302"/>
      <w:bookmarkStart w:id="303" w:name="_Toc207503823"/>
      <w:bookmarkEnd w:id="303"/>
      <w:bookmarkStart w:id="304" w:name="_Toc209426672"/>
      <w:bookmarkEnd w:id="304"/>
      <w:bookmarkStart w:id="305" w:name="_Toc207503623"/>
      <w:bookmarkEnd w:id="305"/>
      <w:bookmarkStart w:id="306" w:name="_Toc209426841"/>
      <w:bookmarkEnd w:id="306"/>
      <w:bookmarkStart w:id="307" w:name="_Toc209426542"/>
      <w:bookmarkEnd w:id="307"/>
      <w:bookmarkStart w:id="308" w:name="_Toc207503596"/>
      <w:bookmarkEnd w:id="308"/>
      <w:bookmarkStart w:id="309" w:name="_Toc209426615"/>
      <w:bookmarkEnd w:id="309"/>
      <w:bookmarkStart w:id="310" w:name="_Toc207503568"/>
      <w:bookmarkEnd w:id="310"/>
      <w:bookmarkStart w:id="311" w:name="_Toc209426714"/>
      <w:bookmarkEnd w:id="311"/>
      <w:bookmarkStart w:id="312" w:name="_Toc209426588"/>
      <w:bookmarkEnd w:id="312"/>
      <w:bookmarkStart w:id="313" w:name="_Toc209426766"/>
      <w:bookmarkEnd w:id="313"/>
      <w:bookmarkStart w:id="314" w:name="_Toc209426771"/>
      <w:bookmarkEnd w:id="314"/>
      <w:bookmarkStart w:id="315" w:name="_Toc207503611"/>
      <w:bookmarkEnd w:id="315"/>
      <w:bookmarkStart w:id="316" w:name="_Toc209427075"/>
      <w:bookmarkEnd w:id="316"/>
      <w:bookmarkStart w:id="317" w:name="_Toc199726940"/>
      <w:bookmarkEnd w:id="317"/>
      <w:bookmarkStart w:id="318" w:name="_Toc207503603"/>
      <w:bookmarkEnd w:id="318"/>
      <w:bookmarkStart w:id="319" w:name="_Toc199726937"/>
      <w:bookmarkEnd w:id="319"/>
      <w:bookmarkStart w:id="320" w:name="_Toc207503516"/>
      <w:bookmarkEnd w:id="320"/>
      <w:bookmarkStart w:id="321" w:name="_Toc209426750"/>
      <w:bookmarkEnd w:id="321"/>
      <w:bookmarkStart w:id="322" w:name="_Toc209426817"/>
      <w:bookmarkEnd w:id="322"/>
      <w:bookmarkStart w:id="323" w:name="_Toc209426561"/>
      <w:bookmarkEnd w:id="323"/>
      <w:bookmarkStart w:id="324" w:name="_Toc207503349"/>
      <w:bookmarkEnd w:id="324"/>
      <w:bookmarkStart w:id="325" w:name="_Toc207503504"/>
      <w:bookmarkEnd w:id="325"/>
      <w:bookmarkStart w:id="326" w:name="_Toc209426878"/>
      <w:bookmarkEnd w:id="326"/>
      <w:bookmarkStart w:id="327" w:name="_Toc207503496"/>
      <w:bookmarkEnd w:id="327"/>
      <w:bookmarkStart w:id="328" w:name="_Toc207503524"/>
      <w:bookmarkEnd w:id="328"/>
      <w:bookmarkStart w:id="329" w:name="_Toc207503607"/>
      <w:bookmarkEnd w:id="329"/>
      <w:bookmarkStart w:id="330" w:name="_Toc207503627"/>
      <w:bookmarkEnd w:id="330"/>
      <w:bookmarkStart w:id="331" w:name="_Toc209426777"/>
      <w:bookmarkEnd w:id="331"/>
      <w:bookmarkStart w:id="332" w:name="_Toc207503615"/>
      <w:bookmarkEnd w:id="332"/>
      <w:bookmarkStart w:id="333" w:name="_Toc209426801"/>
      <w:bookmarkEnd w:id="333"/>
      <w:bookmarkStart w:id="334" w:name="_Toc209426726"/>
      <w:bookmarkEnd w:id="334"/>
      <w:bookmarkStart w:id="335" w:name="_Toc207503769"/>
      <w:bookmarkEnd w:id="335"/>
      <w:bookmarkStart w:id="336" w:name="_Toc207503685"/>
      <w:bookmarkEnd w:id="336"/>
      <w:bookmarkStart w:id="337" w:name="_Toc209426924"/>
      <w:bookmarkEnd w:id="337"/>
      <w:bookmarkStart w:id="338" w:name="_Toc207503843"/>
      <w:bookmarkEnd w:id="338"/>
      <w:bookmarkStart w:id="339" w:name="_Toc207503663"/>
      <w:bookmarkEnd w:id="339"/>
      <w:bookmarkStart w:id="340" w:name="_Toc207503671"/>
      <w:bookmarkEnd w:id="340"/>
      <w:bookmarkStart w:id="341" w:name="_Toc199726944"/>
      <w:bookmarkEnd w:id="341"/>
      <w:bookmarkStart w:id="342" w:name="_Toc209426706"/>
      <w:bookmarkEnd w:id="342"/>
      <w:bookmarkStart w:id="343" w:name="_Toc209426845"/>
      <w:bookmarkEnd w:id="343"/>
      <w:bookmarkStart w:id="344" w:name="_Toc209426702"/>
      <w:bookmarkEnd w:id="344"/>
      <w:bookmarkStart w:id="345" w:name="_Toc209426762"/>
      <w:bookmarkEnd w:id="345"/>
      <w:bookmarkStart w:id="346" w:name="_Toc209426682"/>
      <w:bookmarkEnd w:id="346"/>
      <w:bookmarkStart w:id="347" w:name="_Toc207503805"/>
      <w:bookmarkEnd w:id="347"/>
      <w:bookmarkStart w:id="348" w:name="_Toc207503631"/>
      <w:bookmarkEnd w:id="348"/>
      <w:bookmarkStart w:id="349" w:name="_Toc207503683"/>
      <w:bookmarkEnd w:id="349"/>
      <w:bookmarkStart w:id="350" w:name="_Toc209426837"/>
      <w:bookmarkEnd w:id="350"/>
      <w:bookmarkStart w:id="351" w:name="_Toc207503897"/>
      <w:bookmarkEnd w:id="351"/>
      <w:bookmarkStart w:id="352" w:name="_Toc209426624"/>
      <w:bookmarkEnd w:id="352"/>
      <w:bookmarkStart w:id="353" w:name="_Toc207503643"/>
      <w:bookmarkEnd w:id="353"/>
      <w:bookmarkStart w:id="354" w:name="_Toc209426853"/>
      <w:bookmarkEnd w:id="354"/>
      <w:bookmarkStart w:id="355" w:name="_Toc207503667"/>
      <w:bookmarkEnd w:id="355"/>
      <w:bookmarkStart w:id="356" w:name="_Toc207503548"/>
      <w:bookmarkEnd w:id="356"/>
      <w:bookmarkStart w:id="357" w:name="_Toc209426809"/>
      <w:bookmarkEnd w:id="357"/>
      <w:bookmarkStart w:id="358" w:name="_Toc209426914"/>
      <w:bookmarkEnd w:id="358"/>
      <w:bookmarkStart w:id="359" w:name="_Toc209426532"/>
      <w:bookmarkEnd w:id="359"/>
      <w:bookmarkStart w:id="360" w:name="_Toc207503540"/>
      <w:bookmarkEnd w:id="360"/>
      <w:bookmarkStart w:id="361" w:name="_Toc209426770"/>
      <w:bookmarkEnd w:id="361"/>
      <w:bookmarkStart w:id="362" w:name="_Toc207503684"/>
      <w:bookmarkEnd w:id="362"/>
      <w:bookmarkStart w:id="363" w:name="_Toc207503639"/>
      <w:bookmarkEnd w:id="363"/>
      <w:bookmarkStart w:id="364" w:name="_Toc209426785"/>
      <w:bookmarkEnd w:id="364"/>
      <w:bookmarkStart w:id="365" w:name="_Toc209426821"/>
      <w:bookmarkEnd w:id="365"/>
      <w:bookmarkStart w:id="366" w:name="_Toc207503704"/>
      <w:bookmarkEnd w:id="366"/>
      <w:bookmarkStart w:id="367" w:name="_Toc209426998"/>
      <w:bookmarkEnd w:id="367"/>
      <w:bookmarkStart w:id="368" w:name="_Toc207503814"/>
      <w:bookmarkEnd w:id="368"/>
      <w:bookmarkStart w:id="369" w:name="_Toc207503651"/>
      <w:bookmarkEnd w:id="369"/>
      <w:bookmarkStart w:id="370" w:name="_Toc199582683"/>
      <w:bookmarkEnd w:id="370"/>
      <w:bookmarkStart w:id="371" w:name="_Toc209427071"/>
      <w:bookmarkEnd w:id="371"/>
      <w:bookmarkStart w:id="372" w:name="_Toc207503787"/>
      <w:bookmarkEnd w:id="372"/>
      <w:bookmarkStart w:id="373" w:name="_Toc207503900"/>
      <w:bookmarkEnd w:id="373"/>
      <w:bookmarkStart w:id="374" w:name="_Toc209426859"/>
      <w:bookmarkEnd w:id="374"/>
      <w:bookmarkStart w:id="375" w:name="_Toc199726942"/>
      <w:bookmarkEnd w:id="375"/>
      <w:bookmarkStart w:id="376" w:name="_Toc209427073"/>
      <w:bookmarkEnd w:id="376"/>
      <w:bookmarkStart w:id="377" w:name="_Toc209426905"/>
      <w:bookmarkEnd w:id="377"/>
      <w:bookmarkStart w:id="378" w:name="_Toc209426793"/>
      <w:bookmarkEnd w:id="378"/>
      <w:bookmarkStart w:id="379" w:name="_Toc209426988"/>
      <w:bookmarkEnd w:id="379"/>
      <w:bookmarkStart w:id="380" w:name="_Toc209427035"/>
      <w:bookmarkEnd w:id="380"/>
      <w:bookmarkStart w:id="381" w:name="_Toc209426797"/>
      <w:bookmarkEnd w:id="381"/>
      <w:bookmarkStart w:id="382" w:name="_Toc207503588"/>
      <w:bookmarkEnd w:id="382"/>
      <w:bookmarkStart w:id="383" w:name="_Toc207503576"/>
      <w:bookmarkEnd w:id="383"/>
      <w:bookmarkStart w:id="384" w:name="_Toc209427053"/>
      <w:bookmarkEnd w:id="384"/>
      <w:bookmarkStart w:id="385" w:name="_Toc207503731"/>
      <w:bookmarkEnd w:id="385"/>
      <w:bookmarkStart w:id="386" w:name="_Toc209426943"/>
      <w:bookmarkEnd w:id="386"/>
      <w:bookmarkStart w:id="387" w:name="_Toc209426829"/>
      <w:bookmarkEnd w:id="387"/>
      <w:bookmarkStart w:id="388" w:name="_Toc209426849"/>
      <w:bookmarkEnd w:id="388"/>
      <w:bookmarkStart w:id="389" w:name="_Toc199582682"/>
      <w:bookmarkEnd w:id="389"/>
      <w:bookmarkStart w:id="390" w:name="_Toc209427083"/>
      <w:bookmarkEnd w:id="390"/>
      <w:bookmarkStart w:id="391" w:name="_Toc207503592"/>
      <w:bookmarkEnd w:id="391"/>
      <w:bookmarkStart w:id="392" w:name="_Toc207503655"/>
      <w:bookmarkEnd w:id="392"/>
      <w:bookmarkStart w:id="393" w:name="_Toc209427044"/>
      <w:bookmarkEnd w:id="393"/>
      <w:bookmarkStart w:id="394" w:name="_Toc209427026"/>
      <w:bookmarkEnd w:id="394"/>
      <w:bookmarkStart w:id="395" w:name="_Toc209426997"/>
      <w:bookmarkEnd w:id="395"/>
      <w:bookmarkStart w:id="396" w:name="_Toc207503679"/>
      <w:bookmarkEnd w:id="396"/>
      <w:bookmarkStart w:id="397" w:name="_Toc209426952"/>
      <w:bookmarkEnd w:id="397"/>
      <w:bookmarkStart w:id="398" w:name="_Toc209427238"/>
      <w:bookmarkEnd w:id="398"/>
      <w:bookmarkStart w:id="399" w:name="_Toc207504082"/>
      <w:bookmarkEnd w:id="399"/>
      <w:bookmarkStart w:id="400" w:name="_Toc207504080"/>
      <w:bookmarkEnd w:id="400"/>
      <w:bookmarkStart w:id="401" w:name="_Toc209427074"/>
      <w:bookmarkEnd w:id="401"/>
      <w:bookmarkStart w:id="402" w:name="_Toc199726951"/>
      <w:bookmarkEnd w:id="402"/>
      <w:bookmarkStart w:id="403" w:name="_Toc209426923"/>
      <w:bookmarkEnd w:id="403"/>
      <w:bookmarkStart w:id="404" w:name="_Toc207503950"/>
      <w:bookmarkEnd w:id="404"/>
      <w:bookmarkStart w:id="405" w:name="_Toc207503647"/>
      <w:bookmarkEnd w:id="405"/>
      <w:bookmarkStart w:id="406" w:name="_Toc207503722"/>
      <w:bookmarkEnd w:id="406"/>
      <w:bookmarkStart w:id="407" w:name="_Toc199581008"/>
      <w:bookmarkEnd w:id="407"/>
      <w:bookmarkStart w:id="408" w:name="_Toc199582681"/>
      <w:bookmarkEnd w:id="408"/>
      <w:bookmarkStart w:id="409" w:name="_Toc207504079"/>
      <w:bookmarkEnd w:id="409"/>
      <w:bookmarkStart w:id="410" w:name="_Toc207503879"/>
      <w:bookmarkEnd w:id="410"/>
      <w:bookmarkStart w:id="411" w:name="_Toc207503898"/>
      <w:bookmarkEnd w:id="411"/>
      <w:bookmarkStart w:id="412" w:name="_Toc207503619"/>
      <w:bookmarkEnd w:id="412"/>
      <w:bookmarkStart w:id="413" w:name="_Toc209426805"/>
      <w:bookmarkEnd w:id="413"/>
      <w:bookmarkStart w:id="414" w:name="_Toc209427062"/>
      <w:bookmarkEnd w:id="414"/>
      <w:bookmarkStart w:id="415" w:name="_Toc199582690"/>
      <w:bookmarkEnd w:id="415"/>
      <w:bookmarkStart w:id="416" w:name="_Toc209426961"/>
      <w:bookmarkEnd w:id="416"/>
      <w:bookmarkStart w:id="417" w:name="_Toc199726947"/>
      <w:bookmarkEnd w:id="417"/>
      <w:bookmarkStart w:id="418" w:name="_Toc207503713"/>
      <w:bookmarkEnd w:id="418"/>
      <w:bookmarkStart w:id="419" w:name="_Toc207503740"/>
      <w:bookmarkEnd w:id="419"/>
      <w:bookmarkStart w:id="420" w:name="_Toc199727123"/>
      <w:bookmarkEnd w:id="420"/>
      <w:bookmarkStart w:id="421" w:name="_Toc199726946"/>
      <w:bookmarkEnd w:id="421"/>
      <w:bookmarkStart w:id="422" w:name="_Toc199727122"/>
      <w:bookmarkEnd w:id="422"/>
      <w:bookmarkStart w:id="423" w:name="_Toc209427017"/>
      <w:bookmarkEnd w:id="423"/>
      <w:bookmarkStart w:id="424" w:name="_Toc207503861"/>
      <w:bookmarkEnd w:id="424"/>
      <w:bookmarkStart w:id="425" w:name="_Toc209426813"/>
      <w:bookmarkEnd w:id="425"/>
      <w:bookmarkStart w:id="426" w:name="_Toc207503901"/>
      <w:bookmarkEnd w:id="426"/>
      <w:bookmarkStart w:id="427" w:name="_Toc199581855"/>
      <w:bookmarkEnd w:id="427"/>
      <w:bookmarkStart w:id="428" w:name="_Toc207503796"/>
      <w:bookmarkEnd w:id="428"/>
      <w:bookmarkStart w:id="429" w:name="_Toc207503852"/>
      <w:bookmarkEnd w:id="429"/>
      <w:bookmarkStart w:id="430" w:name="_Toc207503749"/>
      <w:bookmarkEnd w:id="430"/>
      <w:bookmarkStart w:id="431" w:name="_Toc199727124"/>
      <w:bookmarkEnd w:id="431"/>
      <w:bookmarkStart w:id="432" w:name="_Toc209427123"/>
      <w:bookmarkEnd w:id="432"/>
      <w:bookmarkStart w:id="433" w:name="_Toc209426979"/>
      <w:bookmarkEnd w:id="433"/>
      <w:bookmarkStart w:id="434" w:name="_Toc209427124"/>
      <w:bookmarkEnd w:id="434"/>
      <w:bookmarkStart w:id="435" w:name="_Toc199727281"/>
      <w:bookmarkEnd w:id="435"/>
      <w:bookmarkStart w:id="436" w:name="_Toc209427243"/>
      <w:bookmarkEnd w:id="436"/>
      <w:bookmarkStart w:id="437" w:name="_Toc199582015"/>
      <w:bookmarkEnd w:id="437"/>
      <w:bookmarkStart w:id="438" w:name="_Toc199581016"/>
      <w:bookmarkEnd w:id="438"/>
      <w:bookmarkStart w:id="439" w:name="_Toc209426970"/>
      <w:bookmarkEnd w:id="439"/>
      <w:bookmarkStart w:id="440" w:name="_Toc199582691"/>
      <w:bookmarkEnd w:id="440"/>
      <w:bookmarkStart w:id="441" w:name="_Toc199726992"/>
      <w:bookmarkEnd w:id="441"/>
      <w:bookmarkStart w:id="442" w:name="_Toc209427076"/>
      <w:bookmarkEnd w:id="442"/>
      <w:bookmarkStart w:id="443" w:name="_Toc209426825"/>
      <w:bookmarkEnd w:id="443"/>
      <w:bookmarkStart w:id="444" w:name="_Toc207503778"/>
      <w:bookmarkEnd w:id="444"/>
      <w:bookmarkStart w:id="445" w:name="_Toc209427079"/>
      <w:bookmarkEnd w:id="445"/>
      <w:bookmarkStart w:id="446" w:name="_Toc209427239"/>
      <w:bookmarkEnd w:id="446"/>
      <w:bookmarkStart w:id="447" w:name="_Toc207503824"/>
      <w:bookmarkEnd w:id="447"/>
      <w:bookmarkStart w:id="448" w:name="_Toc207504083"/>
      <w:bookmarkEnd w:id="448"/>
      <w:bookmarkStart w:id="449" w:name="_Toc209427072"/>
      <w:bookmarkEnd w:id="449"/>
      <w:bookmarkStart w:id="450" w:name="_Toc199582704"/>
      <w:bookmarkEnd w:id="450"/>
      <w:bookmarkStart w:id="451" w:name="_Toc199582844"/>
      <w:bookmarkEnd w:id="451"/>
      <w:bookmarkStart w:id="452" w:name="_Toc199726991"/>
      <w:bookmarkEnd w:id="452"/>
      <w:bookmarkStart w:id="453" w:name="_Toc199581856"/>
      <w:bookmarkEnd w:id="453"/>
      <w:bookmarkStart w:id="454" w:name="_Toc209426887"/>
      <w:bookmarkEnd w:id="454"/>
      <w:bookmarkStart w:id="455" w:name="_Toc207504234"/>
      <w:bookmarkEnd w:id="455"/>
      <w:bookmarkStart w:id="456" w:name="_Toc199581848"/>
      <w:bookmarkEnd w:id="456"/>
      <w:bookmarkStart w:id="457" w:name="_Toc199727278"/>
      <w:bookmarkEnd w:id="457"/>
      <w:bookmarkStart w:id="458" w:name="_Toc199581010"/>
      <w:bookmarkEnd w:id="458"/>
      <w:bookmarkStart w:id="459" w:name="_Toc209426858"/>
      <w:bookmarkEnd w:id="459"/>
      <w:bookmarkStart w:id="460" w:name="_Toc209427078"/>
      <w:bookmarkEnd w:id="460"/>
      <w:bookmarkStart w:id="461" w:name="_Toc207503905"/>
      <w:bookmarkEnd w:id="461"/>
      <w:bookmarkStart w:id="462" w:name="_Toc199727276"/>
      <w:bookmarkEnd w:id="462"/>
      <w:bookmarkStart w:id="463" w:name="_Toc199727277"/>
      <w:bookmarkEnd w:id="463"/>
      <w:bookmarkStart w:id="464" w:name="_Toc199582841"/>
      <w:bookmarkEnd w:id="464"/>
      <w:bookmarkStart w:id="465" w:name="_Toc199582840"/>
      <w:bookmarkEnd w:id="465"/>
      <w:bookmarkStart w:id="466" w:name="_Toc199727121"/>
      <w:bookmarkEnd w:id="466"/>
      <w:bookmarkStart w:id="467" w:name="_Toc209427395"/>
      <w:bookmarkEnd w:id="467"/>
      <w:bookmarkStart w:id="468" w:name="_Toc207503899"/>
      <w:bookmarkEnd w:id="468"/>
      <w:bookmarkStart w:id="469" w:name="_Toc207503888"/>
      <w:bookmarkEnd w:id="469"/>
      <w:bookmarkStart w:id="470" w:name="_Toc207504422"/>
      <w:bookmarkEnd w:id="470"/>
      <w:bookmarkStart w:id="471" w:name="_Toc199581847"/>
      <w:bookmarkEnd w:id="471"/>
      <w:bookmarkStart w:id="472" w:name="_Toc209427241"/>
      <w:bookmarkEnd w:id="472"/>
      <w:bookmarkStart w:id="473" w:name="_Toc209427257"/>
      <w:bookmarkEnd w:id="473"/>
      <w:bookmarkStart w:id="474" w:name="_Toc207503902"/>
      <w:bookmarkEnd w:id="474"/>
      <w:bookmarkStart w:id="475" w:name="_Toc199581179"/>
      <w:bookmarkEnd w:id="475"/>
      <w:bookmarkStart w:id="476" w:name="_Toc207504237"/>
      <w:bookmarkEnd w:id="476"/>
      <w:bookmarkStart w:id="477" w:name="_Toc199727275"/>
      <w:bookmarkEnd w:id="477"/>
      <w:bookmarkStart w:id="478" w:name="_Toc207504233"/>
      <w:bookmarkEnd w:id="478"/>
      <w:bookmarkStart w:id="479" w:name="_Toc199581170"/>
      <w:bookmarkEnd w:id="479"/>
      <w:bookmarkStart w:id="480" w:name="_Toc209427240"/>
      <w:bookmarkEnd w:id="480"/>
      <w:bookmarkStart w:id="481" w:name="_Toc207503870"/>
      <w:bookmarkEnd w:id="481"/>
      <w:bookmarkStart w:id="482" w:name="_Toc199582839"/>
      <w:bookmarkEnd w:id="482"/>
      <w:bookmarkStart w:id="483" w:name="_Toc207503949"/>
      <w:bookmarkEnd w:id="483"/>
      <w:bookmarkStart w:id="484" w:name="_Toc207503903"/>
      <w:bookmarkEnd w:id="484"/>
      <w:bookmarkStart w:id="485" w:name="_Toc207503904"/>
      <w:bookmarkEnd w:id="485"/>
      <w:bookmarkStart w:id="486" w:name="_Toc209427077"/>
      <w:bookmarkEnd w:id="486"/>
      <w:bookmarkStart w:id="487" w:name="_Toc199726943"/>
      <w:bookmarkEnd w:id="487"/>
      <w:bookmarkStart w:id="488" w:name="_Toc207503909"/>
      <w:bookmarkEnd w:id="488"/>
      <w:bookmarkStart w:id="489" w:name="_Toc199727315"/>
      <w:bookmarkEnd w:id="489"/>
      <w:bookmarkStart w:id="490" w:name="_Toc199581018"/>
      <w:bookmarkEnd w:id="490"/>
      <w:bookmarkStart w:id="491" w:name="_Toc199581017"/>
      <w:bookmarkEnd w:id="491"/>
      <w:bookmarkStart w:id="492" w:name="_Toc199582006"/>
      <w:bookmarkEnd w:id="492"/>
      <w:bookmarkStart w:id="493" w:name="_Toc199581166"/>
      <w:bookmarkEnd w:id="493"/>
      <w:bookmarkStart w:id="494" w:name="_Toc199581327"/>
      <w:bookmarkEnd w:id="494"/>
      <w:bookmarkStart w:id="495" w:name="_Toc199581168"/>
      <w:bookmarkEnd w:id="495"/>
      <w:bookmarkStart w:id="496" w:name="_Toc199727279"/>
      <w:bookmarkEnd w:id="496"/>
      <w:bookmarkStart w:id="497" w:name="_Toc199582845"/>
      <w:bookmarkEnd w:id="497"/>
      <w:bookmarkStart w:id="498" w:name="_Toc199727127"/>
      <w:bookmarkEnd w:id="498"/>
      <w:bookmarkStart w:id="499" w:name="_Toc199582850"/>
      <w:bookmarkEnd w:id="499"/>
      <w:bookmarkStart w:id="500" w:name="_Toc199727335"/>
      <w:bookmarkEnd w:id="500"/>
      <w:bookmarkStart w:id="501" w:name="_Toc199581485"/>
      <w:bookmarkEnd w:id="501"/>
      <w:bookmarkStart w:id="502" w:name="_Toc207504236"/>
      <w:bookmarkEnd w:id="502"/>
      <w:bookmarkStart w:id="503" w:name="_Toc209427582"/>
      <w:bookmarkEnd w:id="503"/>
      <w:bookmarkStart w:id="504" w:name="_Toc199582010"/>
      <w:bookmarkEnd w:id="504"/>
      <w:bookmarkStart w:id="505" w:name="_Toc199582842"/>
      <w:bookmarkEnd w:id="505"/>
      <w:bookmarkStart w:id="506" w:name="_Toc199581854"/>
      <w:bookmarkEnd w:id="506"/>
      <w:bookmarkStart w:id="507" w:name="_Toc199581846"/>
      <w:bookmarkEnd w:id="507"/>
      <w:bookmarkStart w:id="508" w:name="_Toc207504081"/>
      <w:bookmarkEnd w:id="508"/>
      <w:bookmarkStart w:id="509" w:name="_Toc209427435"/>
      <w:bookmarkEnd w:id="509"/>
      <w:bookmarkStart w:id="510" w:name="_Toc199582851"/>
      <w:bookmarkEnd w:id="510"/>
      <w:bookmarkStart w:id="511" w:name="_Toc209427393"/>
      <w:bookmarkEnd w:id="511"/>
      <w:bookmarkStart w:id="512" w:name="_Toc199581869"/>
      <w:bookmarkEnd w:id="512"/>
      <w:bookmarkStart w:id="513" w:name="_Toc209427396"/>
      <w:bookmarkEnd w:id="513"/>
      <w:bookmarkStart w:id="514" w:name="_Toc209427244"/>
      <w:bookmarkEnd w:id="514"/>
      <w:bookmarkStart w:id="515" w:name="_Toc199726945"/>
      <w:bookmarkEnd w:id="515"/>
      <w:bookmarkStart w:id="516" w:name="_Toc199581031"/>
      <w:bookmarkEnd w:id="516"/>
      <w:bookmarkStart w:id="517" w:name="_Toc199727140"/>
      <w:bookmarkEnd w:id="517"/>
      <w:bookmarkStart w:id="518" w:name="_Toc199727125"/>
      <w:bookmarkEnd w:id="518"/>
      <w:bookmarkStart w:id="519" w:name="_Toc209427398"/>
      <w:bookmarkEnd w:id="519"/>
      <w:bookmarkStart w:id="520" w:name="_Toc199581009"/>
      <w:bookmarkEnd w:id="520"/>
      <w:bookmarkStart w:id="521" w:name="_Toc209427397"/>
      <w:bookmarkEnd w:id="521"/>
      <w:bookmarkStart w:id="522" w:name="_Toc199582005"/>
      <w:bookmarkEnd w:id="522"/>
      <w:bookmarkStart w:id="523" w:name="_Toc209427595"/>
      <w:bookmarkEnd w:id="523"/>
      <w:bookmarkStart w:id="524" w:name="_Toc199581178"/>
      <w:bookmarkEnd w:id="524"/>
      <w:bookmarkStart w:id="525" w:name="_Toc199581340"/>
      <w:bookmarkEnd w:id="525"/>
      <w:bookmarkStart w:id="526" w:name="_Toc209427242"/>
      <w:bookmarkEnd w:id="526"/>
      <w:bookmarkStart w:id="527" w:name="_Toc199582011"/>
      <w:bookmarkEnd w:id="527"/>
      <w:bookmarkStart w:id="528" w:name="_Toc207504098"/>
      <w:bookmarkEnd w:id="528"/>
      <w:bookmarkStart w:id="529" w:name="_Toc199582164"/>
      <w:bookmarkEnd w:id="529"/>
      <w:bookmarkStart w:id="530" w:name="_Toc199581180"/>
      <w:bookmarkEnd w:id="530"/>
      <w:bookmarkStart w:id="531" w:name="_Toc199582009"/>
      <w:bookmarkEnd w:id="531"/>
      <w:bookmarkStart w:id="532" w:name="_Toc209427581"/>
      <w:bookmarkEnd w:id="532"/>
      <w:bookmarkStart w:id="533" w:name="_Toc199582870"/>
      <w:bookmarkEnd w:id="533"/>
      <w:bookmarkStart w:id="534" w:name="_Toc209427392"/>
      <w:bookmarkEnd w:id="534"/>
      <w:bookmarkStart w:id="535" w:name="_Toc207504276"/>
      <w:bookmarkEnd w:id="535"/>
      <w:bookmarkStart w:id="536" w:name="_Toc199727463"/>
      <w:bookmarkEnd w:id="536"/>
      <w:bookmarkStart w:id="537" w:name="_Toc199727478"/>
      <w:bookmarkEnd w:id="537"/>
      <w:bookmarkStart w:id="538" w:name="_Toc199583160"/>
      <w:bookmarkEnd w:id="538"/>
      <w:bookmarkStart w:id="539" w:name="_Toc199582004"/>
      <w:bookmarkEnd w:id="539"/>
      <w:bookmarkStart w:id="540" w:name="_Toc199582689"/>
      <w:bookmarkEnd w:id="540"/>
      <w:bookmarkStart w:id="541" w:name="_Toc199582008"/>
      <w:bookmarkEnd w:id="541"/>
      <w:bookmarkStart w:id="542" w:name="_Toc199583000"/>
      <w:bookmarkEnd w:id="542"/>
      <w:bookmarkStart w:id="543" w:name="_Toc207504239"/>
      <w:bookmarkEnd w:id="543"/>
      <w:bookmarkStart w:id="544" w:name="_Toc199582017"/>
      <w:bookmarkEnd w:id="544"/>
      <w:bookmarkStart w:id="545" w:name="_Toc199727126"/>
      <w:bookmarkEnd w:id="545"/>
      <w:bookmarkStart w:id="546" w:name="_Toc199581177"/>
      <w:bookmarkEnd w:id="546"/>
      <w:bookmarkStart w:id="547" w:name="_Toc207504582"/>
      <w:bookmarkEnd w:id="547"/>
      <w:bookmarkStart w:id="548" w:name="_Toc199581487"/>
      <w:bookmarkEnd w:id="548"/>
      <w:bookmarkStart w:id="549" w:name="_Toc199581172"/>
      <w:bookmarkEnd w:id="549"/>
      <w:bookmarkStart w:id="550" w:name="_Toc199583157"/>
      <w:bookmarkEnd w:id="550"/>
      <w:bookmarkStart w:id="551" w:name="_Toc199581173"/>
      <w:bookmarkEnd w:id="551"/>
      <w:bookmarkStart w:id="552" w:name="_Toc209427432"/>
      <w:bookmarkEnd w:id="552"/>
      <w:bookmarkStart w:id="553" w:name="_Toc199581171"/>
      <w:bookmarkEnd w:id="553"/>
      <w:bookmarkStart w:id="554" w:name="_Toc209427431"/>
      <w:bookmarkEnd w:id="554"/>
      <w:bookmarkStart w:id="555" w:name="_Toc199581325"/>
      <w:bookmarkEnd w:id="555"/>
      <w:bookmarkStart w:id="556" w:name="_Toc207504293"/>
      <w:bookmarkEnd w:id="556"/>
      <w:bookmarkStart w:id="557" w:name="_Toc199582178"/>
      <w:bookmarkEnd w:id="557"/>
      <w:bookmarkStart w:id="558" w:name="_Toc209427580"/>
      <w:bookmarkEnd w:id="558"/>
      <w:bookmarkStart w:id="559" w:name="_Toc199727624"/>
      <w:bookmarkEnd w:id="559"/>
      <w:bookmarkStart w:id="560" w:name="_Toc199581486"/>
      <w:bookmarkEnd w:id="560"/>
      <w:bookmarkStart w:id="561" w:name="_Toc209427394"/>
      <w:bookmarkEnd w:id="561"/>
      <w:bookmarkStart w:id="562" w:name="_Toc207504084"/>
      <w:bookmarkEnd w:id="562"/>
      <w:bookmarkStart w:id="563" w:name="_Toc207504238"/>
      <w:bookmarkEnd w:id="563"/>
      <w:bookmarkStart w:id="564" w:name="_Toc199582999"/>
      <w:bookmarkEnd w:id="564"/>
      <w:bookmarkStart w:id="565" w:name="_Toc209427742"/>
      <w:bookmarkEnd w:id="565"/>
      <w:bookmarkStart w:id="566" w:name="_Toc199582018"/>
      <w:bookmarkEnd w:id="566"/>
      <w:bookmarkStart w:id="567" w:name="_Toc199582853"/>
      <w:bookmarkEnd w:id="567"/>
      <w:bookmarkStart w:id="568" w:name="_Toc207504275"/>
      <w:bookmarkEnd w:id="568"/>
      <w:bookmarkStart w:id="569" w:name="_Toc199727625"/>
      <w:bookmarkEnd w:id="569"/>
      <w:bookmarkStart w:id="570" w:name="_Toc207504273"/>
      <w:bookmarkEnd w:id="570"/>
      <w:bookmarkStart w:id="571" w:name="_Toc207504423"/>
      <w:bookmarkEnd w:id="571"/>
      <w:bookmarkStart w:id="572" w:name="_Toc207504436"/>
      <w:bookmarkEnd w:id="572"/>
      <w:bookmarkStart w:id="573" w:name="_Toc199582325"/>
      <w:bookmarkEnd w:id="573"/>
      <w:bookmarkStart w:id="574" w:name="_Toc207504274"/>
      <w:bookmarkEnd w:id="574"/>
      <w:bookmarkStart w:id="575" w:name="_Toc199582852"/>
      <w:bookmarkEnd w:id="575"/>
      <w:bookmarkStart w:id="576" w:name="_Toc199583158"/>
      <w:bookmarkEnd w:id="576"/>
      <w:bookmarkStart w:id="577" w:name="_Toc199727280"/>
      <w:bookmarkEnd w:id="577"/>
      <w:bookmarkStart w:id="578" w:name="_Toc207504583"/>
      <w:bookmarkEnd w:id="578"/>
      <w:bookmarkStart w:id="579" w:name="_Toc199582035"/>
      <w:bookmarkEnd w:id="579"/>
      <w:bookmarkStart w:id="580" w:name="_Toc209427434"/>
      <w:bookmarkEnd w:id="580"/>
      <w:bookmarkStart w:id="581" w:name="_Toc209427739"/>
      <w:bookmarkEnd w:id="581"/>
      <w:bookmarkStart w:id="582" w:name="_Toc199727316"/>
      <w:bookmarkEnd w:id="582"/>
      <w:bookmarkStart w:id="583" w:name="_Toc199581197"/>
      <w:bookmarkEnd w:id="583"/>
      <w:bookmarkStart w:id="584" w:name="_Toc207504580"/>
      <w:bookmarkEnd w:id="584"/>
      <w:bookmarkStart w:id="585" w:name="_Toc199582007"/>
      <w:bookmarkEnd w:id="585"/>
      <w:bookmarkStart w:id="586" w:name="_Toc207504085"/>
      <w:bookmarkEnd w:id="586"/>
      <w:bookmarkStart w:id="587" w:name="_Toc199582843"/>
      <w:bookmarkEnd w:id="587"/>
      <w:bookmarkStart w:id="588" w:name="_Toc199582016"/>
      <w:bookmarkEnd w:id="588"/>
      <w:bookmarkStart w:id="589" w:name="_Toc209427741"/>
      <w:bookmarkEnd w:id="589"/>
      <w:bookmarkStart w:id="590" w:name="_Toc199581169"/>
      <w:bookmarkEnd w:id="590"/>
      <w:bookmarkStart w:id="591" w:name="_Toc207504235"/>
      <w:bookmarkEnd w:id="591"/>
      <w:bookmarkStart w:id="592" w:name="_Toc207504581"/>
      <w:bookmarkEnd w:id="592"/>
      <w:bookmarkStart w:id="593" w:name="_Toc207504240"/>
      <w:bookmarkEnd w:id="593"/>
      <w:bookmarkStart w:id="594" w:name="_Toc199727299"/>
      <w:bookmarkEnd w:id="594"/>
      <w:bookmarkStart w:id="595" w:name="_Toc209427416"/>
      <w:bookmarkEnd w:id="595"/>
      <w:bookmarkStart w:id="596" w:name="_Toc199727288"/>
      <w:bookmarkEnd w:id="596"/>
      <w:bookmarkStart w:id="597" w:name="_Toc209427433"/>
      <w:bookmarkEnd w:id="597"/>
      <w:bookmarkStart w:id="598" w:name="_Toc199727464"/>
      <w:bookmarkEnd w:id="598"/>
      <w:bookmarkStart w:id="599" w:name="_Toc199582163"/>
      <w:bookmarkEnd w:id="599"/>
      <w:bookmarkStart w:id="600" w:name="_Toc209427740"/>
      <w:bookmarkEnd w:id="600"/>
      <w:bookmarkStart w:id="601" w:name="_Toc209427452"/>
      <w:bookmarkEnd w:id="601"/>
      <w:bookmarkStart w:id="602" w:name="_Toc199727287"/>
      <w:bookmarkEnd w:id="602"/>
      <w:bookmarkStart w:id="603" w:name="_Toc199583159"/>
      <w:bookmarkEnd w:id="603"/>
      <w:bookmarkStart w:id="604" w:name="_Toc199581484"/>
      <w:bookmarkEnd w:id="604"/>
      <w:bookmarkStart w:id="605" w:name="_Toc199727622"/>
      <w:bookmarkEnd w:id="605"/>
      <w:bookmarkStart w:id="606" w:name="_Toc199582322"/>
      <w:bookmarkEnd w:id="606"/>
      <w:bookmarkStart w:id="607" w:name="_Toc199581167"/>
      <w:bookmarkEnd w:id="607"/>
      <w:bookmarkStart w:id="608" w:name="_Toc199727317"/>
      <w:bookmarkEnd w:id="608"/>
      <w:bookmarkStart w:id="609" w:name="_Toc199582165"/>
      <w:bookmarkEnd w:id="609"/>
      <w:bookmarkStart w:id="610" w:name="_Toc199727623"/>
      <w:bookmarkEnd w:id="610"/>
      <w:bookmarkStart w:id="611" w:name="_Toc199582998"/>
      <w:bookmarkEnd w:id="611"/>
      <w:bookmarkStart w:id="612" w:name="_Toc207504421"/>
      <w:bookmarkEnd w:id="612"/>
      <w:bookmarkStart w:id="613" w:name="_Toc199582324"/>
      <w:bookmarkEnd w:id="613"/>
      <w:bookmarkStart w:id="614" w:name="_Toc199727318"/>
      <w:bookmarkEnd w:id="614"/>
      <w:bookmarkStart w:id="615" w:name="_Toc199581326"/>
      <w:bookmarkEnd w:id="615"/>
      <w:bookmarkStart w:id="616" w:name="_Toc199582323"/>
      <w:bookmarkEnd w:id="616"/>
      <w:bookmarkStart w:id="617" w:name="_Toc199727465"/>
      <w:bookmarkEnd w:id="617"/>
      <w:bookmarkStart w:id="618" w:name="_Toc209427417"/>
      <w:bookmarkEnd w:id="618"/>
      <w:bookmarkStart w:id="619" w:name="_Toc199583013"/>
      <w:bookmarkEnd w:id="619"/>
      <w:bookmarkStart w:id="620" w:name="_Toc209427401"/>
      <w:bookmarkEnd w:id="620"/>
      <w:bookmarkStart w:id="621" w:name="_Toc209427407"/>
      <w:bookmarkEnd w:id="621"/>
      <w:bookmarkStart w:id="622" w:name="_Toc209427403"/>
      <w:bookmarkEnd w:id="622"/>
      <w:bookmarkStart w:id="623" w:name="_Toc207504251"/>
      <w:bookmarkEnd w:id="623"/>
      <w:bookmarkStart w:id="624" w:name="_Toc207504272"/>
      <w:bookmarkEnd w:id="624"/>
      <w:bookmarkStart w:id="625" w:name="_Toc207504258"/>
      <w:bookmarkEnd w:id="625"/>
      <w:bookmarkStart w:id="626" w:name="_Toc209427414"/>
      <w:bookmarkEnd w:id="626"/>
      <w:bookmarkStart w:id="627" w:name="_Toc209427399"/>
      <w:bookmarkEnd w:id="627"/>
      <w:bookmarkStart w:id="628" w:name="_Toc207504242"/>
      <w:bookmarkEnd w:id="628"/>
      <w:bookmarkStart w:id="629" w:name="_Toc209427406"/>
      <w:bookmarkEnd w:id="629"/>
      <w:bookmarkStart w:id="630" w:name="_Toc209426526"/>
      <w:bookmarkEnd w:id="630"/>
      <w:bookmarkStart w:id="631" w:name="_Toc207504250"/>
      <w:bookmarkEnd w:id="631"/>
      <w:bookmarkStart w:id="632" w:name="_Toc199727286"/>
      <w:bookmarkEnd w:id="632"/>
      <w:bookmarkStart w:id="633" w:name="_Toc209427405"/>
      <w:bookmarkEnd w:id="633"/>
      <w:bookmarkStart w:id="634" w:name="_Toc199727300"/>
      <w:bookmarkEnd w:id="634"/>
      <w:bookmarkStart w:id="635" w:name="_Toc207504254"/>
      <w:bookmarkEnd w:id="635"/>
      <w:bookmarkStart w:id="636" w:name="_Toc209427404"/>
      <w:bookmarkEnd w:id="636"/>
      <w:bookmarkStart w:id="637" w:name="_Toc199727289"/>
      <w:bookmarkEnd w:id="637"/>
      <w:bookmarkStart w:id="638" w:name="_Toc199727294"/>
      <w:bookmarkEnd w:id="638"/>
      <w:bookmarkStart w:id="639" w:name="_Toc209427419"/>
      <w:bookmarkEnd w:id="639"/>
      <w:bookmarkStart w:id="640" w:name="_Toc209427412"/>
      <w:bookmarkEnd w:id="640"/>
      <w:bookmarkStart w:id="641" w:name="_Toc207503353"/>
      <w:bookmarkEnd w:id="641"/>
      <w:bookmarkStart w:id="642" w:name="_Toc199727284"/>
      <w:bookmarkEnd w:id="642"/>
      <w:bookmarkStart w:id="643" w:name="_Toc207504265"/>
      <w:bookmarkEnd w:id="643"/>
      <w:bookmarkStart w:id="644" w:name="_Toc209427408"/>
      <w:bookmarkEnd w:id="644"/>
      <w:bookmarkStart w:id="645" w:name="_Toc199727301"/>
      <w:bookmarkEnd w:id="645"/>
      <w:bookmarkStart w:id="646" w:name="_Toc199727292"/>
      <w:bookmarkEnd w:id="646"/>
      <w:bookmarkStart w:id="647" w:name="_Toc199727283"/>
      <w:bookmarkEnd w:id="647"/>
      <w:bookmarkStart w:id="648" w:name="_Toc207504249"/>
      <w:bookmarkEnd w:id="648"/>
      <w:bookmarkStart w:id="649" w:name="_Toc209427421"/>
      <w:bookmarkEnd w:id="649"/>
      <w:bookmarkStart w:id="650" w:name="_Toc209427413"/>
      <w:bookmarkEnd w:id="650"/>
      <w:bookmarkStart w:id="651" w:name="_Toc207504255"/>
      <w:bookmarkEnd w:id="651"/>
      <w:bookmarkStart w:id="652" w:name="_Toc207504241"/>
      <w:bookmarkEnd w:id="652"/>
      <w:bookmarkStart w:id="653" w:name="_Toc209427425"/>
      <w:bookmarkEnd w:id="653"/>
      <w:bookmarkStart w:id="654" w:name="_Toc207504243"/>
      <w:bookmarkEnd w:id="654"/>
      <w:bookmarkStart w:id="655" w:name="_Toc199727295"/>
      <w:bookmarkEnd w:id="655"/>
      <w:bookmarkStart w:id="656" w:name="_Toc207504257"/>
      <w:bookmarkEnd w:id="656"/>
      <w:bookmarkStart w:id="657" w:name="_Toc207503363"/>
      <w:bookmarkEnd w:id="657"/>
      <w:bookmarkStart w:id="658" w:name="_Toc199582846"/>
      <w:bookmarkEnd w:id="658"/>
      <w:bookmarkStart w:id="659" w:name="_Toc199727307"/>
      <w:bookmarkEnd w:id="659"/>
      <w:bookmarkStart w:id="660" w:name="_Toc199727293"/>
      <w:bookmarkEnd w:id="660"/>
      <w:bookmarkStart w:id="661" w:name="_Toc207504264"/>
      <w:bookmarkEnd w:id="661"/>
      <w:bookmarkStart w:id="662" w:name="_Toc207504245"/>
      <w:bookmarkEnd w:id="662"/>
      <w:bookmarkStart w:id="663" w:name="_Toc199727313"/>
      <w:bookmarkEnd w:id="663"/>
      <w:bookmarkStart w:id="664" w:name="_Toc207504267"/>
      <w:bookmarkEnd w:id="664"/>
      <w:bookmarkStart w:id="665" w:name="_Toc207504262"/>
      <w:bookmarkEnd w:id="665"/>
      <w:bookmarkStart w:id="666" w:name="_Toc209427411"/>
      <w:bookmarkEnd w:id="666"/>
      <w:bookmarkStart w:id="667" w:name="_Toc209427423"/>
      <w:bookmarkEnd w:id="667"/>
      <w:bookmarkStart w:id="668" w:name="_Toc199727285"/>
      <w:bookmarkEnd w:id="668"/>
      <w:bookmarkStart w:id="669" w:name="_Toc207504252"/>
      <w:bookmarkEnd w:id="669"/>
      <w:bookmarkStart w:id="670" w:name="_Toc199727304"/>
      <w:bookmarkEnd w:id="670"/>
      <w:bookmarkStart w:id="671" w:name="_Toc207504259"/>
      <w:bookmarkEnd w:id="671"/>
      <w:bookmarkStart w:id="672" w:name="_Toc207504256"/>
      <w:bookmarkEnd w:id="672"/>
      <w:bookmarkStart w:id="673" w:name="_Toc207504247"/>
      <w:bookmarkEnd w:id="673"/>
      <w:bookmarkStart w:id="674" w:name="_Toc207504260"/>
      <w:bookmarkEnd w:id="674"/>
      <w:bookmarkStart w:id="675" w:name="_Toc199727297"/>
      <w:bookmarkEnd w:id="675"/>
      <w:bookmarkStart w:id="676" w:name="_Toc209427402"/>
      <w:bookmarkEnd w:id="676"/>
      <w:bookmarkStart w:id="677" w:name="_Toc207504246"/>
      <w:bookmarkEnd w:id="677"/>
      <w:bookmarkStart w:id="678" w:name="_Toc207503356"/>
      <w:bookmarkEnd w:id="678"/>
      <w:bookmarkStart w:id="679" w:name="_Toc199727282"/>
      <w:bookmarkEnd w:id="679"/>
      <w:bookmarkStart w:id="680" w:name="_Toc199727290"/>
      <w:bookmarkEnd w:id="680"/>
      <w:bookmarkStart w:id="681" w:name="_Toc209427409"/>
      <w:bookmarkEnd w:id="681"/>
      <w:bookmarkStart w:id="682" w:name="_Toc209427427"/>
      <w:bookmarkEnd w:id="682"/>
      <w:bookmarkStart w:id="683" w:name="_Toc199727305"/>
      <w:bookmarkEnd w:id="683"/>
      <w:bookmarkStart w:id="684" w:name="_Toc199727291"/>
      <w:bookmarkEnd w:id="684"/>
      <w:bookmarkStart w:id="685" w:name="_Toc199727310"/>
      <w:bookmarkEnd w:id="685"/>
      <w:bookmarkStart w:id="686" w:name="_Toc207504244"/>
      <w:bookmarkEnd w:id="686"/>
      <w:bookmarkStart w:id="687" w:name="_Toc209426529"/>
      <w:bookmarkEnd w:id="687"/>
      <w:bookmarkStart w:id="688" w:name="_Toc209426541"/>
      <w:bookmarkEnd w:id="688"/>
      <w:bookmarkStart w:id="689" w:name="_Toc199726939"/>
      <w:bookmarkEnd w:id="689"/>
      <w:bookmarkStart w:id="690" w:name="_Toc207503357"/>
      <w:bookmarkEnd w:id="690"/>
      <w:bookmarkStart w:id="691" w:name="_Toc209426530"/>
      <w:bookmarkEnd w:id="691"/>
      <w:bookmarkStart w:id="692" w:name="_Toc209427422"/>
      <w:bookmarkEnd w:id="692"/>
      <w:bookmarkStart w:id="693" w:name="_Toc207503396"/>
      <w:bookmarkEnd w:id="693"/>
      <w:bookmarkStart w:id="694" w:name="_Toc209426535"/>
      <w:bookmarkEnd w:id="694"/>
      <w:bookmarkStart w:id="695" w:name="_Toc207504270"/>
      <w:bookmarkEnd w:id="695"/>
      <w:bookmarkStart w:id="696" w:name="_Toc199727308"/>
      <w:bookmarkEnd w:id="696"/>
      <w:bookmarkStart w:id="697" w:name="_Toc209427415"/>
      <w:bookmarkEnd w:id="697"/>
      <w:bookmarkStart w:id="698" w:name="_Toc207503354"/>
      <w:bookmarkEnd w:id="698"/>
      <w:bookmarkStart w:id="699" w:name="_Toc209427429"/>
      <w:bookmarkEnd w:id="699"/>
      <w:bookmarkStart w:id="700" w:name="_Toc199727296"/>
      <w:bookmarkEnd w:id="700"/>
      <w:bookmarkStart w:id="701" w:name="_Toc209426540"/>
      <w:bookmarkEnd w:id="701"/>
      <w:bookmarkStart w:id="702" w:name="_Toc199727314"/>
      <w:bookmarkEnd w:id="702"/>
      <w:bookmarkStart w:id="703" w:name="_Toc199727302"/>
      <w:bookmarkEnd w:id="703"/>
      <w:bookmarkStart w:id="704" w:name="_Toc209426537"/>
      <w:bookmarkEnd w:id="704"/>
      <w:bookmarkStart w:id="705" w:name="_Toc207504253"/>
      <w:bookmarkEnd w:id="705"/>
      <w:bookmarkStart w:id="706" w:name="_Toc207503477"/>
      <w:bookmarkEnd w:id="706"/>
      <w:bookmarkStart w:id="707" w:name="_Toc207504268"/>
      <w:bookmarkEnd w:id="707"/>
      <w:bookmarkStart w:id="708" w:name="_Toc207504266"/>
      <w:bookmarkEnd w:id="708"/>
      <w:bookmarkStart w:id="709" w:name="_Toc209427410"/>
      <w:bookmarkEnd w:id="709"/>
      <w:bookmarkStart w:id="710" w:name="_Toc199727298"/>
      <w:bookmarkEnd w:id="710"/>
      <w:bookmarkStart w:id="711" w:name="_Toc207504269"/>
      <w:bookmarkEnd w:id="711"/>
      <w:bookmarkStart w:id="712" w:name="_Toc209426536"/>
      <w:bookmarkEnd w:id="712"/>
      <w:bookmarkStart w:id="713" w:name="_Toc207504263"/>
      <w:bookmarkEnd w:id="713"/>
      <w:bookmarkStart w:id="714" w:name="_Toc207504248"/>
      <w:bookmarkEnd w:id="714"/>
      <w:bookmarkStart w:id="715" w:name="_Toc209426534"/>
      <w:bookmarkEnd w:id="715"/>
      <w:bookmarkStart w:id="716" w:name="_Toc209426523"/>
      <w:bookmarkEnd w:id="716"/>
      <w:bookmarkStart w:id="717" w:name="_Toc207503368"/>
      <w:bookmarkEnd w:id="717"/>
      <w:bookmarkStart w:id="718" w:name="_Toc209426651"/>
      <w:bookmarkEnd w:id="718"/>
      <w:bookmarkStart w:id="719" w:name="_Toc209426671"/>
      <w:bookmarkEnd w:id="719"/>
      <w:bookmarkStart w:id="720" w:name="_Toc209426606"/>
      <w:bookmarkEnd w:id="720"/>
      <w:bookmarkStart w:id="721" w:name="_Toc199726935"/>
      <w:bookmarkEnd w:id="721"/>
      <w:bookmarkStart w:id="722" w:name="_Toc209427424"/>
      <w:bookmarkEnd w:id="722"/>
      <w:bookmarkStart w:id="723" w:name="_Toc199726938"/>
      <w:bookmarkEnd w:id="723"/>
      <w:bookmarkStart w:id="724" w:name="_Toc199727306"/>
      <w:bookmarkEnd w:id="724"/>
      <w:bookmarkStart w:id="725" w:name="_Toc209427418"/>
      <w:bookmarkEnd w:id="725"/>
      <w:bookmarkStart w:id="726" w:name="_Toc209427430"/>
      <w:bookmarkEnd w:id="726"/>
      <w:bookmarkStart w:id="727" w:name="_Toc207503387"/>
      <w:bookmarkEnd w:id="727"/>
      <w:bookmarkStart w:id="728" w:name="_Toc207503512"/>
      <w:bookmarkEnd w:id="728"/>
      <w:bookmarkStart w:id="729" w:name="_Toc209426660"/>
      <w:bookmarkEnd w:id="729"/>
      <w:bookmarkStart w:id="730" w:name="_Toc207503348"/>
      <w:bookmarkEnd w:id="730"/>
      <w:bookmarkStart w:id="731" w:name="_Toc199727309"/>
      <w:bookmarkEnd w:id="731"/>
      <w:bookmarkStart w:id="732" w:name="_Toc209426710"/>
      <w:bookmarkEnd w:id="732"/>
      <w:bookmarkStart w:id="733" w:name="_Toc207503359"/>
      <w:bookmarkEnd w:id="733"/>
      <w:bookmarkStart w:id="734" w:name="_Toc209426531"/>
      <w:bookmarkEnd w:id="734"/>
      <w:bookmarkStart w:id="735" w:name="_Toc209426522"/>
      <w:bookmarkEnd w:id="735"/>
      <w:bookmarkStart w:id="736" w:name="_Toc207503358"/>
      <w:bookmarkEnd w:id="736"/>
      <w:bookmarkStart w:id="737" w:name="_Toc207503405"/>
      <w:bookmarkEnd w:id="737"/>
      <w:bookmarkStart w:id="738" w:name="_Toc209426521"/>
      <w:bookmarkEnd w:id="738"/>
      <w:bookmarkStart w:id="739" w:name="_Toc209426570"/>
      <w:bookmarkEnd w:id="739"/>
      <w:bookmarkStart w:id="740" w:name="_Toc209426525"/>
      <w:bookmarkEnd w:id="740"/>
      <w:bookmarkStart w:id="741" w:name="_Toc199727311"/>
      <w:bookmarkEnd w:id="741"/>
      <w:bookmarkStart w:id="742" w:name="_Toc209427400"/>
      <w:bookmarkEnd w:id="742"/>
      <w:bookmarkStart w:id="743" w:name="_Toc209426524"/>
      <w:bookmarkEnd w:id="743"/>
      <w:bookmarkStart w:id="744" w:name="_Toc209426533"/>
      <w:bookmarkEnd w:id="744"/>
      <w:bookmarkStart w:id="745" w:name="_Toc207503364"/>
      <w:bookmarkEnd w:id="745"/>
      <w:bookmarkStart w:id="746" w:name="_Toc209427426"/>
      <w:bookmarkEnd w:id="746"/>
      <w:bookmarkStart w:id="747" w:name="_Toc207503486"/>
      <w:bookmarkEnd w:id="747"/>
      <w:bookmarkStart w:id="748" w:name="_Toc209426686"/>
      <w:bookmarkEnd w:id="748"/>
      <w:bookmarkStart w:id="749" w:name="_Toc207503423"/>
      <w:bookmarkEnd w:id="749"/>
      <w:bookmarkStart w:id="750" w:name="_Toc207503441"/>
      <w:bookmarkEnd w:id="750"/>
      <w:bookmarkStart w:id="751" w:name="_Toc207504271"/>
      <w:bookmarkEnd w:id="751"/>
      <w:bookmarkStart w:id="752" w:name="_Toc209426539"/>
      <w:bookmarkEnd w:id="752"/>
      <w:bookmarkStart w:id="753" w:name="_Toc207503528"/>
      <w:bookmarkEnd w:id="753"/>
      <w:bookmarkStart w:id="754" w:name="_Toc209426528"/>
      <w:bookmarkEnd w:id="754"/>
      <w:bookmarkStart w:id="755" w:name="_Toc207503352"/>
      <w:bookmarkEnd w:id="755"/>
      <w:bookmarkStart w:id="756" w:name="_Toc207503450"/>
      <w:bookmarkEnd w:id="756"/>
      <w:bookmarkStart w:id="757" w:name="_Toc209426669"/>
      <w:bookmarkEnd w:id="757"/>
      <w:bookmarkStart w:id="758" w:name="_Toc209426718"/>
      <w:bookmarkEnd w:id="758"/>
      <w:bookmarkStart w:id="759" w:name="_Toc209426527"/>
      <w:bookmarkEnd w:id="759"/>
      <w:bookmarkStart w:id="760" w:name="_Toc207503361"/>
      <w:bookmarkEnd w:id="760"/>
      <w:bookmarkStart w:id="761" w:name="_Toc207503544"/>
      <w:bookmarkEnd w:id="761"/>
      <w:bookmarkStart w:id="762" w:name="_Toc207503360"/>
      <w:bookmarkEnd w:id="762"/>
      <w:bookmarkStart w:id="763" w:name="_Toc207503351"/>
      <w:bookmarkEnd w:id="763"/>
      <w:bookmarkStart w:id="764" w:name="_Toc209426597"/>
      <w:bookmarkEnd w:id="764"/>
      <w:bookmarkStart w:id="765" w:name="_Toc207503350"/>
      <w:bookmarkEnd w:id="765"/>
      <w:bookmarkStart w:id="766" w:name="_Toc199727312"/>
      <w:bookmarkEnd w:id="766"/>
      <w:bookmarkStart w:id="767" w:name="_Toc207503495"/>
      <w:bookmarkEnd w:id="767"/>
      <w:bookmarkStart w:id="768" w:name="_Toc447204513"/>
      <w:bookmarkStart w:id="769" w:name="_Toc452131582"/>
      <w:bookmarkStart w:id="770" w:name="_Toc447202464"/>
      <w:bookmarkStart w:id="771" w:name="_Toc27535"/>
      <w:bookmarkStart w:id="772" w:name="_Toc2868669"/>
      <w:r>
        <w:rPr>
          <w:rFonts w:cs="Times New Roman"/>
        </w:rPr>
        <w:t>室外基站建设方案</w:t>
      </w:r>
      <w:bookmarkEnd w:id="768"/>
      <w:bookmarkEnd w:id="769"/>
      <w:bookmarkEnd w:id="770"/>
      <w:bookmarkEnd w:id="771"/>
      <w:bookmarkEnd w:id="772"/>
      <w:bookmarkStart w:id="773" w:name="_Toc447202474"/>
      <w:bookmarkStart w:id="774" w:name="_Toc2868677"/>
      <w:bookmarkStart w:id="775" w:name="_Toc452131592"/>
      <w:bookmarkStart w:id="776" w:name="_Toc447204523"/>
    </w:p>
    <w:p>
      <w:pPr>
        <w:pStyle w:val="5"/>
        <w:rPr>
          <w:rFonts w:cs="Times New Roman"/>
        </w:rPr>
      </w:pPr>
      <w:bookmarkStart w:id="777" w:name="_Toc24738"/>
      <w:bookmarkStart w:id="778" w:name="_Toc2868671"/>
      <w:r>
        <w:rPr>
          <w:rFonts w:cs="Times New Roman"/>
        </w:rPr>
        <w:t>覆盖范围</w:t>
      </w:r>
      <w:bookmarkEnd w:id="777"/>
      <w:bookmarkEnd w:id="778"/>
    </w:p>
    <w:p>
      <w:pPr>
        <w:ind w:firstLine="480"/>
        <w:rPr>
          <w:rFonts w:cs="Times New Roman"/>
        </w:rPr>
      </w:pPr>
      <w:r>
        <w:rPr>
          <w:rFonts w:cs="Times New Roman"/>
        </w:rPr>
        <w:t>5G二期原则上东部地市主城区和一般城区实现连续覆盖、县市城区实现部分覆盖，中部地市主城区和一般城区连续覆盖，西部地市主城区连续覆盖；严格控制乡镇、农村区域开展建设。</w:t>
      </w:r>
    </w:p>
    <w:p>
      <w:pPr>
        <w:ind w:firstLine="480"/>
        <w:rPr>
          <w:rFonts w:cs="Times New Roman"/>
          <w:shd w:val="clear" w:color="auto" w:fill="FFFFFF"/>
        </w:rPr>
      </w:pPr>
      <w:r>
        <w:rPr>
          <w:rFonts w:cs="Times New Roman"/>
          <w:shd w:val="clear" w:color="auto" w:fill="FFFFFF"/>
        </w:rPr>
        <w:t>本工程拟覆盖范围是：</w:t>
      </w:r>
      <w:r>
        <w:rPr>
          <w:rFonts w:hint="eastAsia" w:cs="Times New Roman"/>
          <w:shd w:val="clear" w:color="auto" w:fill="FFFFFF"/>
        </w:rPr>
        <w:t>无锡市主城区及县城核心城区，</w:t>
      </w:r>
      <w:r>
        <w:rPr>
          <w:rFonts w:cs="Times New Roman"/>
          <w:shd w:val="clear" w:color="auto" w:fill="FFFFFF"/>
        </w:rPr>
        <w:t>覆盖区域如下图所示。其中蓝线所示区域为可研规划区域，红线所示区域为实际建设区域</w:t>
      </w:r>
      <w:r>
        <w:rPr>
          <w:rFonts w:hint="eastAsia" w:cs="Times New Roman"/>
          <w:shd w:val="clear" w:color="auto" w:fill="FFFFFF"/>
        </w:rPr>
        <w:t>，</w:t>
      </w:r>
      <w:r>
        <w:rPr>
          <w:rFonts w:cs="Times New Roman"/>
          <w:shd w:val="clear" w:color="auto" w:fill="FFFFFF"/>
        </w:rPr>
        <w:t>实际建设区域同可研规划区域不存在差异。</w:t>
      </w:r>
    </w:p>
    <w:p>
      <w:pPr>
        <w:ind w:firstLine="480"/>
        <w:rPr>
          <w:rFonts w:cs="Times New Roman"/>
          <w:shd w:val="clear" w:color="auto" w:fill="FFFFFF"/>
        </w:rPr>
      </w:pPr>
      <w:r>
        <w:drawing>
          <wp:inline distT="0" distB="0" distL="114300" distR="114300">
            <wp:extent cx="4625340" cy="4130040"/>
            <wp:effectExtent l="0" t="0" r="7620" b="0"/>
            <wp:docPr id="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1"/>
                    <pic:cNvPicPr>
                      <a:picLocks noChangeAspect="1"/>
                    </pic:cNvPicPr>
                  </pic:nvPicPr>
                  <pic:blipFill>
                    <a:blip r:embed="rId42"/>
                    <a:stretch>
                      <a:fillRect/>
                    </a:stretch>
                  </pic:blipFill>
                  <pic:spPr>
                    <a:xfrm>
                      <a:off x="0" y="0"/>
                      <a:ext cx="4625340" cy="4130040"/>
                    </a:xfrm>
                    <a:prstGeom prst="rect">
                      <a:avLst/>
                    </a:prstGeom>
                    <a:noFill/>
                    <a:ln>
                      <a:noFill/>
                    </a:ln>
                  </pic:spPr>
                </pic:pic>
              </a:graphicData>
            </a:graphic>
          </wp:inline>
        </w:drawing>
      </w:r>
    </w:p>
    <w:p>
      <w:pPr>
        <w:pStyle w:val="603"/>
        <w:rPr>
          <w:rFonts w:cs="Times New Roman"/>
        </w:rPr>
      </w:pPr>
      <w:r>
        <w:rPr>
          <w:rFonts w:cs="Times New Roman"/>
        </w:rPr>
        <w:t>图7.1</w:t>
      </w:r>
      <w:r>
        <w:rPr>
          <w:rFonts w:cs="Times New Roman"/>
        </w:rPr>
        <w:noBreakHyphen/>
      </w:r>
      <w:r>
        <w:rPr>
          <w:rFonts w:cs="Times New Roman"/>
        </w:rPr>
        <w:fldChar w:fldCharType="begin"/>
      </w:r>
      <w:r>
        <w:rPr>
          <w:rFonts w:cs="Times New Roman"/>
        </w:rPr>
        <w:instrText xml:space="preserve"> SEQ 图 \* ARABIC \s 2 </w:instrText>
      </w:r>
      <w:r>
        <w:rPr>
          <w:rFonts w:cs="Times New Roman"/>
        </w:rPr>
        <w:fldChar w:fldCharType="separate"/>
      </w:r>
      <w:r>
        <w:rPr>
          <w:rFonts w:cs="Times New Roman"/>
        </w:rPr>
        <w:t>1</w:t>
      </w:r>
      <w:r>
        <w:rPr>
          <w:rFonts w:cs="Times New Roman"/>
        </w:rPr>
        <w:fldChar w:fldCharType="end"/>
      </w:r>
      <w:r>
        <w:rPr>
          <w:rFonts w:cs="Times New Roman"/>
        </w:rPr>
        <w:t xml:space="preserve">  </w:t>
      </w:r>
      <w:r>
        <w:rPr>
          <w:rFonts w:hint="eastAsia" w:cs="Times New Roman"/>
          <w:color w:val="FF0000"/>
        </w:rPr>
        <w:t>无锡</w:t>
      </w:r>
      <w:r>
        <w:rPr>
          <w:rFonts w:cs="Times New Roman"/>
        </w:rPr>
        <w:t>市5G覆盖区域示意图</w:t>
      </w:r>
    </w:p>
    <w:p>
      <w:pPr>
        <w:pStyle w:val="597"/>
        <w:ind w:left="630" w:hanging="630"/>
      </w:pPr>
    </w:p>
    <w:p>
      <w:pPr>
        <w:ind w:firstLine="480"/>
        <w:rPr>
          <w:rFonts w:cs="Times New Roman"/>
          <w:shd w:val="clear" w:color="auto" w:fill="FFFFFF"/>
        </w:rPr>
      </w:pPr>
      <w:r>
        <w:rPr>
          <w:rFonts w:cs="Times New Roman"/>
          <w:shd w:val="clear" w:color="auto" w:fill="FFFFFF"/>
        </w:rPr>
        <w:t>各片覆盖区域基本信息如下：</w:t>
      </w:r>
    </w:p>
    <w:p>
      <w:pPr>
        <w:pStyle w:val="603"/>
        <w:rPr>
          <w:rFonts w:cs="Times New Roman"/>
          <w:color w:val="FF0000"/>
        </w:rPr>
      </w:pPr>
      <w:r>
        <w:rPr>
          <w:rFonts w:cs="Times New Roman"/>
          <w:color w:val="FF0000"/>
        </w:rPr>
        <w:t>表7.1</w:t>
      </w:r>
      <w:r>
        <w:rPr>
          <w:rFonts w:cs="Times New Roman"/>
          <w:color w:val="FF0000"/>
        </w:rPr>
        <w:noBreakHyphen/>
      </w:r>
      <w:r>
        <w:rPr>
          <w:rFonts w:cs="Times New Roman"/>
          <w:color w:val="FF0000"/>
        </w:rPr>
        <w:fldChar w:fldCharType="begin"/>
      </w:r>
      <w:r>
        <w:rPr>
          <w:rFonts w:cs="Times New Roman"/>
          <w:color w:val="FF0000"/>
        </w:rPr>
        <w:instrText xml:space="preserve"> SEQ 表 \* ARABIC \s 2 </w:instrText>
      </w:r>
      <w:r>
        <w:rPr>
          <w:rFonts w:cs="Times New Roman"/>
          <w:color w:val="FF0000"/>
        </w:rPr>
        <w:fldChar w:fldCharType="separate"/>
      </w:r>
      <w:r>
        <w:rPr>
          <w:rFonts w:cs="Times New Roman"/>
          <w:color w:val="FF0000"/>
        </w:rPr>
        <w:t>1</w:t>
      </w:r>
      <w:r>
        <w:rPr>
          <w:rFonts w:cs="Times New Roman"/>
          <w:color w:val="FF0000"/>
        </w:rPr>
        <w:fldChar w:fldCharType="end"/>
      </w:r>
      <w:r>
        <w:rPr>
          <w:rFonts w:cs="Times New Roman"/>
          <w:color w:val="FF0000"/>
        </w:rPr>
        <w:t xml:space="preserve">  </w:t>
      </w:r>
      <w:r>
        <w:rPr>
          <w:rFonts w:hint="eastAsia" w:cs="Times New Roman"/>
          <w:color w:val="FF0000"/>
        </w:rPr>
        <w:t>无锡</w:t>
      </w:r>
      <w:r>
        <w:rPr>
          <w:rFonts w:cs="Times New Roman"/>
          <w:color w:val="FF0000"/>
        </w:rPr>
        <w:t>市5G二期</w:t>
      </w:r>
      <w:r>
        <w:rPr>
          <w:rFonts w:hint="eastAsia" w:cs="Times New Roman"/>
          <w:color w:val="FF0000"/>
        </w:rPr>
        <w:t>一阶段主设备</w:t>
      </w:r>
      <w:r>
        <w:rPr>
          <w:rFonts w:cs="Times New Roman"/>
          <w:color w:val="FF0000"/>
        </w:rPr>
        <w:t>工程覆盖区域基本信息表</w:t>
      </w:r>
    </w:p>
    <w:tbl>
      <w:tblPr>
        <w:tblStyle w:val="63"/>
        <w:tblW w:w="8311" w:type="dxa"/>
        <w:jc w:val="center"/>
        <w:tblLayout w:type="fixed"/>
        <w:tblCellMar>
          <w:top w:w="0" w:type="dxa"/>
          <w:left w:w="108" w:type="dxa"/>
          <w:bottom w:w="0" w:type="dxa"/>
          <w:right w:w="108" w:type="dxa"/>
        </w:tblCellMar>
      </w:tblPr>
      <w:tblGrid>
        <w:gridCol w:w="915"/>
        <w:gridCol w:w="1144"/>
        <w:gridCol w:w="1019"/>
        <w:gridCol w:w="903"/>
        <w:gridCol w:w="1165"/>
        <w:gridCol w:w="1021"/>
        <w:gridCol w:w="1092"/>
        <w:gridCol w:w="1052"/>
      </w:tblGrid>
      <w:tr>
        <w:tblPrEx>
          <w:tblCellMar>
            <w:top w:w="0" w:type="dxa"/>
            <w:left w:w="108" w:type="dxa"/>
            <w:bottom w:w="0" w:type="dxa"/>
            <w:right w:w="108" w:type="dxa"/>
          </w:tblCellMar>
        </w:tblPrEx>
        <w:trPr>
          <w:trHeight w:val="720" w:hRule="atLeast"/>
          <w:tblHeader/>
          <w:jc w:val="center"/>
        </w:trPr>
        <w:tc>
          <w:tcPr>
            <w:tcW w:w="9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区域</w:t>
            </w:r>
          </w:p>
          <w:p>
            <w:pPr>
              <w:pStyle w:val="290"/>
              <w:rPr>
                <w:color w:val="FF0000"/>
              </w:rPr>
            </w:pPr>
            <w:r>
              <w:rPr>
                <w:color w:val="FF0000"/>
              </w:rPr>
              <w:t>名称</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区域</w:t>
            </w:r>
          </w:p>
          <w:p>
            <w:pPr>
              <w:pStyle w:val="290"/>
              <w:rPr>
                <w:color w:val="FF0000"/>
              </w:rPr>
            </w:pPr>
            <w:r>
              <w:rPr>
                <w:color w:val="FF0000"/>
              </w:rPr>
              <w:t>描述</w:t>
            </w:r>
          </w:p>
        </w:tc>
        <w:tc>
          <w:tcPr>
            <w:tcW w:w="1019"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区域</w:t>
            </w:r>
          </w:p>
          <w:p>
            <w:pPr>
              <w:pStyle w:val="290"/>
              <w:rPr>
                <w:color w:val="FF0000"/>
              </w:rPr>
            </w:pPr>
            <w:r>
              <w:rPr>
                <w:color w:val="FF0000"/>
              </w:rPr>
              <w:t>类型</w:t>
            </w:r>
          </w:p>
        </w:tc>
        <w:tc>
          <w:tcPr>
            <w:tcW w:w="90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面积</w:t>
            </w:r>
          </w:p>
          <w:p>
            <w:pPr>
              <w:pStyle w:val="290"/>
              <w:rPr>
                <w:color w:val="FF0000"/>
              </w:rPr>
            </w:pPr>
            <w:r>
              <w:rPr>
                <w:color w:val="FF0000"/>
              </w:rPr>
              <w:t>（km2）</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内有现网</w:t>
            </w:r>
          </w:p>
          <w:p>
            <w:pPr>
              <w:pStyle w:val="290"/>
              <w:rPr>
                <w:color w:val="FF0000"/>
              </w:rPr>
            </w:pPr>
            <w:r>
              <w:rPr>
                <w:color w:val="FF0000"/>
              </w:rPr>
              <w:t>室外站址数（个）</w:t>
            </w:r>
          </w:p>
        </w:tc>
        <w:tc>
          <w:tcPr>
            <w:tcW w:w="1021"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内有现网室分站数（个）</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室外站址</w:t>
            </w:r>
          </w:p>
          <w:p>
            <w:pPr>
              <w:pStyle w:val="290"/>
              <w:rPr>
                <w:color w:val="FF0000"/>
              </w:rPr>
            </w:pPr>
            <w:r>
              <w:rPr>
                <w:color w:val="FF0000"/>
              </w:rPr>
              <w:t>平均站距（m）</w:t>
            </w:r>
          </w:p>
        </w:tc>
        <w:tc>
          <w:tcPr>
            <w:tcW w:w="105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建筑类型</w:t>
            </w:r>
          </w:p>
        </w:tc>
      </w:tr>
      <w:tr>
        <w:tblPrEx>
          <w:tblCellMar>
            <w:top w:w="0" w:type="dxa"/>
            <w:left w:w="108" w:type="dxa"/>
            <w:bottom w:w="0" w:type="dxa"/>
            <w:right w:w="108" w:type="dxa"/>
          </w:tblCellMar>
        </w:tblPrEx>
        <w:trPr>
          <w:trHeight w:val="615" w:hRule="atLeast"/>
          <w:jc w:val="center"/>
        </w:trPr>
        <w:tc>
          <w:tcPr>
            <w:tcW w:w="91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市区</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商业商务区、机场</w:t>
            </w:r>
            <w:r>
              <w:rPr>
                <w:rFonts w:hint="eastAsia"/>
                <w:color w:val="FF0000"/>
              </w:rPr>
              <w:t>、高校风景区</w:t>
            </w:r>
            <w:r>
              <w:rPr>
                <w:color w:val="FF0000"/>
              </w:rPr>
              <w:t>等</w:t>
            </w:r>
          </w:p>
        </w:tc>
        <w:tc>
          <w:tcPr>
            <w:tcW w:w="1019" w:type="dxa"/>
            <w:tcBorders>
              <w:top w:val="nil"/>
              <w:left w:val="single" w:color="auto" w:sz="4" w:space="0"/>
              <w:bottom w:val="single" w:color="auto" w:sz="4" w:space="0"/>
              <w:right w:val="single" w:color="auto" w:sz="4" w:space="0"/>
            </w:tcBorders>
            <w:vAlign w:val="center"/>
          </w:tcPr>
          <w:p>
            <w:pPr>
              <w:pStyle w:val="290"/>
              <w:rPr>
                <w:color w:val="FF0000"/>
              </w:rPr>
            </w:pPr>
            <w:r>
              <w:rPr>
                <w:color w:val="FF0000"/>
              </w:rPr>
              <w:t>主</w:t>
            </w:r>
          </w:p>
          <w:p>
            <w:pPr>
              <w:pStyle w:val="290"/>
              <w:rPr>
                <w:color w:val="FF0000"/>
              </w:rPr>
            </w:pPr>
            <w:r>
              <w:rPr>
                <w:color w:val="FF0000"/>
              </w:rPr>
              <w:t>城区（高穿损）</w:t>
            </w:r>
          </w:p>
        </w:tc>
        <w:tc>
          <w:tcPr>
            <w:tcW w:w="903"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624.7</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4054</w:t>
            </w:r>
          </w:p>
        </w:tc>
        <w:tc>
          <w:tcPr>
            <w:tcW w:w="1021" w:type="dxa"/>
            <w:tcBorders>
              <w:top w:val="nil"/>
              <w:left w:val="single" w:color="auto" w:sz="4" w:space="0"/>
              <w:bottom w:val="single" w:color="auto" w:sz="4" w:space="0"/>
              <w:right w:val="single" w:color="auto" w:sz="4" w:space="0"/>
            </w:tcBorders>
            <w:vAlign w:val="center"/>
          </w:tcPr>
          <w:p>
            <w:pPr>
              <w:pStyle w:val="290"/>
              <w:rPr>
                <w:color w:val="FF0000"/>
              </w:rPr>
            </w:pPr>
            <w:r>
              <w:rPr>
                <w:rFonts w:hint="eastAsia"/>
                <w:color w:val="FF0000"/>
              </w:rPr>
              <w:t>2316</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375</w:t>
            </w:r>
          </w:p>
        </w:tc>
        <w:tc>
          <w:tcPr>
            <w:tcW w:w="1052"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包含高楼</w:t>
            </w:r>
            <w:r>
              <w:rPr>
                <w:rFonts w:hint="eastAsia"/>
                <w:color w:val="FF0000"/>
              </w:rPr>
              <w:t>、居民区，风景区</w:t>
            </w:r>
            <w:r>
              <w:rPr>
                <w:color w:val="FF0000"/>
              </w:rPr>
              <w:t>等</w:t>
            </w:r>
          </w:p>
        </w:tc>
      </w:tr>
      <w:tr>
        <w:tblPrEx>
          <w:tblCellMar>
            <w:top w:w="0" w:type="dxa"/>
            <w:left w:w="108" w:type="dxa"/>
            <w:bottom w:w="0" w:type="dxa"/>
            <w:right w:w="108" w:type="dxa"/>
          </w:tblCellMar>
        </w:tblPrEx>
        <w:trPr>
          <w:trHeight w:val="675" w:hRule="atLeast"/>
          <w:jc w:val="center"/>
        </w:trPr>
        <w:tc>
          <w:tcPr>
            <w:tcW w:w="91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江阴</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包含政务区、商业商务区等</w:t>
            </w:r>
          </w:p>
        </w:tc>
        <w:tc>
          <w:tcPr>
            <w:tcW w:w="1019" w:type="dxa"/>
            <w:tcBorders>
              <w:top w:val="nil"/>
              <w:left w:val="single" w:color="auto" w:sz="4" w:space="0"/>
              <w:bottom w:val="single" w:color="auto" w:sz="4" w:space="0"/>
              <w:right w:val="single" w:color="auto" w:sz="4" w:space="0"/>
            </w:tcBorders>
            <w:vAlign w:val="center"/>
          </w:tcPr>
          <w:p>
            <w:pPr>
              <w:pStyle w:val="290"/>
              <w:rPr>
                <w:color w:val="FF0000"/>
              </w:rPr>
            </w:pPr>
            <w:r>
              <w:rPr>
                <w:color w:val="FF0000"/>
              </w:rPr>
              <w:t>主</w:t>
            </w:r>
          </w:p>
          <w:p>
            <w:pPr>
              <w:pStyle w:val="290"/>
              <w:rPr>
                <w:color w:val="FF0000"/>
              </w:rPr>
            </w:pPr>
            <w:r>
              <w:rPr>
                <w:color w:val="FF0000"/>
              </w:rPr>
              <w:t>城区（高穿损）</w:t>
            </w:r>
          </w:p>
        </w:tc>
        <w:tc>
          <w:tcPr>
            <w:tcW w:w="903"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124</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1138</w:t>
            </w:r>
          </w:p>
        </w:tc>
        <w:tc>
          <w:tcPr>
            <w:tcW w:w="1021" w:type="dxa"/>
            <w:tcBorders>
              <w:top w:val="nil"/>
              <w:left w:val="single" w:color="auto" w:sz="4" w:space="0"/>
              <w:bottom w:val="single" w:color="auto" w:sz="4" w:space="0"/>
              <w:right w:val="single" w:color="auto" w:sz="4" w:space="0"/>
            </w:tcBorders>
            <w:vAlign w:val="center"/>
          </w:tcPr>
          <w:p>
            <w:pPr>
              <w:pStyle w:val="290"/>
              <w:rPr>
                <w:color w:val="FF0000"/>
              </w:rPr>
            </w:pPr>
            <w:r>
              <w:rPr>
                <w:rFonts w:hint="eastAsia"/>
                <w:color w:val="FF0000"/>
              </w:rPr>
              <w:t>736</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370</w:t>
            </w:r>
          </w:p>
        </w:tc>
        <w:tc>
          <w:tcPr>
            <w:tcW w:w="1052"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包含居民区、商业区</w:t>
            </w:r>
            <w:r>
              <w:rPr>
                <w:rFonts w:hint="eastAsia"/>
                <w:color w:val="FF0000"/>
              </w:rPr>
              <w:t>等</w:t>
            </w:r>
          </w:p>
        </w:tc>
      </w:tr>
      <w:tr>
        <w:tblPrEx>
          <w:tblCellMar>
            <w:top w:w="0" w:type="dxa"/>
            <w:left w:w="108" w:type="dxa"/>
            <w:bottom w:w="0" w:type="dxa"/>
            <w:right w:w="108" w:type="dxa"/>
          </w:tblCellMar>
        </w:tblPrEx>
        <w:trPr>
          <w:trHeight w:val="480" w:hRule="atLeast"/>
          <w:jc w:val="center"/>
        </w:trPr>
        <w:tc>
          <w:tcPr>
            <w:tcW w:w="91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宜兴</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包含政务区、商业商务区等</w:t>
            </w:r>
          </w:p>
        </w:tc>
        <w:tc>
          <w:tcPr>
            <w:tcW w:w="1019" w:type="dxa"/>
            <w:tcBorders>
              <w:top w:val="nil"/>
              <w:left w:val="single" w:color="auto" w:sz="4" w:space="0"/>
              <w:bottom w:val="single" w:color="auto" w:sz="4" w:space="0"/>
              <w:right w:val="single" w:color="auto" w:sz="4" w:space="0"/>
            </w:tcBorders>
            <w:vAlign w:val="center"/>
          </w:tcPr>
          <w:p>
            <w:pPr>
              <w:pStyle w:val="290"/>
              <w:rPr>
                <w:color w:val="FF0000"/>
              </w:rPr>
            </w:pPr>
            <w:r>
              <w:rPr>
                <w:color w:val="FF0000"/>
              </w:rPr>
              <w:t>主</w:t>
            </w:r>
          </w:p>
          <w:p>
            <w:pPr>
              <w:pStyle w:val="290"/>
              <w:rPr>
                <w:color w:val="FF0000"/>
              </w:rPr>
            </w:pPr>
            <w:r>
              <w:rPr>
                <w:color w:val="FF0000"/>
              </w:rPr>
              <w:t>城区（高穿损）</w:t>
            </w:r>
          </w:p>
        </w:tc>
        <w:tc>
          <w:tcPr>
            <w:tcW w:w="903"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52</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541</w:t>
            </w:r>
          </w:p>
        </w:tc>
        <w:tc>
          <w:tcPr>
            <w:tcW w:w="1021" w:type="dxa"/>
            <w:tcBorders>
              <w:top w:val="nil"/>
              <w:left w:val="single" w:color="auto" w:sz="4" w:space="0"/>
              <w:bottom w:val="single" w:color="auto" w:sz="4" w:space="0"/>
              <w:right w:val="single" w:color="auto" w:sz="4" w:space="0"/>
            </w:tcBorders>
            <w:vAlign w:val="center"/>
          </w:tcPr>
          <w:p>
            <w:pPr>
              <w:pStyle w:val="290"/>
              <w:rPr>
                <w:color w:val="FF0000"/>
              </w:rPr>
            </w:pPr>
            <w:r>
              <w:rPr>
                <w:rFonts w:hint="eastAsia"/>
                <w:color w:val="FF0000"/>
              </w:rPr>
              <w:t>412</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350</w:t>
            </w:r>
          </w:p>
        </w:tc>
        <w:tc>
          <w:tcPr>
            <w:tcW w:w="1052"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包含居民区、商业区</w:t>
            </w:r>
            <w:r>
              <w:rPr>
                <w:rFonts w:hint="eastAsia"/>
                <w:color w:val="FF0000"/>
              </w:rPr>
              <w:t>等</w:t>
            </w:r>
          </w:p>
        </w:tc>
      </w:tr>
      <w:tr>
        <w:tblPrEx>
          <w:tblCellMar>
            <w:top w:w="0" w:type="dxa"/>
            <w:left w:w="108" w:type="dxa"/>
            <w:bottom w:w="0" w:type="dxa"/>
            <w:right w:w="108" w:type="dxa"/>
          </w:tblCellMar>
        </w:tblPrEx>
        <w:trPr>
          <w:trHeight w:val="480" w:hRule="atLeast"/>
          <w:jc w:val="center"/>
        </w:trPr>
        <w:tc>
          <w:tcPr>
            <w:tcW w:w="9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合计</w:t>
            </w:r>
          </w:p>
        </w:tc>
        <w:tc>
          <w:tcPr>
            <w:tcW w:w="1144"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　</w:t>
            </w:r>
          </w:p>
        </w:tc>
        <w:tc>
          <w:tcPr>
            <w:tcW w:w="1019"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90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rFonts w:hint="eastAsia"/>
                <w:color w:val="FF0000"/>
              </w:rPr>
              <w:t>800.7</w:t>
            </w:r>
          </w:p>
        </w:tc>
        <w:tc>
          <w:tcPr>
            <w:tcW w:w="116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5733</w:t>
            </w:r>
          </w:p>
        </w:tc>
        <w:tc>
          <w:tcPr>
            <w:tcW w:w="1021"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3464</w:t>
            </w:r>
          </w:p>
        </w:tc>
        <w:tc>
          <w:tcPr>
            <w:tcW w:w="1092" w:type="dxa"/>
            <w:tcBorders>
              <w:top w:val="single" w:color="auto" w:sz="4" w:space="0"/>
              <w:left w:val="nil"/>
              <w:bottom w:val="single" w:color="auto" w:sz="4" w:space="0"/>
              <w:right w:val="single" w:color="auto" w:sz="4" w:space="0"/>
            </w:tcBorders>
            <w:vAlign w:val="center"/>
          </w:tcPr>
          <w:p>
            <w:pPr>
              <w:pStyle w:val="290"/>
              <w:rPr>
                <w:color w:val="FF0000"/>
              </w:rPr>
            </w:pPr>
          </w:p>
        </w:tc>
        <w:tc>
          <w:tcPr>
            <w:tcW w:w="105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　</w:t>
            </w:r>
          </w:p>
        </w:tc>
      </w:tr>
    </w:tbl>
    <w:p>
      <w:pPr>
        <w:pStyle w:val="5"/>
        <w:rPr>
          <w:rFonts w:cs="Times New Roman"/>
        </w:rPr>
      </w:pPr>
      <w:bookmarkStart w:id="779" w:name="_Toc2868673"/>
      <w:bookmarkStart w:id="780" w:name="_Toc32534"/>
      <w:bookmarkStart w:id="781" w:name="_Toc2868672"/>
      <w:r>
        <w:rPr>
          <w:rFonts w:cs="Times New Roman"/>
        </w:rPr>
        <w:t>基站配置</w:t>
      </w:r>
      <w:bookmarkEnd w:id="779"/>
      <w:bookmarkEnd w:id="780"/>
    </w:p>
    <w:p>
      <w:pPr>
        <w:pStyle w:val="77"/>
        <w:spacing w:line="360" w:lineRule="auto"/>
        <w:ind w:firstLine="480" w:firstLineChars="200"/>
        <w:rPr>
          <w:rFonts w:ascii="Times New Roman"/>
          <w:kern w:val="2"/>
          <w:sz w:val="24"/>
          <w:szCs w:val="24"/>
        </w:rPr>
      </w:pPr>
      <w:bookmarkStart w:id="782" w:name="_Toc2868674"/>
      <w:r>
        <w:rPr>
          <w:rFonts w:ascii="Times New Roman"/>
          <w:kern w:val="2"/>
          <w:sz w:val="24"/>
          <w:szCs w:val="24"/>
        </w:rPr>
        <w:t>本期工程以覆盖为主，宏基站配置以S111为主，单载波带宽100MHz。</w:t>
      </w:r>
    </w:p>
    <w:p>
      <w:pPr>
        <w:ind w:firstLine="480"/>
        <w:rPr>
          <w:rFonts w:cs="Times New Roman"/>
          <w:snapToGrid w:val="0"/>
          <w:color w:val="000000"/>
          <w:szCs w:val="24"/>
        </w:rPr>
      </w:pPr>
      <w:r>
        <w:rPr>
          <w:rFonts w:cs="Times New Roman"/>
          <w:snapToGrid w:val="0"/>
          <w:color w:val="000000"/>
          <w:szCs w:val="24"/>
        </w:rPr>
        <w:t>宏基站分为2.6GHz宏基站和4.9GHz宏基站两大类，2020年5G无线网建设应以2.6GHz宏基站为主，4.9GHz宏基站仅进行少量示范性建设。考虑到2.6GHz 64通道产品设备成本、功耗较高，同步引入32通道、8通道宏基站产品，具体应用场景如下：</w:t>
      </w:r>
    </w:p>
    <w:p>
      <w:pPr>
        <w:ind w:firstLine="240" w:firstLineChars="100"/>
        <w:rPr>
          <w:rFonts w:cs="Times New Roman"/>
          <w:snapToGrid w:val="0"/>
          <w:szCs w:val="24"/>
        </w:rPr>
      </w:pPr>
      <w:r>
        <w:rPr>
          <w:rFonts w:cs="Times New Roman"/>
          <w:snapToGrid w:val="0"/>
          <w:szCs w:val="24"/>
        </w:rPr>
        <w:t>（1）2.6GHz 64通道：用于楼高超过30米，或CBD、高校等高容量需求区域。</w:t>
      </w:r>
    </w:p>
    <w:p>
      <w:pPr>
        <w:ind w:firstLine="240" w:firstLineChars="100"/>
        <w:rPr>
          <w:rFonts w:cs="Times New Roman"/>
          <w:snapToGrid w:val="0"/>
          <w:szCs w:val="24"/>
        </w:rPr>
      </w:pPr>
      <w:r>
        <w:rPr>
          <w:rFonts w:cs="Times New Roman"/>
          <w:snapToGrid w:val="0"/>
          <w:szCs w:val="24"/>
        </w:rPr>
        <w:t>（2）2.6GHz 32通道：用于楼高低于30米，或容量需求不高的市县城区。</w:t>
      </w:r>
    </w:p>
    <w:p>
      <w:pPr>
        <w:ind w:firstLine="240" w:firstLineChars="100"/>
        <w:rPr>
          <w:rFonts w:cs="Times New Roman"/>
          <w:snapToGrid w:val="0"/>
          <w:szCs w:val="24"/>
        </w:rPr>
      </w:pPr>
      <w:r>
        <w:rPr>
          <w:rFonts w:cs="Times New Roman"/>
          <w:snapToGrid w:val="0"/>
          <w:szCs w:val="24"/>
        </w:rPr>
        <w:t>（3）2.6GHz 8通道：用于64、32通道产品工程实施确有困难的站址。</w:t>
      </w:r>
    </w:p>
    <w:p>
      <w:pPr>
        <w:pStyle w:val="77"/>
        <w:spacing w:line="360" w:lineRule="auto"/>
        <w:ind w:firstLine="480" w:firstLineChars="200"/>
        <w:rPr>
          <w:rFonts w:ascii="Times New Roman"/>
          <w:snapToGrid w:val="0"/>
          <w:sz w:val="24"/>
          <w:szCs w:val="24"/>
        </w:rPr>
      </w:pPr>
      <w:r>
        <w:rPr>
          <w:rFonts w:ascii="Times New Roman"/>
          <w:kern w:val="2"/>
          <w:sz w:val="24"/>
          <w:szCs w:val="24"/>
        </w:rPr>
        <w:t>对于宏基站难以覆盖的道路、商业区等少数特殊场景部署微基站。微基站以2.6GHz 4通道分布式微基站设备为主，根据覆盖需求场景配置S1、S11、S111等站型。</w:t>
      </w:r>
    </w:p>
    <w:bookmarkEnd w:id="781"/>
    <w:bookmarkEnd w:id="782"/>
    <w:p>
      <w:pPr>
        <w:pStyle w:val="5"/>
        <w:rPr>
          <w:rFonts w:cs="Times New Roman"/>
        </w:rPr>
      </w:pPr>
      <w:bookmarkStart w:id="783" w:name="_Toc25951"/>
      <w:r>
        <w:rPr>
          <w:rFonts w:cs="Times New Roman"/>
        </w:rPr>
        <w:t>站址设置原则</w:t>
      </w:r>
      <w:bookmarkEnd w:id="783"/>
    </w:p>
    <w:p>
      <w:pPr>
        <w:pStyle w:val="77"/>
        <w:spacing w:line="360" w:lineRule="auto"/>
        <w:ind w:firstLine="480" w:firstLineChars="200"/>
        <w:jc w:val="both"/>
        <w:rPr>
          <w:rFonts w:ascii="Times New Roman"/>
          <w:kern w:val="2"/>
          <w:sz w:val="24"/>
          <w:szCs w:val="24"/>
        </w:rPr>
      </w:pPr>
      <w:r>
        <w:rPr>
          <w:rFonts w:ascii="Times New Roman"/>
          <w:kern w:val="2"/>
          <w:sz w:val="24"/>
          <w:szCs w:val="24"/>
        </w:rPr>
        <w:t>对于传统非拉远方式基站，设备机房与射频部分距离较近，基站站址设置原则同时适用于设备机房与射频部分安装位置的选择；对于拉远方式或基带集中方式建站（C-RAN），以下站址设置原则仅适用于基站射频部分安装位置的选择，集中机房设置原则详见“C-RAN设置”章节。基站站址选择应满足以下要求：</w:t>
      </w:r>
    </w:p>
    <w:p>
      <w:pPr>
        <w:pStyle w:val="77"/>
        <w:spacing w:line="360" w:lineRule="auto"/>
        <w:ind w:firstLine="240" w:firstLineChars="100"/>
        <w:jc w:val="both"/>
        <w:rPr>
          <w:rFonts w:ascii="Times New Roman"/>
          <w:kern w:val="2"/>
          <w:sz w:val="24"/>
          <w:szCs w:val="24"/>
        </w:rPr>
      </w:pPr>
      <w:r>
        <w:rPr>
          <w:rFonts w:ascii="Times New Roman"/>
          <w:kern w:val="2"/>
          <w:sz w:val="24"/>
          <w:szCs w:val="24"/>
        </w:rPr>
        <w:t>（1）满足覆盖和容量要求：</w:t>
      </w:r>
    </w:p>
    <w:p>
      <w:pPr>
        <w:pStyle w:val="77"/>
        <w:spacing w:line="360" w:lineRule="auto"/>
        <w:ind w:firstLine="480" w:firstLineChars="200"/>
        <w:jc w:val="both"/>
        <w:rPr>
          <w:rFonts w:ascii="Times New Roman"/>
          <w:kern w:val="2"/>
          <w:sz w:val="24"/>
          <w:szCs w:val="24"/>
        </w:rPr>
      </w:pPr>
      <w:r>
        <w:rPr>
          <w:rFonts w:ascii="Times New Roman"/>
          <w:kern w:val="2"/>
          <w:sz w:val="24"/>
          <w:szCs w:val="24"/>
        </w:rPr>
        <w:t>参考链路预算的计算值，充分考虑基站的有效覆盖范围，使系统满足规划指标目标的要求，充分保证无线覆盖区域内重要区域和用户密集区的覆盖。</w:t>
      </w:r>
    </w:p>
    <w:p>
      <w:pPr>
        <w:pStyle w:val="77"/>
        <w:spacing w:line="360" w:lineRule="auto"/>
        <w:ind w:firstLine="240" w:firstLineChars="100"/>
        <w:jc w:val="both"/>
        <w:rPr>
          <w:rFonts w:ascii="Times New Roman"/>
          <w:kern w:val="2"/>
          <w:sz w:val="24"/>
          <w:szCs w:val="24"/>
        </w:rPr>
      </w:pPr>
      <w:r>
        <w:rPr>
          <w:rFonts w:ascii="Times New Roman"/>
          <w:kern w:val="2"/>
          <w:sz w:val="24"/>
          <w:szCs w:val="24"/>
        </w:rPr>
        <w:t>（2）满足网络结构要求：</w:t>
      </w:r>
    </w:p>
    <w:p>
      <w:pPr>
        <w:ind w:firstLine="480"/>
        <w:rPr>
          <w:rFonts w:cs="Times New Roman"/>
          <w:szCs w:val="24"/>
        </w:rPr>
      </w:pPr>
      <w:r>
        <w:rPr>
          <w:rFonts w:cs="Times New Roman"/>
          <w:szCs w:val="24"/>
        </w:rPr>
        <w:t>宏基站站址在目标覆盖区内尽可能平均分布，尽量符合蜂窝网络结构的要求，一般要求基站站址分布与标准蜂窝结构的偏差应小于站间距的1/4；避免出现超近站和超远站。微基站当前主要解决局部区域内无覆盖或弱覆盖问题，微基站应设置在宏基站信号覆盖不足的局部范围内。在具体落实时注意以下方面：</w:t>
      </w:r>
    </w:p>
    <w:p>
      <w:pPr>
        <w:numPr>
          <w:ilvl w:val="0"/>
          <w:numId w:val="51"/>
        </w:numPr>
        <w:tabs>
          <w:tab w:val="left" w:pos="0"/>
          <w:tab w:val="clear" w:pos="420"/>
        </w:tabs>
        <w:ind w:left="0" w:firstLine="480" w:firstLineChars="0"/>
        <w:rPr>
          <w:rFonts w:cs="Times New Roman"/>
          <w:szCs w:val="24"/>
        </w:rPr>
      </w:pPr>
      <w:r>
        <w:rPr>
          <w:rFonts w:cs="Times New Roman"/>
          <w:szCs w:val="24"/>
        </w:rPr>
        <w:t>在不影响基站布局的情况下，视具体情况尽量选择现有设施，以减少建设成本和周期；</w:t>
      </w:r>
    </w:p>
    <w:p>
      <w:pPr>
        <w:numPr>
          <w:ilvl w:val="0"/>
          <w:numId w:val="51"/>
        </w:numPr>
        <w:tabs>
          <w:tab w:val="left" w:pos="0"/>
          <w:tab w:val="clear" w:pos="420"/>
        </w:tabs>
        <w:ind w:left="0" w:firstLine="480" w:firstLineChars="0"/>
        <w:rPr>
          <w:rFonts w:cs="Times New Roman"/>
          <w:szCs w:val="24"/>
        </w:rPr>
      </w:pPr>
      <w:r>
        <w:rPr>
          <w:rFonts w:cs="Times New Roman"/>
          <w:szCs w:val="24"/>
        </w:rPr>
        <w:t>连续覆盖区域内原则上应避免选取对网络性能影响较大的已有高站（站高大于50米或站高高于周边建筑物15米）；</w:t>
      </w:r>
    </w:p>
    <w:p>
      <w:pPr>
        <w:numPr>
          <w:ilvl w:val="0"/>
          <w:numId w:val="51"/>
        </w:numPr>
        <w:tabs>
          <w:tab w:val="left" w:pos="0"/>
          <w:tab w:val="clear" w:pos="420"/>
        </w:tabs>
        <w:ind w:left="0" w:firstLine="480" w:firstLineChars="0"/>
        <w:rPr>
          <w:rFonts w:cs="Times New Roman"/>
          <w:szCs w:val="24"/>
        </w:rPr>
      </w:pPr>
      <w:r>
        <w:rPr>
          <w:rFonts w:cs="Times New Roman"/>
          <w:szCs w:val="24"/>
        </w:rPr>
        <w:t>在市区楼群中选址时，可利用建筑物的高度，实现网络层次结构的划分；</w:t>
      </w:r>
    </w:p>
    <w:p>
      <w:pPr>
        <w:numPr>
          <w:ilvl w:val="0"/>
          <w:numId w:val="51"/>
        </w:numPr>
        <w:tabs>
          <w:tab w:val="left" w:pos="0"/>
          <w:tab w:val="clear" w:pos="420"/>
        </w:tabs>
        <w:ind w:left="0" w:firstLine="480" w:firstLineChars="0"/>
        <w:rPr>
          <w:rFonts w:cs="Times New Roman"/>
          <w:szCs w:val="24"/>
        </w:rPr>
      </w:pPr>
      <w:r>
        <w:rPr>
          <w:rFonts w:cs="Times New Roman"/>
          <w:szCs w:val="24"/>
        </w:rPr>
        <w:t>市区边缘或郊区的海拔很高的山峰（与市区海拔高度相差 100 米以上），一般不考虑作为站址，一是为便于控制覆盖范围和干扰，二也是为了减少工程建设和后期维护的难度；</w:t>
      </w:r>
    </w:p>
    <w:p>
      <w:pPr>
        <w:numPr>
          <w:ilvl w:val="0"/>
          <w:numId w:val="51"/>
        </w:numPr>
        <w:tabs>
          <w:tab w:val="left" w:pos="0"/>
          <w:tab w:val="clear" w:pos="420"/>
        </w:tabs>
        <w:ind w:left="0" w:firstLine="480" w:firstLineChars="0"/>
        <w:rPr>
          <w:rFonts w:cs="Times New Roman"/>
          <w:szCs w:val="24"/>
        </w:rPr>
      </w:pPr>
      <w:r>
        <w:rPr>
          <w:rFonts w:cs="Times New Roman"/>
          <w:szCs w:val="24"/>
        </w:rPr>
        <w:t>避免将小区边缘设置在用户密集区，良好的覆盖是有且仅有一个主力覆盖小区。</w:t>
      </w:r>
    </w:p>
    <w:p>
      <w:pPr>
        <w:pStyle w:val="77"/>
        <w:spacing w:line="360" w:lineRule="auto"/>
        <w:ind w:firstLine="240" w:firstLineChars="100"/>
        <w:jc w:val="both"/>
        <w:rPr>
          <w:rFonts w:ascii="Times New Roman"/>
          <w:kern w:val="2"/>
          <w:sz w:val="24"/>
          <w:szCs w:val="24"/>
        </w:rPr>
      </w:pPr>
      <w:r>
        <w:rPr>
          <w:rFonts w:ascii="Times New Roman"/>
          <w:kern w:val="2"/>
          <w:sz w:val="24"/>
          <w:szCs w:val="24"/>
        </w:rPr>
        <w:t>（3）避免周围环境对网络质量产生影响：</w:t>
      </w:r>
    </w:p>
    <w:p>
      <w:pPr>
        <w:pStyle w:val="77"/>
        <w:spacing w:line="360" w:lineRule="auto"/>
        <w:ind w:firstLine="480" w:firstLineChars="200"/>
        <w:jc w:val="both"/>
        <w:rPr>
          <w:rFonts w:ascii="Times New Roman"/>
          <w:kern w:val="2"/>
          <w:sz w:val="24"/>
          <w:szCs w:val="24"/>
        </w:rPr>
      </w:pPr>
      <w:r>
        <w:rPr>
          <w:rFonts w:ascii="Times New Roman"/>
          <w:kern w:val="2"/>
          <w:sz w:val="24"/>
          <w:szCs w:val="24"/>
        </w:rPr>
        <w:t>宏基站天线高度在覆盖范围内基本保持一致、不宜过高，且要求天线主瓣方向无明显阻挡；微基站天线高度一般控制在6米~15米之间，并应合理利用周围地形、建筑物的阻挡，避免与宏基站同覆盖，信号相互干扰。在选择站址时还应注意以下几个方面：</w:t>
      </w:r>
    </w:p>
    <w:p>
      <w:pPr>
        <w:pStyle w:val="287"/>
        <w:widowControl/>
        <w:numPr>
          <w:ilvl w:val="0"/>
          <w:numId w:val="52"/>
        </w:numPr>
        <w:ind w:left="0" w:firstLine="480" w:firstLineChars="0"/>
        <w:jc w:val="left"/>
        <w:rPr>
          <w:rFonts w:cs="Times New Roman"/>
          <w:szCs w:val="24"/>
        </w:rPr>
      </w:pPr>
      <w:r>
        <w:rPr>
          <w:rFonts w:cs="Times New Roman"/>
          <w:szCs w:val="24"/>
        </w:rPr>
        <w:t>站址选择应在交通方便，市电可用、环境安全的地方；避免大功率无线电发射台、雷达站或其他干扰源附近。</w:t>
      </w:r>
    </w:p>
    <w:p>
      <w:pPr>
        <w:pStyle w:val="287"/>
        <w:widowControl/>
        <w:numPr>
          <w:ilvl w:val="0"/>
          <w:numId w:val="52"/>
        </w:numPr>
        <w:ind w:left="0" w:firstLine="480"/>
        <w:jc w:val="left"/>
        <w:rPr>
          <w:rFonts w:cs="Times New Roman"/>
          <w:szCs w:val="24"/>
        </w:rPr>
      </w:pPr>
      <w:r>
        <w:rPr>
          <w:rFonts w:cs="Times New Roman"/>
          <w:szCs w:val="24"/>
        </w:rPr>
        <w:t>站址选择应优先远离树林处，以避免信号的快速衰落。</w:t>
      </w:r>
    </w:p>
    <w:p>
      <w:pPr>
        <w:pStyle w:val="287"/>
        <w:widowControl/>
        <w:numPr>
          <w:ilvl w:val="0"/>
          <w:numId w:val="52"/>
        </w:numPr>
        <w:ind w:left="0" w:firstLine="480"/>
        <w:jc w:val="left"/>
        <w:rPr>
          <w:rFonts w:cs="Times New Roman"/>
          <w:szCs w:val="24"/>
        </w:rPr>
      </w:pPr>
      <w:r>
        <w:rPr>
          <w:rFonts w:cs="Times New Roman"/>
          <w:szCs w:val="24"/>
        </w:rPr>
        <w:t>在山区、河岸比较陡或密集的湖泊区、丘陵城市及有高层玻璃幕墙建筑的环境中选址时要注意信号反射的影响。</w:t>
      </w:r>
    </w:p>
    <w:p>
      <w:pPr>
        <w:pStyle w:val="5"/>
        <w:rPr>
          <w:rFonts w:cs="Times New Roman"/>
        </w:rPr>
      </w:pPr>
      <w:bookmarkStart w:id="784" w:name="_Toc32928139"/>
      <w:bookmarkStart w:id="785" w:name="_Toc32137"/>
      <w:r>
        <w:rPr>
          <w:rFonts w:cs="Times New Roman"/>
        </w:rPr>
        <w:t>天馈设置</w:t>
      </w:r>
      <w:bookmarkEnd w:id="784"/>
      <w:r>
        <w:rPr>
          <w:rFonts w:cs="Times New Roman"/>
        </w:rPr>
        <w:t>原则</w:t>
      </w:r>
      <w:bookmarkEnd w:id="785"/>
    </w:p>
    <w:p>
      <w:pPr>
        <w:ind w:firstLine="480"/>
        <w:jc w:val="left"/>
        <w:rPr>
          <w:rFonts w:cs="Times New Roman"/>
        </w:rPr>
      </w:pPr>
      <w:r>
        <w:rPr>
          <w:rFonts w:cs="Times New Roman"/>
        </w:rPr>
        <w:t>5G宏基站天馈可采用AAU形式，或采用8通道RRU外接天线形式。5G微基站为4通道设备，可内置或外接天线。</w:t>
      </w:r>
    </w:p>
    <w:p>
      <w:pPr>
        <w:ind w:firstLine="240" w:firstLineChars="100"/>
        <w:jc w:val="left"/>
        <w:rPr>
          <w:rFonts w:cs="Times New Roman"/>
        </w:rPr>
      </w:pPr>
      <w:r>
        <w:rPr>
          <w:rFonts w:cs="Times New Roman"/>
        </w:rPr>
        <w:t>（1）AAU天馈</w:t>
      </w:r>
    </w:p>
    <w:p>
      <w:pPr>
        <w:ind w:firstLine="480"/>
        <w:jc w:val="left"/>
        <w:rPr>
          <w:rFonts w:cs="Times New Roman"/>
        </w:rPr>
      </w:pPr>
      <w:r>
        <w:rPr>
          <w:rFonts w:cs="Times New Roman"/>
        </w:rPr>
        <w:t>对于5G 64通道或32通道设备，应用大阵列天线，天馈部分采用RRU与天线一体化形式的有源天线形式（AAU）。AAU不能再与其它制式RRU共用天线，必须为AAU提供独立的天面位置。5G 2.6GHz频段及4.9GHz频段AAU均需独立占用天面，5G建设应以“天面尽量不增，减少天馈调整”为原则，随5G建设，优先对现网天馈进行调整，为5G AAU腾出安装位置。</w:t>
      </w:r>
    </w:p>
    <w:p>
      <w:pPr>
        <w:ind w:firstLine="480"/>
        <w:jc w:val="left"/>
        <w:rPr>
          <w:rFonts w:cs="Times New Roman"/>
        </w:rPr>
      </w:pPr>
      <w:r>
        <w:rPr>
          <w:rFonts w:cs="Times New Roman"/>
        </w:rPr>
        <w:t>现网天馈调整遵循以下原则：</w:t>
      </w:r>
    </w:p>
    <w:p>
      <w:pPr>
        <w:pStyle w:val="287"/>
        <w:widowControl/>
        <w:numPr>
          <w:ilvl w:val="0"/>
          <w:numId w:val="53"/>
        </w:numPr>
        <w:ind w:left="0" w:firstLine="480"/>
        <w:jc w:val="left"/>
        <w:rPr>
          <w:rFonts w:cs="Times New Roman"/>
        </w:rPr>
      </w:pPr>
      <w:r>
        <w:rPr>
          <w:rFonts w:cs="Times New Roman"/>
        </w:rPr>
        <w:t>对于现网有4G D频段独立天线场景，优先将D频段独立天线替换为2.6GHz 5G AAU。</w:t>
      </w:r>
    </w:p>
    <w:p>
      <w:pPr>
        <w:pStyle w:val="287"/>
        <w:widowControl/>
        <w:numPr>
          <w:ilvl w:val="0"/>
          <w:numId w:val="53"/>
        </w:numPr>
        <w:ind w:left="0" w:firstLine="480"/>
        <w:jc w:val="left"/>
        <w:rPr>
          <w:rFonts w:cs="Times New Roman"/>
        </w:rPr>
      </w:pPr>
      <w:r>
        <w:rPr>
          <w:rFonts w:cs="Times New Roman"/>
        </w:rPr>
        <w:t>其它场景在满足网络规划、优化的前提下，优选通过多频多端口电调天线对现网天馈进行整合。考虑到未来可能与广电合作建设700MHz，建议用“4448”多频多模天线将700MHz、900MHz、1800MHz、FA频段整合成一组，2.6GHz使用AAU部署5G，单小区共整合成2天面；或者低频FDD一组、中频TDD一组、高频5G一组，使用700M/900M/1800M“4+4+4”天线整合FDD，FA频段 TDD单独一组，2.6GHz 5G AAU单独一组，单小区共整合成3天面。</w:t>
      </w:r>
    </w:p>
    <w:p>
      <w:pPr>
        <w:pStyle w:val="287"/>
        <w:widowControl/>
        <w:numPr>
          <w:ilvl w:val="0"/>
          <w:numId w:val="53"/>
        </w:numPr>
        <w:ind w:left="0" w:firstLine="480"/>
        <w:jc w:val="left"/>
        <w:rPr>
          <w:rFonts w:cs="Times New Roman"/>
        </w:rPr>
      </w:pPr>
      <w:r>
        <w:rPr>
          <w:rFonts w:cs="Times New Roman"/>
        </w:rPr>
        <w:t>对于现网天馈整合无法满足优化需求时，可采用利旧或新建抱杆方式安装5G AAU。</w:t>
      </w:r>
    </w:p>
    <w:p>
      <w:pPr>
        <w:pStyle w:val="287"/>
        <w:widowControl/>
        <w:numPr>
          <w:ilvl w:val="0"/>
          <w:numId w:val="53"/>
        </w:numPr>
        <w:ind w:left="0" w:firstLine="480"/>
        <w:jc w:val="left"/>
        <w:rPr>
          <w:rFonts w:cs="Times New Roman"/>
        </w:rPr>
      </w:pPr>
      <w:r>
        <w:rPr>
          <w:rFonts w:cs="Times New Roman"/>
        </w:rPr>
        <w:t>对于天面归属铁塔公司的场景，天馈设置与调整均应</w:t>
      </w:r>
      <w:r>
        <w:rPr>
          <w:rFonts w:hint="eastAsia" w:cs="Times New Roman"/>
        </w:rPr>
        <w:t>向</w:t>
      </w:r>
      <w:r>
        <w:rPr>
          <w:rFonts w:cs="Times New Roman"/>
        </w:rPr>
        <w:t>铁塔公司确认抱杆承重。</w:t>
      </w:r>
    </w:p>
    <w:p>
      <w:pPr>
        <w:ind w:firstLine="480"/>
        <w:jc w:val="left"/>
        <w:rPr>
          <w:rFonts w:cs="Times New Roman"/>
        </w:rPr>
      </w:pPr>
      <w:r>
        <w:rPr>
          <w:rFonts w:cs="Times New Roman"/>
        </w:rPr>
        <w:t>AAU天馈方向角和下倾角设置遵循以下原则：</w:t>
      </w:r>
    </w:p>
    <w:p>
      <w:pPr>
        <w:pStyle w:val="287"/>
        <w:widowControl/>
        <w:numPr>
          <w:ilvl w:val="2"/>
          <w:numId w:val="54"/>
        </w:numPr>
        <w:ind w:left="0" w:firstLine="480"/>
        <w:jc w:val="left"/>
        <w:rPr>
          <w:rFonts w:cs="Times New Roman"/>
          <w:bCs/>
        </w:rPr>
      </w:pPr>
      <w:r>
        <w:rPr>
          <w:rFonts w:cs="Times New Roman"/>
          <w:bCs/>
        </w:rPr>
        <w:t>方向角：</w:t>
      </w:r>
    </w:p>
    <w:p>
      <w:pPr>
        <w:ind w:firstLine="480"/>
        <w:rPr>
          <w:rFonts w:cs="Times New Roman"/>
        </w:rPr>
      </w:pPr>
      <w:r>
        <w:rPr>
          <w:rFonts w:cs="Times New Roman"/>
        </w:rPr>
        <w:t>主要通过设置主瓣方向、同一基站不同扇区之间保持合理的夹角来实现合理的小区覆盖。</w:t>
      </w:r>
    </w:p>
    <w:p>
      <w:pPr>
        <w:ind w:firstLine="480"/>
        <w:rPr>
          <w:rFonts w:cs="Times New Roman"/>
        </w:rPr>
      </w:pPr>
      <w:r>
        <w:rPr>
          <w:rFonts w:cs="Times New Roman"/>
        </w:rPr>
        <w:t>小区天线主瓣方向应尽量覆盖业务需求区域。</w:t>
      </w:r>
    </w:p>
    <w:p>
      <w:pPr>
        <w:ind w:firstLine="480"/>
        <w:rPr>
          <w:rFonts w:cs="Times New Roman"/>
        </w:rPr>
      </w:pPr>
      <w:r>
        <w:rPr>
          <w:rFonts w:cs="Times New Roman"/>
        </w:rPr>
        <w:t>同一基站不同扇区之间保持合理的夹角（一般情况下应大于90度），实现小区间完美镶嵌，减少重叠，消除黑洞。</w:t>
      </w:r>
    </w:p>
    <w:p>
      <w:pPr>
        <w:ind w:firstLine="480"/>
        <w:rPr>
          <w:rFonts w:cs="Times New Roman"/>
        </w:rPr>
      </w:pPr>
      <w:r>
        <w:rPr>
          <w:rFonts w:cs="Times New Roman"/>
        </w:rPr>
        <w:t>对于5G反向开通4G的共址站点，原则上5G小区方向角应继承现有主要系统的小区方位角。</w:t>
      </w:r>
    </w:p>
    <w:p>
      <w:pPr>
        <w:pStyle w:val="287"/>
        <w:widowControl/>
        <w:numPr>
          <w:ilvl w:val="2"/>
          <w:numId w:val="54"/>
        </w:numPr>
        <w:ind w:left="0" w:firstLine="480"/>
        <w:jc w:val="left"/>
        <w:rPr>
          <w:rFonts w:cs="Times New Roman"/>
          <w:bCs/>
        </w:rPr>
      </w:pPr>
      <w:r>
        <w:rPr>
          <w:rFonts w:cs="Times New Roman"/>
          <w:bCs/>
        </w:rPr>
        <w:t>下倾角：</w:t>
      </w:r>
    </w:p>
    <w:p>
      <w:pPr>
        <w:ind w:firstLine="480"/>
        <w:rPr>
          <w:rFonts w:cs="Times New Roman"/>
        </w:rPr>
      </w:pPr>
      <w:r>
        <w:rPr>
          <w:rFonts w:cs="Times New Roman"/>
        </w:rPr>
        <w:t>在站高确定的情况下，通过调整下倾角合理地控制小区覆盖范围。</w:t>
      </w:r>
    </w:p>
    <w:p>
      <w:pPr>
        <w:ind w:firstLine="480"/>
        <w:rPr>
          <w:rFonts w:cs="Times New Roman"/>
        </w:rPr>
      </w:pPr>
      <w:r>
        <w:rPr>
          <w:rFonts w:cs="Times New Roman"/>
        </w:rPr>
        <w:t>5G Massive MIMO天线有多个垂直层波束，虽然垂直维度覆盖增强，但是若下倾角设置不当，部分垂直维度波束可能产生越区干扰，需通过合理设置下倾角在增强垂直覆盖和降低越区干扰之间实现平衡。</w:t>
      </w:r>
    </w:p>
    <w:p>
      <w:pPr>
        <w:ind w:firstLine="480"/>
        <w:rPr>
          <w:rFonts w:cs="Times New Roman"/>
        </w:rPr>
      </w:pPr>
      <w:r>
        <w:rPr>
          <w:rFonts w:cs="Times New Roman"/>
        </w:rPr>
        <w:t>对于连续覆盖，建议一般场景按垂直维业务波束包络的上3dB对准小区边界进行规划：垂直多维波束主要用于下旁瓣填充覆盖，增强中近点覆盖。</w:t>
      </w:r>
    </w:p>
    <w:p>
      <w:pPr>
        <w:ind w:firstLine="480"/>
        <w:rPr>
          <w:rFonts w:cs="Times New Roman"/>
        </w:rPr>
      </w:pPr>
      <w:r>
        <w:rPr>
          <w:rFonts w:cs="Times New Roman"/>
        </w:rPr>
        <w:t>对于覆盖不足的场景，可适当抬高下倾角：以垂直维业务波束包络的最大增益方向对准小区边界进行规划。</w:t>
      </w:r>
    </w:p>
    <w:p>
      <w:pPr>
        <w:ind w:firstLine="480"/>
        <w:rPr>
          <w:rFonts w:cs="Times New Roman"/>
        </w:rPr>
      </w:pPr>
      <w:r>
        <w:rPr>
          <w:rFonts w:hint="eastAsia" w:cs="Times New Roman"/>
        </w:rPr>
        <w:t>对于5G反向开通4G 3D-MIMO功能并替换原天线时，5G天面方向角与下倾角还应遵循以下原则：</w:t>
      </w:r>
    </w:p>
    <w:p>
      <w:pPr>
        <w:ind w:firstLine="480"/>
        <w:rPr>
          <w:rFonts w:cs="Times New Roman"/>
        </w:rPr>
      </w:pPr>
      <w:r>
        <w:rPr>
          <w:rFonts w:hint="eastAsia" w:ascii="微软雅黑" w:hAnsi="微软雅黑" w:eastAsia="微软雅黑" w:cs="Times New Roman"/>
        </w:rPr>
        <w:t>①</w:t>
      </w:r>
      <w:r>
        <w:rPr>
          <w:rFonts w:hint="eastAsia" w:cs="Times New Roman"/>
        </w:rPr>
        <w:t>替换场景天面安装在原位置时，替换前后站高、方位角、总下倾角必须保持一致（原机械下倾角+原电下倾角=替换后机械下倾角+数字下倾角），并结合按照总部大下倾角工参继承原则，保持反开4G小区覆盖，避免超远越区覆盖，权值类型按照最大相近类型继承。</w:t>
      </w:r>
    </w:p>
    <w:p>
      <w:pPr>
        <w:ind w:firstLine="480"/>
        <w:rPr>
          <w:rFonts w:cs="Times New Roman"/>
        </w:rPr>
      </w:pPr>
      <w:r>
        <w:rPr>
          <w:rFonts w:hint="eastAsia" w:ascii="Microsoft YaHei UI" w:hAnsi="Microsoft YaHei UI" w:eastAsia="Microsoft YaHei UI" w:cs="Times New Roman"/>
        </w:rPr>
        <w:t>②</w:t>
      </w:r>
      <w:r>
        <w:rPr>
          <w:rFonts w:hint="eastAsia" w:cs="Times New Roman"/>
        </w:rPr>
        <w:t>替换前后天面安装位置仅存在高度差异时，要求方位角一致，下倾角通过覆盖半径进行计算，覆盖范围尽量拉齐已有的同频段4G规划标准。</w:t>
      </w:r>
    </w:p>
    <w:p>
      <w:pPr>
        <w:ind w:firstLine="480"/>
        <w:rPr>
          <w:rFonts w:cs="Times New Roman"/>
        </w:rPr>
      </w:pPr>
      <w:r>
        <w:rPr>
          <w:rFonts w:hint="eastAsia" w:ascii="Microsoft YaHei UI" w:hAnsi="Microsoft YaHei UI" w:eastAsia="Microsoft YaHei UI" w:cs="Times New Roman"/>
        </w:rPr>
        <w:t>③</w:t>
      </w:r>
      <w:r>
        <w:rPr>
          <w:rFonts w:hint="eastAsia" w:cs="Times New Roman"/>
        </w:rPr>
        <w:t>受天面空间限制，改造后双模AAU与同频段天面水平位置存在较差异时，需要根据目标覆盖区域重新进行站高、方位角、下倾角规划，该场景改造后覆盖与原站点差异较大，需要进行指标和RF优化。</w:t>
      </w:r>
    </w:p>
    <w:p>
      <w:pPr>
        <w:ind w:firstLine="240" w:firstLineChars="100"/>
        <w:jc w:val="left"/>
        <w:rPr>
          <w:rFonts w:cs="Times New Roman"/>
        </w:rPr>
      </w:pPr>
      <w:r>
        <w:rPr>
          <w:rFonts w:cs="Times New Roman"/>
        </w:rPr>
        <w:t>（2）8通道RRU外接天线</w:t>
      </w:r>
    </w:p>
    <w:p>
      <w:pPr>
        <w:ind w:firstLine="480"/>
        <w:rPr>
          <w:rFonts w:cs="Times New Roman"/>
        </w:rPr>
      </w:pPr>
      <w:r>
        <w:rPr>
          <w:rFonts w:cs="Times New Roman"/>
        </w:rPr>
        <w:t>优先对现网支持4G D频段天线进行替换调整。调整后天线应支持D频段160MHz带宽。</w:t>
      </w:r>
    </w:p>
    <w:p>
      <w:pPr>
        <w:ind w:firstLine="240" w:firstLineChars="100"/>
        <w:jc w:val="left"/>
        <w:rPr>
          <w:rFonts w:cs="Times New Roman"/>
        </w:rPr>
      </w:pPr>
      <w:r>
        <w:rPr>
          <w:rFonts w:cs="Times New Roman"/>
        </w:rPr>
        <w:t>（3）4通道微站天馈</w:t>
      </w:r>
    </w:p>
    <w:p>
      <w:pPr>
        <w:ind w:firstLine="480"/>
        <w:rPr>
          <w:rFonts w:cs="Times New Roman"/>
        </w:rPr>
      </w:pPr>
      <w:r>
        <w:rPr>
          <w:rFonts w:cs="Times New Roman"/>
        </w:rPr>
        <w:t>微站天线主瓣方向应尽量对准覆盖需求区域。通过合理设置天线下倾角，避免信号干扰到宏站覆盖区。</w:t>
      </w:r>
    </w:p>
    <w:p>
      <w:pPr>
        <w:ind w:firstLine="480"/>
        <w:rPr>
          <w:rFonts w:cs="Times New Roman"/>
        </w:rPr>
      </w:pPr>
      <w:r>
        <w:rPr>
          <w:rFonts w:cs="Times New Roman"/>
        </w:rPr>
        <w:t>若5G微基站与4G微基站同址设置，应尽量利用共模设备减少天馈数量。</w:t>
      </w:r>
    </w:p>
    <w:p>
      <w:pPr>
        <w:ind w:firstLine="240" w:firstLineChars="100"/>
        <w:jc w:val="left"/>
        <w:rPr>
          <w:rFonts w:cs="Times New Roman"/>
        </w:rPr>
      </w:pPr>
      <w:r>
        <w:rPr>
          <w:rFonts w:cs="Times New Roman"/>
        </w:rPr>
        <w:t>（4）天馈供电方案</w:t>
      </w:r>
    </w:p>
    <w:p>
      <w:pPr>
        <w:ind w:firstLine="480"/>
        <w:rPr>
          <w:rFonts w:cs="Times New Roman"/>
          <w:highlight w:val="yellow"/>
        </w:rPr>
      </w:pPr>
      <w:r>
        <w:rPr>
          <w:rFonts w:cs="Times New Roman"/>
        </w:rPr>
        <w:t>天馈AAU/RRU必须采用稳定的电源供电。对于传统非拉远方式基站，若机房电力容量充足，应以直流远供方式为主；对于机房电力容量不足或C-RAN拉远等场景，可采用从周边引接市电、新建一体化电源柜等方式。</w:t>
      </w:r>
    </w:p>
    <w:p>
      <w:pPr>
        <w:ind w:firstLine="480"/>
        <w:rPr>
          <w:rFonts w:cs="Times New Roman"/>
        </w:rPr>
      </w:pPr>
    </w:p>
    <w:p>
      <w:pPr>
        <w:ind w:firstLine="240" w:firstLineChars="100"/>
        <w:jc w:val="left"/>
        <w:rPr>
          <w:rFonts w:cs="Times New Roman"/>
        </w:rPr>
      </w:pPr>
      <w:r>
        <w:rPr>
          <w:rFonts w:cs="Times New Roman"/>
        </w:rPr>
        <w:t>（2）8通道RRU外接天线</w:t>
      </w:r>
    </w:p>
    <w:p>
      <w:pPr>
        <w:ind w:firstLine="480"/>
        <w:rPr>
          <w:rFonts w:cs="Times New Roman"/>
        </w:rPr>
      </w:pPr>
      <w:r>
        <w:rPr>
          <w:rFonts w:cs="Times New Roman"/>
        </w:rPr>
        <w:t>优先对现网支持4G D频段天线进行替换调整。调整后天线应支持D频段160MHz带宽。</w:t>
      </w:r>
    </w:p>
    <w:p>
      <w:pPr>
        <w:ind w:firstLine="240" w:firstLineChars="100"/>
        <w:jc w:val="left"/>
        <w:rPr>
          <w:rFonts w:cs="Times New Roman"/>
        </w:rPr>
      </w:pPr>
      <w:r>
        <w:rPr>
          <w:rFonts w:cs="Times New Roman"/>
        </w:rPr>
        <w:t>（3）4通道微站天馈</w:t>
      </w:r>
    </w:p>
    <w:p>
      <w:pPr>
        <w:ind w:firstLine="480"/>
        <w:rPr>
          <w:rFonts w:cs="Times New Roman"/>
        </w:rPr>
      </w:pPr>
      <w:r>
        <w:rPr>
          <w:rFonts w:cs="Times New Roman"/>
        </w:rPr>
        <w:t>微站天线主瓣方向应尽量对准覆盖需求区域。通过合理设置天线下倾角，避免信号干扰到宏站覆盖区。</w:t>
      </w:r>
    </w:p>
    <w:p>
      <w:pPr>
        <w:ind w:firstLine="480"/>
        <w:rPr>
          <w:rFonts w:cs="Times New Roman"/>
        </w:rPr>
      </w:pPr>
      <w:r>
        <w:rPr>
          <w:rFonts w:cs="Times New Roman"/>
        </w:rPr>
        <w:t>若5G微基站与4G微基站同址设置，应尽量利用共模设备减少天馈数量。</w:t>
      </w:r>
    </w:p>
    <w:p>
      <w:pPr>
        <w:ind w:firstLine="240" w:firstLineChars="100"/>
        <w:jc w:val="left"/>
        <w:rPr>
          <w:rFonts w:cs="Times New Roman"/>
        </w:rPr>
      </w:pPr>
      <w:r>
        <w:rPr>
          <w:rFonts w:cs="Times New Roman"/>
        </w:rPr>
        <w:t>（4）天馈供电方案</w:t>
      </w:r>
    </w:p>
    <w:p>
      <w:pPr>
        <w:ind w:firstLine="480"/>
        <w:rPr>
          <w:rFonts w:cs="Times New Roman"/>
          <w:highlight w:val="yellow"/>
        </w:rPr>
      </w:pPr>
      <w:r>
        <w:rPr>
          <w:rFonts w:cs="Times New Roman"/>
        </w:rPr>
        <w:t>天馈AAU/RRU必须采用稳定的电源供电。对于传统非拉远方式基站，若机房电力容量充足，应以直流远供方式为主；对于机房电力容量不足或C-RAN拉远等场景，可采用从周边引接市电、新建一体化电源柜等方式。</w:t>
      </w:r>
    </w:p>
    <w:p>
      <w:pPr>
        <w:pStyle w:val="5"/>
        <w:rPr>
          <w:rFonts w:cs="Times New Roman"/>
        </w:rPr>
      </w:pPr>
      <w:bookmarkStart w:id="786" w:name="_Toc25641"/>
      <w:r>
        <w:rPr>
          <w:rFonts w:cs="Times New Roman"/>
        </w:rPr>
        <w:t>基站设置方案</w:t>
      </w:r>
      <w:bookmarkEnd w:id="786"/>
    </w:p>
    <w:p>
      <w:pPr>
        <w:ind w:firstLine="480"/>
        <w:rPr>
          <w:rFonts w:cs="Times New Roman"/>
        </w:rPr>
      </w:pPr>
      <w:r>
        <w:rPr>
          <w:rFonts w:cs="Times New Roman"/>
        </w:rPr>
        <w:t>场景1：密集商业区</w:t>
      </w:r>
    </w:p>
    <w:p>
      <w:pPr>
        <w:ind w:firstLine="199" w:firstLineChars="83"/>
        <w:rPr>
          <w:rFonts w:cs="Times New Roman"/>
          <w:lang w:val="en-AU"/>
        </w:rPr>
      </w:pPr>
      <w:r>
        <w:rPr>
          <w:rFonts w:cs="Times New Roman"/>
          <w:lang w:val="en-AU"/>
        </w:rPr>
        <w:t>（1）场景描述：</w:t>
      </w:r>
    </w:p>
    <w:p>
      <w:pPr>
        <w:ind w:firstLine="480"/>
        <w:rPr>
          <w:rFonts w:cs="Times New Roman"/>
          <w:lang w:val="en-AU"/>
        </w:rPr>
      </w:pPr>
      <w:r>
        <w:rPr>
          <w:rFonts w:cs="Times New Roman"/>
          <w:lang w:val="en-AU"/>
        </w:rPr>
        <w:t>该案例区域位于</w:t>
      </w:r>
      <w:r>
        <w:rPr>
          <w:rFonts w:hint="eastAsia" w:cs="Times New Roman"/>
        </w:rPr>
        <w:t>湖滨商业街</w:t>
      </w:r>
      <w:r>
        <w:rPr>
          <w:rFonts w:cs="Times New Roman"/>
          <w:lang w:val="en-AU"/>
        </w:rPr>
        <w:t>，属核心商业区域，区域范围东起</w:t>
      </w:r>
      <w:r>
        <w:rPr>
          <w:rFonts w:hint="eastAsia" w:cs="Times New Roman"/>
        </w:rPr>
        <w:t>胡湖滨路</w:t>
      </w:r>
      <w:r>
        <w:rPr>
          <w:rFonts w:cs="Times New Roman"/>
          <w:lang w:val="en-AU"/>
        </w:rPr>
        <w:t>，西至</w:t>
      </w:r>
      <w:r>
        <w:rPr>
          <w:rFonts w:hint="eastAsia" w:cs="Times New Roman"/>
        </w:rPr>
        <w:t>蠡湖大道</w:t>
      </w:r>
      <w:r>
        <w:rPr>
          <w:rFonts w:cs="Times New Roman"/>
          <w:lang w:val="en-AU"/>
        </w:rPr>
        <w:t>，北起</w:t>
      </w:r>
      <w:r>
        <w:rPr>
          <w:rFonts w:hint="eastAsia" w:cs="Times New Roman"/>
        </w:rPr>
        <w:t>太湖大道</w:t>
      </w:r>
      <w:r>
        <w:rPr>
          <w:rFonts w:cs="Times New Roman"/>
          <w:lang w:val="en-AU"/>
        </w:rPr>
        <w:t>，南至</w:t>
      </w:r>
      <w:r>
        <w:rPr>
          <w:rFonts w:hint="eastAsia" w:cs="Times New Roman"/>
        </w:rPr>
        <w:t>隐秀路</w:t>
      </w:r>
      <w:r>
        <w:rPr>
          <w:rFonts w:cs="Times New Roman"/>
          <w:lang w:val="en-AU"/>
        </w:rPr>
        <w:t>，面积约</w:t>
      </w:r>
      <w:r>
        <w:rPr>
          <w:rFonts w:hint="eastAsia" w:cs="Times New Roman"/>
        </w:rPr>
        <w:t>1.5</w:t>
      </w:r>
      <w:r>
        <w:rPr>
          <w:rFonts w:cs="Times New Roman"/>
          <w:lang w:val="en-AU"/>
        </w:rPr>
        <w:t>平方公里；区域内建筑密集，人流量大，现有语音及数据业务繁忙；楼高介余1层至15层之间，高低分布不规则，部分位置楼间距紧密。区域如下图所示：</w:t>
      </w:r>
    </w:p>
    <w:p>
      <w:pPr>
        <w:ind w:firstLine="480"/>
        <w:jc w:val="center"/>
        <w:rPr>
          <w:rFonts w:cs="Times New Roman"/>
          <w:lang w:val="en-AU"/>
        </w:rPr>
      </w:pPr>
      <w:r>
        <w:drawing>
          <wp:inline distT="0" distB="0" distL="114300" distR="114300">
            <wp:extent cx="4404360" cy="3017520"/>
            <wp:effectExtent l="0" t="0" r="0" b="0"/>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1"/>
                    <pic:cNvPicPr>
                      <a:picLocks noChangeAspect="1"/>
                    </pic:cNvPicPr>
                  </pic:nvPicPr>
                  <pic:blipFill>
                    <a:blip r:embed="rId43"/>
                    <a:stretch>
                      <a:fillRect/>
                    </a:stretch>
                  </pic:blipFill>
                  <pic:spPr>
                    <a:xfrm>
                      <a:off x="0" y="0"/>
                      <a:ext cx="4404360" cy="3017520"/>
                    </a:xfrm>
                    <a:prstGeom prst="rect">
                      <a:avLst/>
                    </a:prstGeom>
                    <a:noFill/>
                    <a:ln>
                      <a:noFill/>
                    </a:ln>
                  </pic:spPr>
                </pic:pic>
              </a:graphicData>
            </a:graphic>
          </wp:inline>
        </w:drawing>
      </w:r>
    </w:p>
    <w:p>
      <w:pPr>
        <w:pStyle w:val="603"/>
        <w:rPr>
          <w:rFonts w:cs="Times New Roman"/>
          <w:lang w:val="en-AU"/>
        </w:rPr>
      </w:pPr>
      <w:r>
        <w:rPr>
          <w:rFonts w:cs="Times New Roman"/>
        </w:rPr>
        <w:t>图7.5</w:t>
      </w:r>
      <w:r>
        <w:rPr>
          <w:rFonts w:cs="Times New Roman"/>
        </w:rPr>
        <w:noBreakHyphen/>
      </w:r>
      <w:r>
        <w:rPr>
          <w:rFonts w:cs="Times New Roman"/>
        </w:rPr>
        <w:t xml:space="preserve">1  </w:t>
      </w:r>
      <w:r>
        <w:rPr>
          <w:rFonts w:hint="eastAsia" w:cs="Times New Roman"/>
          <w:color w:val="FF0000"/>
        </w:rPr>
        <w:t>湖滨商业街</w:t>
      </w:r>
      <w:r>
        <w:rPr>
          <w:rFonts w:cs="Times New Roman"/>
        </w:rPr>
        <w:t>区域5G覆盖示意图</w:t>
      </w:r>
    </w:p>
    <w:p>
      <w:pPr>
        <w:ind w:firstLine="199" w:firstLineChars="83"/>
        <w:rPr>
          <w:rFonts w:cs="Times New Roman"/>
          <w:lang w:val="en-AU"/>
        </w:rPr>
      </w:pPr>
      <w:r>
        <w:rPr>
          <w:rFonts w:cs="Times New Roman"/>
          <w:lang w:val="en-AU"/>
        </w:rPr>
        <w:t>（2）覆盖方案及站址设置方案：</w:t>
      </w:r>
    </w:p>
    <w:p>
      <w:pPr>
        <w:ind w:firstLine="480"/>
        <w:rPr>
          <w:rFonts w:cs="Times New Roman"/>
        </w:rPr>
      </w:pPr>
      <w:r>
        <w:rPr>
          <w:rFonts w:cs="Times New Roman"/>
        </w:rPr>
        <w:t>本区域内现网站址包括2G GSM900、DCS1800，4G TDD-F、TDD-D，FDD900，FDD1800多个系统，规模明细如下表：</w:t>
      </w:r>
    </w:p>
    <w:p>
      <w:pPr>
        <w:pStyle w:val="603"/>
        <w:rPr>
          <w:rFonts w:cs="Times New Roman"/>
        </w:rPr>
      </w:pPr>
      <w:r>
        <w:rPr>
          <w:rFonts w:cs="Times New Roman"/>
        </w:rPr>
        <w:t xml:space="preserve">表7.5 -1  </w:t>
      </w:r>
      <w:r>
        <w:rPr>
          <w:rFonts w:hint="eastAsia" w:cs="Times New Roman"/>
          <w:color w:val="FF0000"/>
        </w:rPr>
        <w:t>湖滨商业街</w:t>
      </w:r>
      <w:r>
        <w:rPr>
          <w:rFonts w:cs="Times New Roman"/>
          <w:color w:val="FF0000"/>
        </w:rPr>
        <w:t>区域现网系统规模</w:t>
      </w:r>
    </w:p>
    <w:tbl>
      <w:tblPr>
        <w:tblStyle w:val="63"/>
        <w:tblW w:w="8098" w:type="dxa"/>
        <w:jc w:val="center"/>
        <w:tblLayout w:type="fixed"/>
        <w:tblCellMar>
          <w:top w:w="0" w:type="dxa"/>
          <w:left w:w="108" w:type="dxa"/>
          <w:bottom w:w="0" w:type="dxa"/>
          <w:right w:w="108" w:type="dxa"/>
        </w:tblCellMar>
      </w:tblPr>
      <w:tblGrid>
        <w:gridCol w:w="1056"/>
        <w:gridCol w:w="987"/>
        <w:gridCol w:w="1045"/>
        <w:gridCol w:w="952"/>
        <w:gridCol w:w="1057"/>
        <w:gridCol w:w="870"/>
        <w:gridCol w:w="835"/>
        <w:gridCol w:w="870"/>
        <w:gridCol w:w="426"/>
      </w:tblGrid>
      <w:tr>
        <w:tblPrEx>
          <w:tblCellMar>
            <w:top w:w="0" w:type="dxa"/>
            <w:left w:w="108" w:type="dxa"/>
            <w:bottom w:w="0" w:type="dxa"/>
            <w:right w:w="108" w:type="dxa"/>
          </w:tblCellMar>
        </w:tblPrEx>
        <w:trPr>
          <w:trHeight w:val="181" w:hRule="atLeast"/>
          <w:jc w:val="center"/>
        </w:trPr>
        <w:tc>
          <w:tcPr>
            <w:tcW w:w="7672"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区域内各系统站点规模</w:t>
            </w:r>
          </w:p>
        </w:tc>
        <w:tc>
          <w:tcPr>
            <w:tcW w:w="426"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181" w:hRule="atLeast"/>
          <w:jc w:val="center"/>
        </w:trPr>
        <w:tc>
          <w:tcPr>
            <w:tcW w:w="1056" w:type="dxa"/>
            <w:tcBorders>
              <w:top w:val="nil"/>
              <w:left w:val="single" w:color="auto" w:sz="4" w:space="0"/>
              <w:bottom w:val="single" w:color="auto" w:sz="4" w:space="0"/>
              <w:right w:val="single" w:color="auto" w:sz="4" w:space="0"/>
            </w:tcBorders>
            <w:shd w:val="clear" w:color="auto" w:fill="auto"/>
            <w:vAlign w:val="center"/>
          </w:tcPr>
          <w:p>
            <w:pPr>
              <w:pStyle w:val="290"/>
            </w:pPr>
            <w:r>
              <w:t>网络系统</w:t>
            </w:r>
          </w:p>
        </w:tc>
        <w:tc>
          <w:tcPr>
            <w:tcW w:w="987" w:type="dxa"/>
            <w:tcBorders>
              <w:top w:val="nil"/>
              <w:left w:val="nil"/>
              <w:bottom w:val="single" w:color="auto" w:sz="4" w:space="0"/>
              <w:right w:val="single" w:color="auto" w:sz="4" w:space="0"/>
            </w:tcBorders>
            <w:shd w:val="clear" w:color="auto" w:fill="auto"/>
            <w:vAlign w:val="center"/>
          </w:tcPr>
          <w:p>
            <w:pPr>
              <w:pStyle w:val="290"/>
            </w:pPr>
            <w:r>
              <w:t>GSM900</w:t>
            </w:r>
          </w:p>
        </w:tc>
        <w:tc>
          <w:tcPr>
            <w:tcW w:w="1045" w:type="dxa"/>
            <w:tcBorders>
              <w:top w:val="nil"/>
              <w:left w:val="nil"/>
              <w:bottom w:val="single" w:color="auto" w:sz="4" w:space="0"/>
              <w:right w:val="single" w:color="auto" w:sz="4" w:space="0"/>
            </w:tcBorders>
            <w:shd w:val="clear" w:color="auto" w:fill="auto"/>
            <w:vAlign w:val="center"/>
          </w:tcPr>
          <w:p>
            <w:pPr>
              <w:pStyle w:val="290"/>
            </w:pPr>
            <w:r>
              <w:t>DCS1800</w:t>
            </w:r>
          </w:p>
        </w:tc>
        <w:tc>
          <w:tcPr>
            <w:tcW w:w="952" w:type="dxa"/>
            <w:tcBorders>
              <w:top w:val="nil"/>
              <w:left w:val="nil"/>
              <w:bottom w:val="single" w:color="auto" w:sz="4" w:space="0"/>
              <w:right w:val="single" w:color="auto" w:sz="4" w:space="0"/>
            </w:tcBorders>
            <w:shd w:val="clear" w:color="auto" w:fill="auto"/>
            <w:vAlign w:val="center"/>
          </w:tcPr>
          <w:p>
            <w:pPr>
              <w:pStyle w:val="290"/>
            </w:pPr>
            <w:r>
              <w:t>FDD900</w:t>
            </w:r>
          </w:p>
        </w:tc>
        <w:tc>
          <w:tcPr>
            <w:tcW w:w="1057" w:type="dxa"/>
            <w:tcBorders>
              <w:top w:val="nil"/>
              <w:left w:val="nil"/>
              <w:bottom w:val="single" w:color="auto" w:sz="4" w:space="0"/>
              <w:right w:val="single" w:color="auto" w:sz="4" w:space="0"/>
            </w:tcBorders>
            <w:shd w:val="clear" w:color="auto" w:fill="auto"/>
            <w:vAlign w:val="center"/>
          </w:tcPr>
          <w:p>
            <w:pPr>
              <w:pStyle w:val="290"/>
            </w:pPr>
            <w:r>
              <w:t>FDD1800</w:t>
            </w:r>
          </w:p>
        </w:tc>
        <w:tc>
          <w:tcPr>
            <w:tcW w:w="870" w:type="dxa"/>
            <w:tcBorders>
              <w:top w:val="nil"/>
              <w:left w:val="nil"/>
              <w:bottom w:val="single" w:color="auto" w:sz="4" w:space="0"/>
              <w:right w:val="single" w:color="auto" w:sz="4" w:space="0"/>
            </w:tcBorders>
            <w:shd w:val="clear" w:color="auto" w:fill="auto"/>
            <w:vAlign w:val="center"/>
          </w:tcPr>
          <w:p>
            <w:pPr>
              <w:pStyle w:val="290"/>
            </w:pPr>
            <w:r>
              <w:t>TDD-A</w:t>
            </w:r>
          </w:p>
        </w:tc>
        <w:tc>
          <w:tcPr>
            <w:tcW w:w="835" w:type="dxa"/>
            <w:tcBorders>
              <w:top w:val="nil"/>
              <w:left w:val="nil"/>
              <w:bottom w:val="single" w:color="auto" w:sz="4" w:space="0"/>
              <w:right w:val="single" w:color="auto" w:sz="4" w:space="0"/>
            </w:tcBorders>
            <w:shd w:val="clear" w:color="auto" w:fill="auto"/>
            <w:vAlign w:val="center"/>
          </w:tcPr>
          <w:p>
            <w:pPr>
              <w:pStyle w:val="290"/>
            </w:pPr>
            <w:r>
              <w:t>TDD-F</w:t>
            </w:r>
          </w:p>
        </w:tc>
        <w:tc>
          <w:tcPr>
            <w:tcW w:w="870" w:type="dxa"/>
            <w:tcBorders>
              <w:top w:val="nil"/>
              <w:left w:val="nil"/>
              <w:bottom w:val="single" w:color="auto" w:sz="4" w:space="0"/>
              <w:right w:val="single" w:color="auto" w:sz="4" w:space="0"/>
            </w:tcBorders>
            <w:shd w:val="clear" w:color="auto" w:fill="auto"/>
            <w:vAlign w:val="center"/>
          </w:tcPr>
          <w:p>
            <w:pPr>
              <w:pStyle w:val="290"/>
            </w:pPr>
            <w:r>
              <w:t>TDD-D</w:t>
            </w:r>
          </w:p>
        </w:tc>
        <w:tc>
          <w:tcPr>
            <w:tcW w:w="426" w:type="dxa"/>
            <w:tcBorders>
              <w:top w:val="nil"/>
              <w:left w:val="nil"/>
              <w:bottom w:val="single" w:color="auto" w:sz="4" w:space="0"/>
              <w:right w:val="single" w:color="auto" w:sz="4" w:space="0"/>
            </w:tcBorders>
          </w:tcPr>
          <w:p>
            <w:pPr>
              <w:pStyle w:val="290"/>
            </w:pPr>
            <w:r>
              <w:t>物理站址</w:t>
            </w:r>
          </w:p>
        </w:tc>
      </w:tr>
      <w:tr>
        <w:tblPrEx>
          <w:tblCellMar>
            <w:top w:w="0" w:type="dxa"/>
            <w:left w:w="108" w:type="dxa"/>
            <w:bottom w:w="0" w:type="dxa"/>
            <w:right w:w="108" w:type="dxa"/>
          </w:tblCellMar>
        </w:tblPrEx>
        <w:trPr>
          <w:trHeight w:val="181" w:hRule="atLeast"/>
          <w:jc w:val="center"/>
        </w:trPr>
        <w:tc>
          <w:tcPr>
            <w:tcW w:w="1056" w:type="dxa"/>
            <w:tcBorders>
              <w:top w:val="nil"/>
              <w:left w:val="single" w:color="auto" w:sz="4" w:space="0"/>
              <w:bottom w:val="single" w:color="auto" w:sz="4" w:space="0"/>
              <w:right w:val="single" w:color="auto" w:sz="4" w:space="0"/>
            </w:tcBorders>
            <w:shd w:val="clear" w:color="auto" w:fill="auto"/>
            <w:vAlign w:val="center"/>
          </w:tcPr>
          <w:p>
            <w:pPr>
              <w:pStyle w:val="290"/>
            </w:pPr>
            <w:r>
              <w:t>站点规模</w:t>
            </w:r>
          </w:p>
        </w:tc>
        <w:tc>
          <w:tcPr>
            <w:tcW w:w="987"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1045"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952"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1057"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0</w:t>
            </w:r>
          </w:p>
        </w:tc>
        <w:tc>
          <w:tcPr>
            <w:tcW w:w="835"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13</w:t>
            </w:r>
          </w:p>
        </w:tc>
        <w:tc>
          <w:tcPr>
            <w:tcW w:w="426" w:type="dxa"/>
            <w:tcBorders>
              <w:top w:val="nil"/>
              <w:left w:val="nil"/>
              <w:bottom w:val="single" w:color="auto" w:sz="4" w:space="0"/>
              <w:right w:val="single" w:color="auto" w:sz="4" w:space="0"/>
            </w:tcBorders>
          </w:tcPr>
          <w:p>
            <w:pPr>
              <w:pStyle w:val="290"/>
            </w:pPr>
            <w:r>
              <w:rPr>
                <w:rFonts w:hint="eastAsia"/>
              </w:rPr>
              <w:t>13</w:t>
            </w:r>
          </w:p>
        </w:tc>
      </w:tr>
    </w:tbl>
    <w:p>
      <w:pPr>
        <w:widowControl/>
        <w:shd w:val="clear" w:color="auto" w:fill="FFFFFF"/>
        <w:spacing w:line="315" w:lineRule="atLeast"/>
        <w:ind w:firstLine="480"/>
        <w:jc w:val="left"/>
        <w:rPr>
          <w:rFonts w:cs="Times New Roman"/>
        </w:rPr>
      </w:pPr>
    </w:p>
    <w:p>
      <w:pPr>
        <w:ind w:firstLine="480"/>
        <w:rPr>
          <w:rFonts w:cs="Times New Roman"/>
        </w:rPr>
      </w:pPr>
      <w:r>
        <w:rPr>
          <w:rFonts w:cs="Times New Roman"/>
        </w:rPr>
        <w:t>本区域4G网络已实现连续覆盖，目前5G暂无小微站方案，因此本期通过</w:t>
      </w:r>
      <w:r>
        <w:rPr>
          <w:rFonts w:hint="eastAsia" w:cs="Times New Roman"/>
        </w:rPr>
        <w:t>原有站址新增5G</w:t>
      </w:r>
      <w:r>
        <w:rPr>
          <w:rFonts w:cs="Times New Roman"/>
        </w:rPr>
        <w:t>。</w:t>
      </w:r>
    </w:p>
    <w:p>
      <w:pPr>
        <w:ind w:firstLine="480"/>
        <w:rPr>
          <w:rFonts w:cs="Times New Roman"/>
        </w:rPr>
      </w:pPr>
      <w:r>
        <w:rPr>
          <w:rFonts w:cs="Times New Roman"/>
        </w:rPr>
        <w:t>根据本期工程建设原则，本区域站点进行CRAN集中。</w:t>
      </w:r>
    </w:p>
    <w:p>
      <w:pPr>
        <w:pStyle w:val="125"/>
        <w:ind w:left="720" w:firstLine="0" w:firstLineChars="0"/>
        <w:jc w:val="center"/>
        <w:rPr>
          <w:rFonts w:cs="Times New Roman"/>
        </w:rPr>
      </w:pPr>
      <w:r>
        <w:drawing>
          <wp:inline distT="0" distB="0" distL="114300" distR="114300">
            <wp:extent cx="3924300" cy="2598420"/>
            <wp:effectExtent l="0" t="0" r="7620" b="7620"/>
            <wp:docPr id="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2"/>
                    <pic:cNvPicPr>
                      <a:picLocks noChangeAspect="1"/>
                    </pic:cNvPicPr>
                  </pic:nvPicPr>
                  <pic:blipFill>
                    <a:blip r:embed="rId44"/>
                    <a:stretch>
                      <a:fillRect/>
                    </a:stretch>
                  </pic:blipFill>
                  <pic:spPr>
                    <a:xfrm>
                      <a:off x="0" y="0"/>
                      <a:ext cx="3924300" cy="2598420"/>
                    </a:xfrm>
                    <a:prstGeom prst="rect">
                      <a:avLst/>
                    </a:prstGeom>
                    <a:noFill/>
                    <a:ln>
                      <a:noFill/>
                    </a:ln>
                  </pic:spPr>
                </pic:pic>
              </a:graphicData>
            </a:graphic>
          </wp:inline>
        </w:drawing>
      </w:r>
    </w:p>
    <w:p>
      <w:pPr>
        <w:pStyle w:val="603"/>
        <w:rPr>
          <w:rFonts w:cs="Times New Roman"/>
        </w:rPr>
      </w:pPr>
      <w:r>
        <w:rPr>
          <w:rFonts w:cs="Times New Roman"/>
        </w:rPr>
        <w:t>图 7.5</w:t>
      </w:r>
      <w:r>
        <w:rPr>
          <w:rFonts w:cs="Times New Roman"/>
        </w:rPr>
        <w:noBreakHyphen/>
      </w:r>
      <w:r>
        <w:rPr>
          <w:rFonts w:cs="Times New Roman"/>
        </w:rPr>
        <w:t xml:space="preserve">2  </w:t>
      </w:r>
      <w:r>
        <w:rPr>
          <w:rFonts w:hint="eastAsia" w:cs="Times New Roman"/>
          <w:color w:val="FF0000"/>
        </w:rPr>
        <w:t>湖滨商业街</w:t>
      </w:r>
      <w:r>
        <w:rPr>
          <w:rFonts w:cs="Times New Roman"/>
        </w:rPr>
        <w:t>区域5G站址分布情况图</w:t>
      </w:r>
    </w:p>
    <w:p>
      <w:pPr>
        <w:ind w:firstLine="480"/>
        <w:rPr>
          <w:rFonts w:cs="Times New Roman"/>
        </w:rPr>
      </w:pPr>
      <w:r>
        <w:rPr>
          <w:rFonts w:cs="Times New Roman"/>
        </w:rPr>
        <w:t>针对上述所选站址进行勘察，</w:t>
      </w:r>
      <w:r>
        <w:rPr>
          <w:rFonts w:hint="eastAsia" w:cs="Times New Roman"/>
        </w:rPr>
        <w:t>湖滨路、湖滨路南利旧原有抱杆，满福星购物中心、欧尚超市楼顶、五院、夏家边、景丽东苑、蠡湖卫生院、景丽东苑电信、无锡水表厂新增抱杆，水秀新村搬迁整合现有天面，空出抱杆新增5G,美湖家园东新增美化方柱，</w:t>
      </w:r>
      <w:r>
        <w:rPr>
          <w:rFonts w:cs="Times New Roman"/>
        </w:rPr>
        <w:t>具体设置方案如下：</w:t>
      </w:r>
    </w:p>
    <w:tbl>
      <w:tblPr>
        <w:tblStyle w:val="63"/>
        <w:tblpPr w:leftFromText="180" w:rightFromText="180" w:vertAnchor="text" w:horzAnchor="page" w:tblpX="2331" w:tblpY="933"/>
        <w:tblOverlap w:val="never"/>
        <w:tblW w:w="7726" w:type="dxa"/>
        <w:tblInd w:w="0" w:type="dxa"/>
        <w:tblLayout w:type="fixed"/>
        <w:tblCellMar>
          <w:top w:w="0" w:type="dxa"/>
          <w:left w:w="108" w:type="dxa"/>
          <w:bottom w:w="0" w:type="dxa"/>
          <w:right w:w="108" w:type="dxa"/>
        </w:tblCellMar>
      </w:tblPr>
      <w:tblGrid>
        <w:gridCol w:w="1820"/>
        <w:gridCol w:w="571"/>
        <w:gridCol w:w="1726"/>
        <w:gridCol w:w="1152"/>
        <w:gridCol w:w="1547"/>
        <w:gridCol w:w="910"/>
      </w:tblGrid>
      <w:tr>
        <w:tblPrEx>
          <w:tblCellMar>
            <w:top w:w="0" w:type="dxa"/>
            <w:left w:w="108" w:type="dxa"/>
            <w:bottom w:w="0" w:type="dxa"/>
            <w:right w:w="108" w:type="dxa"/>
          </w:tblCellMar>
        </w:tblPrEx>
        <w:trPr>
          <w:trHeight w:val="422" w:hRule="atLeast"/>
          <w:tblHeader/>
        </w:trPr>
        <w:tc>
          <w:tcPr>
            <w:tcW w:w="182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rPr>
                <w:rFonts w:hint="eastAsia"/>
              </w:rPr>
              <w:t>站名</w:t>
            </w:r>
          </w:p>
        </w:tc>
        <w:tc>
          <w:tcPr>
            <w:tcW w:w="571"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站高</w:t>
            </w:r>
          </w:p>
        </w:tc>
        <w:tc>
          <w:tcPr>
            <w:tcW w:w="1726"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区域内5G最近站间距</w:t>
            </w:r>
          </w:p>
        </w:tc>
        <w:tc>
          <w:tcPr>
            <w:tcW w:w="1152"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天面改造方案</w:t>
            </w:r>
          </w:p>
        </w:tc>
        <w:tc>
          <w:tcPr>
            <w:tcW w:w="1547"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方位角</w:t>
            </w:r>
          </w:p>
        </w:tc>
        <w:tc>
          <w:tcPr>
            <w:tcW w:w="910" w:type="dxa"/>
            <w:tcBorders>
              <w:top w:val="single" w:color="auto" w:sz="4" w:space="0"/>
              <w:left w:val="nil"/>
              <w:bottom w:val="single" w:color="auto" w:sz="4" w:space="0"/>
              <w:right w:val="single" w:color="auto" w:sz="4" w:space="0"/>
            </w:tcBorders>
            <w:shd w:val="clear" w:color="auto" w:fill="auto"/>
            <w:vAlign w:val="center"/>
          </w:tcPr>
          <w:p>
            <w:pPr>
              <w:pStyle w:val="290"/>
            </w:pPr>
            <w:r>
              <w:rPr>
                <w:rFonts w:hint="eastAsia"/>
              </w:rPr>
              <w:t>下倾角</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湖滨路</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29</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260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利旧抱杆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75/130/280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湖滨路南</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29</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218</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利旧抱杆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10/140/220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10/6/7</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满福星购物中心</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45</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161</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120/260/350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欧尚超市楼顶</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45</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110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30/120/245</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水秀新村搬迁</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45</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250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整合天面</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80/140/280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五院</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281</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70/150/280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夏家边</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311</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80/170/330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10/9/6</w:t>
            </w:r>
          </w:p>
        </w:tc>
      </w:tr>
      <w:tr>
        <w:tblPrEx>
          <w:tblCellMar>
            <w:top w:w="0" w:type="dxa"/>
            <w:left w:w="108" w:type="dxa"/>
            <w:bottom w:w="0" w:type="dxa"/>
            <w:right w:w="108" w:type="dxa"/>
          </w:tblCellMar>
        </w:tblPrEx>
        <w:trPr>
          <w:trHeight w:val="408"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景丽东苑</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318</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70/120/295</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6/6/8</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蠡湖卫生院</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24</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240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330/70/150/250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6/6/8</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景丽东苑电信</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24</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266</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0/140/250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美湖家园东</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24</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260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新增美化方柱</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120/210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7/7</w:t>
            </w:r>
          </w:p>
        </w:tc>
      </w:tr>
      <w:tr>
        <w:tblPrEx>
          <w:tblCellMar>
            <w:top w:w="0" w:type="dxa"/>
            <w:left w:w="108" w:type="dxa"/>
            <w:bottom w:w="0" w:type="dxa"/>
            <w:right w:w="108" w:type="dxa"/>
          </w:tblCellMar>
        </w:tblPrEx>
        <w:trPr>
          <w:trHeight w:val="299" w:hRule="atLeast"/>
        </w:trPr>
        <w:tc>
          <w:tcPr>
            <w:tcW w:w="1820" w:type="dxa"/>
            <w:tcBorders>
              <w:top w:val="nil"/>
              <w:left w:val="single" w:color="auto" w:sz="4" w:space="0"/>
              <w:bottom w:val="single" w:color="auto" w:sz="4" w:space="0"/>
              <w:right w:val="single" w:color="auto" w:sz="4" w:space="0"/>
            </w:tcBorders>
            <w:shd w:val="clear" w:color="auto" w:fill="auto"/>
            <w:vAlign w:val="center"/>
          </w:tcPr>
          <w:p>
            <w:pPr>
              <w:pStyle w:val="290"/>
            </w:pPr>
            <w:r>
              <w:rPr>
                <w:rFonts w:hint="eastAsia"/>
              </w:rPr>
              <w:t>无锡水表厂</w:t>
            </w:r>
          </w:p>
        </w:tc>
        <w:tc>
          <w:tcPr>
            <w:tcW w:w="571"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726" w:type="dxa"/>
            <w:tcBorders>
              <w:top w:val="nil"/>
              <w:left w:val="nil"/>
              <w:bottom w:val="single" w:color="auto" w:sz="4" w:space="0"/>
              <w:right w:val="single" w:color="auto" w:sz="4" w:space="0"/>
            </w:tcBorders>
            <w:shd w:val="clear" w:color="auto" w:fill="auto"/>
            <w:vAlign w:val="center"/>
          </w:tcPr>
          <w:p>
            <w:pPr>
              <w:pStyle w:val="290"/>
            </w:pPr>
            <w:r>
              <w:rPr>
                <w:rFonts w:hint="eastAsia"/>
              </w:rPr>
              <w:t>210</w:t>
            </w:r>
          </w:p>
        </w:tc>
        <w:tc>
          <w:tcPr>
            <w:tcW w:w="1152" w:type="dxa"/>
            <w:tcBorders>
              <w:top w:val="nil"/>
              <w:left w:val="nil"/>
              <w:bottom w:val="single" w:color="auto" w:sz="4" w:space="0"/>
              <w:right w:val="single" w:color="auto" w:sz="4" w:space="0"/>
            </w:tcBorders>
            <w:shd w:val="clear" w:color="auto" w:fill="auto"/>
            <w:vAlign w:val="center"/>
          </w:tcPr>
          <w:p>
            <w:pPr>
              <w:pStyle w:val="290"/>
            </w:pPr>
            <w:r>
              <w:rPr>
                <w:rFonts w:hint="eastAsia"/>
              </w:rPr>
              <w:t>新增抱杆</w:t>
            </w:r>
          </w:p>
        </w:tc>
        <w:tc>
          <w:tcPr>
            <w:tcW w:w="1547" w:type="dxa"/>
            <w:tcBorders>
              <w:top w:val="nil"/>
              <w:left w:val="nil"/>
              <w:bottom w:val="single" w:color="auto" w:sz="4" w:space="0"/>
              <w:right w:val="single" w:color="auto" w:sz="4" w:space="0"/>
            </w:tcBorders>
            <w:shd w:val="clear" w:color="auto" w:fill="auto"/>
            <w:vAlign w:val="center"/>
          </w:tcPr>
          <w:p>
            <w:pPr>
              <w:pStyle w:val="290"/>
            </w:pPr>
            <w:r>
              <w:rPr>
                <w:rFonts w:hint="eastAsia"/>
              </w:rPr>
              <w:t>0/120/260</w:t>
            </w:r>
          </w:p>
        </w:tc>
        <w:tc>
          <w:tcPr>
            <w:tcW w:w="910" w:type="dxa"/>
            <w:tcBorders>
              <w:top w:val="nil"/>
              <w:left w:val="nil"/>
              <w:bottom w:val="single" w:color="auto" w:sz="4" w:space="0"/>
              <w:right w:val="single" w:color="auto" w:sz="4" w:space="0"/>
            </w:tcBorders>
            <w:shd w:val="clear" w:color="auto" w:fill="auto"/>
            <w:vAlign w:val="center"/>
          </w:tcPr>
          <w:p>
            <w:pPr>
              <w:pStyle w:val="290"/>
            </w:pPr>
            <w:r>
              <w:rPr>
                <w:rFonts w:hint="eastAsia"/>
              </w:rPr>
              <w:t>6/6/6</w:t>
            </w:r>
          </w:p>
        </w:tc>
      </w:tr>
    </w:tbl>
    <w:p>
      <w:pPr>
        <w:pStyle w:val="603"/>
        <w:rPr>
          <w:rFonts w:cs="Times New Roman"/>
        </w:rPr>
      </w:pPr>
      <w:r>
        <w:rPr>
          <w:rFonts w:cs="Times New Roman"/>
        </w:rPr>
        <w:t xml:space="preserve">表7.5-2 </w:t>
      </w:r>
      <w:r>
        <w:rPr>
          <w:rFonts w:hint="eastAsia" w:cs="Times New Roman"/>
        </w:rPr>
        <w:t>湖滨商业街</w:t>
      </w:r>
      <w:r>
        <w:rPr>
          <w:rFonts w:cs="Times New Roman"/>
          <w:color w:val="FF0000"/>
        </w:rPr>
        <w:t>区域5G基站方案汇总表</w:t>
      </w:r>
    </w:p>
    <w:p>
      <w:pPr>
        <w:pStyle w:val="125"/>
        <w:ind w:firstLine="0" w:firstLineChars="0"/>
        <w:rPr>
          <w:rFonts w:cs="Times New Roman"/>
        </w:rPr>
      </w:pPr>
    </w:p>
    <w:p>
      <w:pPr>
        <w:ind w:firstLine="480"/>
        <w:rPr>
          <w:rFonts w:cs="Times New Roman"/>
        </w:rPr>
      </w:pPr>
      <w:r>
        <w:rPr>
          <w:rFonts w:cs="Times New Roman"/>
        </w:rPr>
        <w:t>场景2：</w:t>
      </w:r>
      <w:r>
        <w:rPr>
          <w:rFonts w:hint="eastAsia" w:cs="Times New Roman"/>
        </w:rPr>
        <w:t>高校</w:t>
      </w:r>
    </w:p>
    <w:p>
      <w:pPr>
        <w:ind w:firstLine="199" w:firstLineChars="83"/>
        <w:rPr>
          <w:rFonts w:cs="Times New Roman"/>
          <w:lang w:val="en-AU"/>
        </w:rPr>
      </w:pPr>
      <w:r>
        <w:rPr>
          <w:rFonts w:cs="Times New Roman"/>
          <w:lang w:val="en-AU"/>
        </w:rPr>
        <w:t>（1）场景描述：</w:t>
      </w:r>
    </w:p>
    <w:p>
      <w:pPr>
        <w:ind w:firstLine="480"/>
        <w:rPr>
          <w:rFonts w:cs="Times New Roman"/>
        </w:rPr>
      </w:pPr>
      <w:r>
        <w:rPr>
          <w:rFonts w:cs="Times New Roman"/>
          <w:lang w:val="en-AU"/>
        </w:rPr>
        <w:t>本区域</w:t>
      </w:r>
      <w:r>
        <w:rPr>
          <w:rFonts w:hint="eastAsia" w:cs="Times New Roman"/>
        </w:rPr>
        <w:t>江南大学城，周边包含江南大学，无锡职业学院等两所大学，占地约4平方公里，</w:t>
      </w:r>
      <w:r>
        <w:rPr>
          <w:rFonts w:cs="Times New Roman"/>
          <w:lang w:val="en-AU"/>
        </w:rPr>
        <w:t>该区域内</w:t>
      </w:r>
      <w:r>
        <w:rPr>
          <w:rFonts w:hint="eastAsia" w:cs="Times New Roman"/>
        </w:rPr>
        <w:t>南</w:t>
      </w:r>
      <w:r>
        <w:rPr>
          <w:rFonts w:cs="Times New Roman"/>
          <w:lang w:val="en-AU"/>
        </w:rPr>
        <w:t>侧部分为</w:t>
      </w:r>
      <w:r>
        <w:rPr>
          <w:rFonts w:hint="eastAsia" w:cs="Times New Roman"/>
        </w:rPr>
        <w:t>江南大学宿舍楼，食堂，北侧为无锡职业学院校区，由于用户较多，业</w:t>
      </w:r>
      <w:r>
        <w:rPr>
          <w:rFonts w:cs="Times New Roman"/>
        </w:rPr>
        <w:t>务需求高，有较高保障需求</w:t>
      </w:r>
      <w:r>
        <w:rPr>
          <w:rFonts w:hint="eastAsia" w:cs="Times New Roman"/>
        </w:rPr>
        <w:t>。</w:t>
      </w:r>
    </w:p>
    <w:p>
      <w:pPr>
        <w:ind w:firstLine="199" w:firstLineChars="83"/>
        <w:rPr>
          <w:rFonts w:cs="Times New Roman"/>
          <w:lang w:val="en-AU"/>
        </w:rPr>
      </w:pPr>
      <w:r>
        <w:rPr>
          <w:rFonts w:cs="Times New Roman"/>
          <w:lang w:val="en-AU"/>
        </w:rPr>
        <w:t>（2）覆盖方案及站址设置方案：</w:t>
      </w:r>
    </w:p>
    <w:p>
      <w:pPr>
        <w:ind w:firstLine="480"/>
        <w:rPr>
          <w:rFonts w:cs="Times New Roman"/>
          <w:lang w:val="en-AU"/>
        </w:rPr>
      </w:pPr>
      <w:r>
        <w:rPr>
          <w:rFonts w:cs="Times New Roman"/>
          <w:lang w:val="en-AU"/>
        </w:rPr>
        <w:t>本区域内已有物理站址</w:t>
      </w:r>
      <w:r>
        <w:rPr>
          <w:rFonts w:hint="eastAsia" w:cs="Times New Roman"/>
        </w:rPr>
        <w:t>26</w:t>
      </w:r>
      <w:r>
        <w:rPr>
          <w:rFonts w:cs="Times New Roman"/>
          <w:lang w:val="en-AU"/>
        </w:rPr>
        <w:t>个，站点分布情况如下图所示：</w:t>
      </w:r>
    </w:p>
    <w:p>
      <w:pPr>
        <w:pStyle w:val="125"/>
        <w:ind w:firstLine="0" w:firstLineChars="0"/>
        <w:jc w:val="center"/>
        <w:rPr>
          <w:rFonts w:cs="Times New Roman"/>
          <w:lang w:val="en-AU"/>
        </w:rPr>
      </w:pPr>
      <w:r>
        <w:drawing>
          <wp:inline distT="0" distB="0" distL="114300" distR="114300">
            <wp:extent cx="4183380" cy="3115945"/>
            <wp:effectExtent l="0" t="0" r="7620" b="8255"/>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45"/>
                    <a:stretch>
                      <a:fillRect/>
                    </a:stretch>
                  </pic:blipFill>
                  <pic:spPr>
                    <a:xfrm>
                      <a:off x="0" y="0"/>
                      <a:ext cx="4183380" cy="3115945"/>
                    </a:xfrm>
                    <a:prstGeom prst="rect">
                      <a:avLst/>
                    </a:prstGeom>
                    <a:noFill/>
                    <a:ln>
                      <a:noFill/>
                    </a:ln>
                  </pic:spPr>
                </pic:pic>
              </a:graphicData>
            </a:graphic>
          </wp:inline>
        </w:drawing>
      </w:r>
    </w:p>
    <w:p>
      <w:pPr>
        <w:pStyle w:val="603"/>
        <w:rPr>
          <w:rFonts w:cs="Times New Roman"/>
        </w:rPr>
      </w:pPr>
      <w:r>
        <w:rPr>
          <w:rFonts w:cs="Times New Roman"/>
        </w:rPr>
        <w:t>图7.5</w:t>
      </w:r>
      <w:r>
        <w:rPr>
          <w:rFonts w:cs="Times New Roman"/>
        </w:rPr>
        <w:noBreakHyphen/>
      </w:r>
      <w:r>
        <w:rPr>
          <w:rFonts w:cs="Times New Roman"/>
        </w:rPr>
        <w:t xml:space="preserve">3  </w:t>
      </w:r>
      <w:r>
        <w:rPr>
          <w:rFonts w:hint="eastAsia" w:cs="Times New Roman"/>
        </w:rPr>
        <w:t>江南大学</w:t>
      </w:r>
      <w:r>
        <w:rPr>
          <w:rFonts w:cs="Times New Roman"/>
        </w:rPr>
        <w:t>区域范围及已有站址分布情况</w:t>
      </w:r>
    </w:p>
    <w:p>
      <w:pPr>
        <w:ind w:firstLine="480"/>
        <w:rPr>
          <w:rFonts w:cs="Times New Roman"/>
        </w:rPr>
      </w:pPr>
      <w:r>
        <w:rPr>
          <w:rFonts w:cs="Times New Roman"/>
        </w:rPr>
        <w:t>区域内现网站址包括2G GSM900、DCS1800，4G TDD-F、TDD-D</w:t>
      </w:r>
      <w:r>
        <w:rPr>
          <w:rFonts w:hint="eastAsia" w:cs="Times New Roman"/>
        </w:rPr>
        <w:t>，</w:t>
      </w:r>
      <w:r>
        <w:rPr>
          <w:rFonts w:cs="Times New Roman"/>
        </w:rPr>
        <w:t>FDD900，FDD1800多个系统，规模明细如下表：</w:t>
      </w:r>
    </w:p>
    <w:p>
      <w:pPr>
        <w:pStyle w:val="603"/>
        <w:rPr>
          <w:rFonts w:cs="Times New Roman"/>
        </w:rPr>
      </w:pPr>
      <w:r>
        <w:rPr>
          <w:rFonts w:cs="Times New Roman"/>
        </w:rPr>
        <w:t xml:space="preserve">表7.5-3  </w:t>
      </w:r>
      <w:r>
        <w:rPr>
          <w:rFonts w:hint="eastAsia" w:cs="Times New Roman"/>
          <w:color w:val="FF0000"/>
        </w:rPr>
        <w:t>江南大学</w:t>
      </w:r>
      <w:r>
        <w:rPr>
          <w:rFonts w:cs="Times New Roman"/>
          <w:color w:val="FF0000"/>
        </w:rPr>
        <w:t>区域现网系统规模</w:t>
      </w:r>
    </w:p>
    <w:tbl>
      <w:tblPr>
        <w:tblStyle w:val="63"/>
        <w:tblW w:w="8440" w:type="dxa"/>
        <w:jc w:val="center"/>
        <w:tblLayout w:type="fixed"/>
        <w:tblCellMar>
          <w:top w:w="0" w:type="dxa"/>
          <w:left w:w="108" w:type="dxa"/>
          <w:bottom w:w="0" w:type="dxa"/>
          <w:right w:w="108" w:type="dxa"/>
        </w:tblCellMar>
      </w:tblPr>
      <w:tblGrid>
        <w:gridCol w:w="1194"/>
        <w:gridCol w:w="987"/>
        <w:gridCol w:w="1070"/>
        <w:gridCol w:w="952"/>
        <w:gridCol w:w="1067"/>
        <w:gridCol w:w="870"/>
        <w:gridCol w:w="835"/>
        <w:gridCol w:w="870"/>
        <w:gridCol w:w="595"/>
      </w:tblGrid>
      <w:tr>
        <w:tblPrEx>
          <w:tblCellMar>
            <w:top w:w="0" w:type="dxa"/>
            <w:left w:w="108" w:type="dxa"/>
            <w:bottom w:w="0" w:type="dxa"/>
            <w:right w:w="108" w:type="dxa"/>
          </w:tblCellMar>
        </w:tblPrEx>
        <w:trPr>
          <w:trHeight w:val="181" w:hRule="atLeast"/>
          <w:jc w:val="center"/>
        </w:trPr>
        <w:tc>
          <w:tcPr>
            <w:tcW w:w="7845" w:type="dxa"/>
            <w:gridSpan w:val="8"/>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区域内各系统站点规模</w:t>
            </w:r>
          </w:p>
        </w:tc>
        <w:tc>
          <w:tcPr>
            <w:tcW w:w="595"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181" w:hRule="atLeast"/>
          <w:jc w:val="center"/>
        </w:trPr>
        <w:tc>
          <w:tcPr>
            <w:tcW w:w="1194" w:type="dxa"/>
            <w:tcBorders>
              <w:top w:val="nil"/>
              <w:left w:val="single" w:color="auto" w:sz="4" w:space="0"/>
              <w:bottom w:val="single" w:color="auto" w:sz="4" w:space="0"/>
              <w:right w:val="single" w:color="auto" w:sz="4" w:space="0"/>
            </w:tcBorders>
            <w:shd w:val="clear" w:color="auto" w:fill="auto"/>
            <w:vAlign w:val="center"/>
          </w:tcPr>
          <w:p>
            <w:pPr>
              <w:pStyle w:val="290"/>
            </w:pPr>
            <w:r>
              <w:t>网络系统</w:t>
            </w:r>
          </w:p>
        </w:tc>
        <w:tc>
          <w:tcPr>
            <w:tcW w:w="987" w:type="dxa"/>
            <w:tcBorders>
              <w:top w:val="nil"/>
              <w:left w:val="nil"/>
              <w:bottom w:val="single" w:color="auto" w:sz="4" w:space="0"/>
              <w:right w:val="single" w:color="auto" w:sz="4" w:space="0"/>
            </w:tcBorders>
            <w:shd w:val="clear" w:color="auto" w:fill="auto"/>
            <w:vAlign w:val="center"/>
          </w:tcPr>
          <w:p>
            <w:pPr>
              <w:pStyle w:val="290"/>
            </w:pPr>
            <w:r>
              <w:t>GSM900</w:t>
            </w:r>
          </w:p>
        </w:tc>
        <w:tc>
          <w:tcPr>
            <w:tcW w:w="1070" w:type="dxa"/>
            <w:tcBorders>
              <w:top w:val="nil"/>
              <w:left w:val="nil"/>
              <w:bottom w:val="single" w:color="auto" w:sz="4" w:space="0"/>
              <w:right w:val="single" w:color="auto" w:sz="4" w:space="0"/>
            </w:tcBorders>
            <w:shd w:val="clear" w:color="auto" w:fill="auto"/>
            <w:vAlign w:val="center"/>
          </w:tcPr>
          <w:p>
            <w:pPr>
              <w:pStyle w:val="290"/>
            </w:pPr>
            <w:r>
              <w:t>DCS1800</w:t>
            </w:r>
          </w:p>
        </w:tc>
        <w:tc>
          <w:tcPr>
            <w:tcW w:w="952" w:type="dxa"/>
            <w:tcBorders>
              <w:top w:val="nil"/>
              <w:left w:val="nil"/>
              <w:bottom w:val="single" w:color="auto" w:sz="4" w:space="0"/>
              <w:right w:val="single" w:color="auto" w:sz="4" w:space="0"/>
            </w:tcBorders>
            <w:shd w:val="clear" w:color="auto" w:fill="auto"/>
            <w:vAlign w:val="center"/>
          </w:tcPr>
          <w:p>
            <w:pPr>
              <w:pStyle w:val="290"/>
            </w:pPr>
            <w:r>
              <w:t>FDD900</w:t>
            </w:r>
          </w:p>
        </w:tc>
        <w:tc>
          <w:tcPr>
            <w:tcW w:w="1067" w:type="dxa"/>
            <w:tcBorders>
              <w:top w:val="nil"/>
              <w:left w:val="nil"/>
              <w:bottom w:val="single" w:color="auto" w:sz="4" w:space="0"/>
              <w:right w:val="single" w:color="auto" w:sz="4" w:space="0"/>
            </w:tcBorders>
            <w:shd w:val="clear" w:color="auto" w:fill="auto"/>
            <w:vAlign w:val="center"/>
          </w:tcPr>
          <w:p>
            <w:pPr>
              <w:pStyle w:val="290"/>
            </w:pPr>
            <w:r>
              <w:t>FDD1800</w:t>
            </w:r>
          </w:p>
        </w:tc>
        <w:tc>
          <w:tcPr>
            <w:tcW w:w="870" w:type="dxa"/>
            <w:tcBorders>
              <w:top w:val="nil"/>
              <w:left w:val="nil"/>
              <w:bottom w:val="single" w:color="auto" w:sz="4" w:space="0"/>
              <w:right w:val="single" w:color="auto" w:sz="4" w:space="0"/>
            </w:tcBorders>
            <w:shd w:val="clear" w:color="auto" w:fill="auto"/>
            <w:vAlign w:val="center"/>
          </w:tcPr>
          <w:p>
            <w:pPr>
              <w:pStyle w:val="290"/>
            </w:pPr>
            <w:r>
              <w:t>TDD-A</w:t>
            </w:r>
          </w:p>
        </w:tc>
        <w:tc>
          <w:tcPr>
            <w:tcW w:w="835" w:type="dxa"/>
            <w:tcBorders>
              <w:top w:val="nil"/>
              <w:left w:val="nil"/>
              <w:bottom w:val="single" w:color="auto" w:sz="4" w:space="0"/>
              <w:right w:val="single" w:color="auto" w:sz="4" w:space="0"/>
            </w:tcBorders>
            <w:shd w:val="clear" w:color="auto" w:fill="auto"/>
            <w:vAlign w:val="center"/>
          </w:tcPr>
          <w:p>
            <w:pPr>
              <w:pStyle w:val="290"/>
            </w:pPr>
            <w:r>
              <w:t>TDD-F</w:t>
            </w:r>
          </w:p>
        </w:tc>
        <w:tc>
          <w:tcPr>
            <w:tcW w:w="870" w:type="dxa"/>
            <w:tcBorders>
              <w:top w:val="nil"/>
              <w:left w:val="nil"/>
              <w:bottom w:val="single" w:color="auto" w:sz="4" w:space="0"/>
              <w:right w:val="single" w:color="auto" w:sz="4" w:space="0"/>
            </w:tcBorders>
            <w:shd w:val="clear" w:color="auto" w:fill="auto"/>
            <w:vAlign w:val="center"/>
          </w:tcPr>
          <w:p>
            <w:pPr>
              <w:pStyle w:val="290"/>
            </w:pPr>
            <w:r>
              <w:t>TDD-D</w:t>
            </w:r>
          </w:p>
        </w:tc>
        <w:tc>
          <w:tcPr>
            <w:tcW w:w="595" w:type="dxa"/>
            <w:tcBorders>
              <w:top w:val="nil"/>
              <w:left w:val="nil"/>
              <w:bottom w:val="single" w:color="auto" w:sz="4" w:space="0"/>
              <w:right w:val="single" w:color="auto" w:sz="4" w:space="0"/>
            </w:tcBorders>
          </w:tcPr>
          <w:p>
            <w:pPr>
              <w:pStyle w:val="290"/>
            </w:pPr>
            <w:r>
              <w:t>物理站址</w:t>
            </w:r>
          </w:p>
        </w:tc>
      </w:tr>
      <w:tr>
        <w:tblPrEx>
          <w:tblCellMar>
            <w:top w:w="0" w:type="dxa"/>
            <w:left w:w="108" w:type="dxa"/>
            <w:bottom w:w="0" w:type="dxa"/>
            <w:right w:w="108" w:type="dxa"/>
          </w:tblCellMar>
        </w:tblPrEx>
        <w:trPr>
          <w:trHeight w:val="181" w:hRule="atLeast"/>
          <w:jc w:val="center"/>
        </w:trPr>
        <w:tc>
          <w:tcPr>
            <w:tcW w:w="1194" w:type="dxa"/>
            <w:tcBorders>
              <w:top w:val="nil"/>
              <w:left w:val="single" w:color="auto" w:sz="4" w:space="0"/>
              <w:bottom w:val="single" w:color="auto" w:sz="4" w:space="0"/>
              <w:right w:val="single" w:color="auto" w:sz="4" w:space="0"/>
            </w:tcBorders>
            <w:shd w:val="clear" w:color="auto" w:fill="auto"/>
            <w:vAlign w:val="center"/>
          </w:tcPr>
          <w:p>
            <w:pPr>
              <w:pStyle w:val="290"/>
            </w:pPr>
            <w:r>
              <w:t>站点规模</w:t>
            </w:r>
          </w:p>
        </w:tc>
        <w:tc>
          <w:tcPr>
            <w:tcW w:w="987"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1070"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952"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r>
              <w:t>2</w:t>
            </w:r>
          </w:p>
        </w:tc>
        <w:tc>
          <w:tcPr>
            <w:tcW w:w="1067"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0</w:t>
            </w:r>
          </w:p>
        </w:tc>
        <w:tc>
          <w:tcPr>
            <w:tcW w:w="835"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870" w:type="dxa"/>
            <w:tcBorders>
              <w:top w:val="nil"/>
              <w:left w:val="nil"/>
              <w:bottom w:val="single" w:color="auto" w:sz="4" w:space="0"/>
              <w:right w:val="single" w:color="auto" w:sz="4" w:space="0"/>
            </w:tcBorders>
            <w:shd w:val="clear" w:color="auto" w:fill="auto"/>
            <w:vAlign w:val="center"/>
          </w:tcPr>
          <w:p>
            <w:pPr>
              <w:pStyle w:val="290"/>
            </w:pPr>
            <w:r>
              <w:rPr>
                <w:rFonts w:hint="eastAsia"/>
              </w:rPr>
              <w:t>26</w:t>
            </w:r>
          </w:p>
        </w:tc>
        <w:tc>
          <w:tcPr>
            <w:tcW w:w="595" w:type="dxa"/>
            <w:tcBorders>
              <w:top w:val="nil"/>
              <w:left w:val="nil"/>
              <w:bottom w:val="single" w:color="auto" w:sz="4" w:space="0"/>
              <w:right w:val="single" w:color="auto" w:sz="4" w:space="0"/>
            </w:tcBorders>
          </w:tcPr>
          <w:p>
            <w:pPr>
              <w:pStyle w:val="290"/>
            </w:pPr>
            <w:r>
              <w:rPr>
                <w:rFonts w:hint="eastAsia"/>
              </w:rPr>
              <w:t>31</w:t>
            </w:r>
          </w:p>
        </w:tc>
      </w:tr>
    </w:tbl>
    <w:p>
      <w:pPr>
        <w:ind w:firstLine="480"/>
        <w:rPr>
          <w:rFonts w:cs="Times New Roman"/>
          <w:lang w:val="en-AU"/>
        </w:rPr>
      </w:pPr>
      <w:r>
        <w:rPr>
          <w:rFonts w:cs="Times New Roman"/>
          <w:lang w:val="en-AU"/>
        </w:rPr>
        <w:t>本区域D频段宏站基本实现连续覆盖，可以满足本期5G覆盖要求。本方案中5G站点选址基于现网D频段站址，方案站点中不存在“超高”、“超低”站点。</w:t>
      </w:r>
    </w:p>
    <w:p>
      <w:pPr>
        <w:ind w:firstLine="480"/>
        <w:rPr>
          <w:rFonts w:cs="Times New Roman"/>
        </w:rPr>
      </w:pPr>
      <w:r>
        <w:rPr>
          <w:rFonts w:hint="eastAsia" w:cs="Times New Roman"/>
        </w:rPr>
        <w:t>本期工程建设区域内5个宏基站，</w:t>
      </w:r>
      <w:r>
        <w:rPr>
          <w:rFonts w:cs="Times New Roman"/>
          <w:lang w:val="en-AU"/>
        </w:rPr>
        <w:t>全部利旧原有D频段站址</w:t>
      </w:r>
    </w:p>
    <w:p>
      <w:pPr>
        <w:ind w:firstLine="480"/>
        <w:rPr>
          <w:rFonts w:cs="Times New Roman"/>
          <w:lang w:val="en-AU"/>
        </w:rPr>
      </w:pPr>
      <w:r>
        <w:rPr>
          <w:rFonts w:cs="Times New Roman"/>
          <w:lang w:val="en-AU"/>
        </w:rPr>
        <w:t>根据以上站址规划，</w:t>
      </w:r>
      <w:r>
        <w:rPr>
          <w:rFonts w:hint="eastAsia" w:cs="Times New Roman"/>
        </w:rPr>
        <w:t>江大高校园区</w:t>
      </w:r>
      <w:r>
        <w:rPr>
          <w:rFonts w:cs="Times New Roman"/>
          <w:lang w:val="en-AU"/>
        </w:rPr>
        <w:t>5G站点全部利旧原有D频段站址，</w:t>
      </w:r>
      <w:r>
        <w:rPr>
          <w:rFonts w:hint="eastAsia" w:cs="Times New Roman"/>
          <w:lang w:val="en-AU"/>
        </w:rPr>
        <w:t>职院南</w:t>
      </w:r>
      <w:r>
        <w:rPr>
          <w:rFonts w:hint="eastAsia" w:cs="Times New Roman"/>
        </w:rPr>
        <w:t>、职院中、职院西、均新增3根抱杆，无锡职业技术学院新增美化方柱，</w:t>
      </w:r>
      <w:r>
        <w:rPr>
          <w:rFonts w:cs="Times New Roman"/>
        </w:rPr>
        <w:t>具体基站设置如下表所示：</w:t>
      </w:r>
    </w:p>
    <w:p>
      <w:pPr>
        <w:pStyle w:val="603"/>
        <w:rPr>
          <w:rFonts w:cs="Times New Roman"/>
        </w:rPr>
      </w:pPr>
      <w:r>
        <w:rPr>
          <w:rFonts w:cs="Times New Roman"/>
        </w:rPr>
        <w:t xml:space="preserve">表7.5-4  </w:t>
      </w:r>
      <w:r>
        <w:rPr>
          <w:rFonts w:hint="eastAsia" w:cs="Times New Roman"/>
        </w:rPr>
        <w:t>江南大学</w:t>
      </w:r>
      <w:r>
        <w:rPr>
          <w:rFonts w:cs="Times New Roman"/>
          <w:color w:val="FF0000"/>
        </w:rPr>
        <w:t>区域5G基站方案汇总表</w:t>
      </w:r>
    </w:p>
    <w:tbl>
      <w:tblPr>
        <w:tblStyle w:val="63"/>
        <w:tblW w:w="7046" w:type="dxa"/>
        <w:jc w:val="center"/>
        <w:tblLayout w:type="fixed"/>
        <w:tblCellMar>
          <w:top w:w="0" w:type="dxa"/>
          <w:left w:w="108" w:type="dxa"/>
          <w:bottom w:w="0" w:type="dxa"/>
          <w:right w:w="108" w:type="dxa"/>
        </w:tblCellMar>
      </w:tblPr>
      <w:tblGrid>
        <w:gridCol w:w="2459"/>
        <w:gridCol w:w="636"/>
        <w:gridCol w:w="2259"/>
        <w:gridCol w:w="846"/>
        <w:gridCol w:w="846"/>
      </w:tblGrid>
      <w:tr>
        <w:tblPrEx>
          <w:tblCellMar>
            <w:top w:w="0" w:type="dxa"/>
            <w:left w:w="108" w:type="dxa"/>
            <w:bottom w:w="0" w:type="dxa"/>
            <w:right w:w="108" w:type="dxa"/>
          </w:tblCellMar>
        </w:tblPrEx>
        <w:trPr>
          <w:trHeight w:val="270" w:hRule="atLeast"/>
          <w:tblHeader/>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站名</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站高</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区域内5G最近站间距</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方位角</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下倾角</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万顺路</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420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30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无锡职业技术学院</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370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100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职院南</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435</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200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270"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职院西</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310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r>
        <w:tblPrEx>
          <w:tblCellMar>
            <w:top w:w="0" w:type="dxa"/>
            <w:left w:w="108" w:type="dxa"/>
            <w:bottom w:w="0" w:type="dxa"/>
            <w:right w:w="108" w:type="dxa"/>
          </w:tblCellMar>
        </w:tblPrEx>
        <w:trPr>
          <w:trHeight w:val="666" w:hRule="atLeast"/>
          <w:jc w:val="center"/>
        </w:trPr>
        <w:tc>
          <w:tcPr>
            <w:tcW w:w="2459"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cs="Times New Roman"/>
                <w:shd w:val="clear" w:color="FFFFFF" w:fill="D9D9D9"/>
              </w:rPr>
            </w:pPr>
            <w:r>
              <w:rPr>
                <w:rFonts w:hint="eastAsia" w:cs="Times New Roman"/>
                <w:shd w:val="clear" w:color="FFFFFF" w:fill="D9D9D9"/>
              </w:rPr>
              <w:t>职院中</w:t>
            </w:r>
          </w:p>
        </w:tc>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26</w:t>
            </w:r>
          </w:p>
        </w:tc>
        <w:tc>
          <w:tcPr>
            <w:tcW w:w="22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rFonts w:hint="eastAsia"/>
                <w:shd w:val="clear" w:color="FFFFFF" w:fill="D9D9D9"/>
              </w:rPr>
              <w:t>410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310</w:t>
            </w:r>
          </w:p>
        </w:tc>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shd w:val="clear" w:color="FFFFFF" w:fill="D9D9D9"/>
              </w:rPr>
            </w:pPr>
            <w:r>
              <w:rPr>
                <w:shd w:val="clear" w:color="FFFFFF" w:fill="D9D9D9"/>
              </w:rPr>
              <w:t>9</w:t>
            </w:r>
          </w:p>
        </w:tc>
      </w:tr>
    </w:tbl>
    <w:p>
      <w:pPr>
        <w:pStyle w:val="125"/>
        <w:ind w:firstLine="0" w:firstLineChars="0"/>
        <w:rPr>
          <w:rFonts w:cs="Times New Roman"/>
          <w:highlight w:val="yellow"/>
        </w:rPr>
      </w:pPr>
    </w:p>
    <w:p>
      <w:pPr>
        <w:pStyle w:val="5"/>
        <w:rPr>
          <w:rFonts w:cs="Times New Roman"/>
        </w:rPr>
      </w:pPr>
      <w:bookmarkStart w:id="787" w:name="_Toc2868675"/>
      <w:bookmarkStart w:id="788" w:name="_Toc12897"/>
      <w:r>
        <w:rPr>
          <w:rFonts w:cs="Times New Roman"/>
        </w:rPr>
        <w:t>建设规模</w:t>
      </w:r>
      <w:bookmarkEnd w:id="787"/>
      <w:bookmarkEnd w:id="788"/>
    </w:p>
    <w:p>
      <w:pPr>
        <w:ind w:firstLine="480"/>
        <w:jc w:val="left"/>
        <w:rPr>
          <w:rFonts w:cs="Times New Roman"/>
        </w:rPr>
      </w:pPr>
      <w:r>
        <w:rPr>
          <w:rFonts w:cs="Times New Roman"/>
        </w:rPr>
        <w:t>本期工程在覆盖区域内共设置室外基站</w:t>
      </w:r>
      <w:r>
        <w:rPr>
          <w:rFonts w:hint="eastAsia" w:cs="Times New Roman"/>
        </w:rPr>
        <w:t>2074</w:t>
      </w:r>
      <w:r>
        <w:rPr>
          <w:rFonts w:cs="Times New Roman"/>
        </w:rPr>
        <w:t>个，其中2.6GHz 5G基站</w:t>
      </w:r>
      <w:r>
        <w:rPr>
          <w:rFonts w:hint="eastAsia" w:cs="Times New Roman"/>
        </w:rPr>
        <w:t>2074</w:t>
      </w:r>
      <w:r>
        <w:rPr>
          <w:rFonts w:cs="Times New Roman"/>
        </w:rPr>
        <w:t>个， 4.9GHz基站</w:t>
      </w:r>
      <w:r>
        <w:rPr>
          <w:rFonts w:hint="eastAsia" w:cs="Times New Roman"/>
        </w:rPr>
        <w:t>0</w:t>
      </w:r>
      <w:r>
        <w:rPr>
          <w:rFonts w:cs="Times New Roman"/>
        </w:rPr>
        <w:t>个。本工程建成后，</w:t>
      </w:r>
      <w:r>
        <w:rPr>
          <w:rFonts w:hint="eastAsia" w:cs="Times New Roman"/>
        </w:rPr>
        <w:t>无锡</w:t>
      </w:r>
      <w:r>
        <w:rPr>
          <w:rFonts w:cs="Times New Roman"/>
        </w:rPr>
        <w:t>移动共有5G基站</w:t>
      </w:r>
      <w:r>
        <w:rPr>
          <w:rFonts w:hint="eastAsia" w:cs="Times New Roman"/>
        </w:rPr>
        <w:t>2356</w:t>
      </w:r>
      <w:r>
        <w:rPr>
          <w:rFonts w:cs="Times New Roman"/>
        </w:rPr>
        <w:t>个。</w:t>
      </w:r>
    </w:p>
    <w:p>
      <w:pPr>
        <w:pStyle w:val="290"/>
      </w:pPr>
    </w:p>
    <w:p>
      <w:pPr>
        <w:pStyle w:val="290"/>
      </w:pPr>
    </w:p>
    <w:p>
      <w:pPr>
        <w:pStyle w:val="290"/>
      </w:pPr>
      <w:r>
        <w:t>表7.6-1  室外基站设置表</w:t>
      </w:r>
    </w:p>
    <w:tbl>
      <w:tblPr>
        <w:tblStyle w:val="63"/>
        <w:tblW w:w="8174" w:type="dxa"/>
        <w:tblInd w:w="93" w:type="dxa"/>
        <w:tblLayout w:type="fixed"/>
        <w:tblCellMar>
          <w:top w:w="0" w:type="dxa"/>
          <w:left w:w="108" w:type="dxa"/>
          <w:bottom w:w="0" w:type="dxa"/>
          <w:right w:w="108" w:type="dxa"/>
        </w:tblCellMar>
      </w:tblPr>
      <w:tblGrid>
        <w:gridCol w:w="523"/>
        <w:gridCol w:w="774"/>
        <w:gridCol w:w="1032"/>
        <w:gridCol w:w="942"/>
        <w:gridCol w:w="865"/>
        <w:gridCol w:w="903"/>
        <w:gridCol w:w="813"/>
        <w:gridCol w:w="864"/>
        <w:gridCol w:w="787"/>
        <w:gridCol w:w="671"/>
      </w:tblGrid>
      <w:tr>
        <w:tblPrEx>
          <w:tblCellMar>
            <w:top w:w="0" w:type="dxa"/>
            <w:left w:w="108" w:type="dxa"/>
            <w:bottom w:w="0" w:type="dxa"/>
            <w:right w:w="108" w:type="dxa"/>
          </w:tblCellMar>
        </w:tblPrEx>
        <w:trPr>
          <w:trHeight w:val="336" w:hRule="atLeast"/>
        </w:trPr>
        <w:tc>
          <w:tcPr>
            <w:tcW w:w="523"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rPr>
                <w:rFonts w:cs="Times New Roman"/>
                <w:b/>
                <w:bCs/>
                <w:kern w:val="0"/>
                <w:sz w:val="21"/>
              </w:rPr>
            </w:pPr>
            <w:r>
              <w:rPr>
                <w:rFonts w:cs="Times New Roman"/>
                <w:b/>
                <w:bCs/>
                <w:kern w:val="0"/>
                <w:sz w:val="21"/>
              </w:rPr>
              <w:t>区域名称</w:t>
            </w:r>
          </w:p>
        </w:tc>
        <w:tc>
          <w:tcPr>
            <w:tcW w:w="774"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区域类型</w:t>
            </w:r>
          </w:p>
        </w:tc>
        <w:tc>
          <w:tcPr>
            <w:tcW w:w="1032"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面积（km</w:t>
            </w:r>
            <w:r>
              <w:rPr>
                <w:rFonts w:cs="Times New Roman"/>
                <w:b/>
                <w:bCs/>
                <w:kern w:val="0"/>
                <w:sz w:val="21"/>
                <w:vertAlign w:val="superscript"/>
              </w:rPr>
              <w:t>2</w:t>
            </w:r>
            <w:r>
              <w:rPr>
                <w:rFonts w:cs="Times New Roman"/>
                <w:b/>
                <w:bCs/>
                <w:kern w:val="0"/>
                <w:sz w:val="21"/>
              </w:rPr>
              <w:t>）</w:t>
            </w:r>
          </w:p>
        </w:tc>
        <w:tc>
          <w:tcPr>
            <w:tcW w:w="4387" w:type="dxa"/>
            <w:gridSpan w:val="5"/>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kern w:val="0"/>
                <w:sz w:val="21"/>
              </w:rPr>
            </w:pPr>
            <w:r>
              <w:rPr>
                <w:rFonts w:cs="Times New Roman"/>
                <w:b/>
                <w:kern w:val="0"/>
                <w:sz w:val="21"/>
              </w:rPr>
              <w:t>2.6GHz频段</w:t>
            </w:r>
          </w:p>
        </w:tc>
        <w:tc>
          <w:tcPr>
            <w:tcW w:w="787"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b/>
                <w:kern w:val="0"/>
                <w:sz w:val="21"/>
              </w:rPr>
            </w:pPr>
            <w:r>
              <w:rPr>
                <w:rFonts w:cs="Times New Roman"/>
                <w:b/>
                <w:kern w:val="0"/>
                <w:sz w:val="21"/>
              </w:rPr>
              <w:t>4.9GHz频段</w:t>
            </w:r>
          </w:p>
        </w:tc>
        <w:tc>
          <w:tcPr>
            <w:tcW w:w="67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kern w:val="0"/>
                <w:sz w:val="21"/>
              </w:rPr>
            </w:pPr>
            <w:r>
              <w:rPr>
                <w:rFonts w:cs="Times New Roman"/>
                <w:b/>
                <w:kern w:val="0"/>
                <w:sz w:val="21"/>
              </w:rPr>
              <w:t>基站总数</w:t>
            </w:r>
          </w:p>
        </w:tc>
      </w:tr>
      <w:tr>
        <w:tblPrEx>
          <w:tblCellMar>
            <w:top w:w="0" w:type="dxa"/>
            <w:left w:w="108" w:type="dxa"/>
            <w:bottom w:w="0" w:type="dxa"/>
            <w:right w:w="108" w:type="dxa"/>
          </w:tblCellMar>
        </w:tblPrEx>
        <w:trPr>
          <w:trHeight w:val="792" w:hRule="atLeast"/>
        </w:trPr>
        <w:tc>
          <w:tcPr>
            <w:tcW w:w="523"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Times New Roman"/>
                <w:b/>
                <w:bCs/>
                <w:kern w:val="0"/>
                <w:sz w:val="21"/>
              </w:rPr>
            </w:pPr>
          </w:p>
        </w:tc>
        <w:tc>
          <w:tcPr>
            <w:tcW w:w="774"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Times New Roman"/>
                <w:b/>
                <w:bCs/>
                <w:kern w:val="0"/>
                <w:sz w:val="21"/>
              </w:rPr>
            </w:pPr>
          </w:p>
        </w:tc>
        <w:tc>
          <w:tcPr>
            <w:tcW w:w="1032"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Times New Roman"/>
                <w:b/>
                <w:bCs/>
                <w:kern w:val="0"/>
                <w:sz w:val="21"/>
              </w:rPr>
            </w:pP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64通道宏基站（个）</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32通道宏基站（个）</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8通道宏基站（个）</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宏基站平均站间距（米）</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4通道微站（个）</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b/>
                <w:bCs/>
                <w:kern w:val="0"/>
                <w:sz w:val="21"/>
              </w:rPr>
            </w:pPr>
            <w:r>
              <w:rPr>
                <w:rFonts w:cs="Times New Roman"/>
                <w:b/>
                <w:bCs/>
                <w:kern w:val="0"/>
                <w:sz w:val="21"/>
              </w:rPr>
              <w:t>5G基站数（个）</w:t>
            </w:r>
          </w:p>
        </w:tc>
        <w:tc>
          <w:tcPr>
            <w:tcW w:w="671"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kern w:val="0"/>
                <w:sz w:val="21"/>
              </w:rPr>
            </w:pPr>
          </w:p>
        </w:tc>
      </w:tr>
      <w:tr>
        <w:tblPrEx>
          <w:tblCellMar>
            <w:top w:w="0" w:type="dxa"/>
            <w:left w:w="108" w:type="dxa"/>
            <w:bottom w:w="0" w:type="dxa"/>
            <w:right w:w="108" w:type="dxa"/>
          </w:tblCellMar>
        </w:tblPrEx>
        <w:trPr>
          <w:trHeight w:val="864" w:hRule="atLeast"/>
        </w:trPr>
        <w:tc>
          <w:tcPr>
            <w:tcW w:w="523" w:type="dxa"/>
            <w:tcBorders>
              <w:top w:val="nil"/>
              <w:left w:val="single" w:color="auto" w:sz="4" w:space="0"/>
              <w:bottom w:val="single" w:color="auto" w:sz="4" w:space="0"/>
              <w:right w:val="single" w:color="auto" w:sz="4" w:space="0"/>
            </w:tcBorders>
            <w:shd w:val="clear" w:color="auto" w:fill="auto"/>
            <w:vAlign w:val="center"/>
          </w:tcPr>
          <w:p>
            <w:pPr>
              <w:pStyle w:val="290"/>
              <w:rPr>
                <w:kern w:val="0"/>
              </w:rPr>
            </w:pPr>
            <w:r>
              <w:rPr>
                <w:rFonts w:hint="eastAsia"/>
              </w:rPr>
              <w:t>市区</w:t>
            </w:r>
          </w:p>
        </w:tc>
        <w:tc>
          <w:tcPr>
            <w:tcW w:w="774" w:type="dxa"/>
            <w:tcBorders>
              <w:top w:val="nil"/>
              <w:left w:val="nil"/>
              <w:bottom w:val="single" w:color="auto" w:sz="4" w:space="0"/>
              <w:right w:val="single" w:color="auto" w:sz="4" w:space="0"/>
            </w:tcBorders>
            <w:shd w:val="clear" w:color="auto" w:fill="auto"/>
            <w:vAlign w:val="center"/>
          </w:tcPr>
          <w:p>
            <w:pPr>
              <w:pStyle w:val="290"/>
              <w:rPr>
                <w:kern w:val="0"/>
              </w:rPr>
            </w:pPr>
            <w:r>
              <w:t>商业商务区、机场</w:t>
            </w:r>
            <w:r>
              <w:rPr>
                <w:rFonts w:hint="eastAsia"/>
              </w:rPr>
              <w:t>、高校风景区</w:t>
            </w:r>
            <w:r>
              <w:t>等</w:t>
            </w:r>
          </w:p>
        </w:tc>
        <w:tc>
          <w:tcPr>
            <w:tcW w:w="1032" w:type="dxa"/>
            <w:tcBorders>
              <w:top w:val="nil"/>
              <w:left w:val="nil"/>
              <w:bottom w:val="single" w:color="auto" w:sz="4" w:space="0"/>
              <w:right w:val="single" w:color="auto" w:sz="4" w:space="0"/>
            </w:tcBorders>
            <w:shd w:val="clear" w:color="auto" w:fill="auto"/>
            <w:vAlign w:val="center"/>
          </w:tcPr>
          <w:p>
            <w:pPr>
              <w:pStyle w:val="290"/>
              <w:rPr>
                <w:kern w:val="0"/>
              </w:rPr>
            </w:pPr>
            <w:r>
              <w:rPr>
                <w:rFonts w:hint="eastAsia"/>
              </w:rPr>
              <w:t>624.7</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1627</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375</w:t>
            </w: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1627</w:t>
            </w:r>
          </w:p>
        </w:tc>
      </w:tr>
      <w:tr>
        <w:tblPrEx>
          <w:tblCellMar>
            <w:top w:w="0" w:type="dxa"/>
            <w:left w:w="108" w:type="dxa"/>
            <w:bottom w:w="0" w:type="dxa"/>
            <w:right w:w="108" w:type="dxa"/>
          </w:tblCellMar>
        </w:tblPrEx>
        <w:trPr>
          <w:trHeight w:val="864" w:hRule="atLeast"/>
        </w:trPr>
        <w:tc>
          <w:tcPr>
            <w:tcW w:w="523" w:type="dxa"/>
            <w:tcBorders>
              <w:top w:val="nil"/>
              <w:left w:val="single" w:color="auto" w:sz="4" w:space="0"/>
              <w:bottom w:val="single" w:color="auto" w:sz="4" w:space="0"/>
              <w:right w:val="single" w:color="auto" w:sz="4" w:space="0"/>
            </w:tcBorders>
            <w:shd w:val="clear" w:color="auto" w:fill="auto"/>
            <w:vAlign w:val="center"/>
          </w:tcPr>
          <w:p>
            <w:pPr>
              <w:pStyle w:val="290"/>
              <w:rPr>
                <w:kern w:val="0"/>
              </w:rPr>
            </w:pPr>
            <w:r>
              <w:rPr>
                <w:rFonts w:hint="eastAsia"/>
              </w:rPr>
              <w:t>江阴</w:t>
            </w:r>
          </w:p>
        </w:tc>
        <w:tc>
          <w:tcPr>
            <w:tcW w:w="774" w:type="dxa"/>
            <w:tcBorders>
              <w:top w:val="nil"/>
              <w:left w:val="nil"/>
              <w:bottom w:val="single" w:color="auto" w:sz="4" w:space="0"/>
              <w:right w:val="single" w:color="auto" w:sz="4" w:space="0"/>
            </w:tcBorders>
            <w:shd w:val="clear" w:color="auto" w:fill="auto"/>
            <w:vAlign w:val="center"/>
          </w:tcPr>
          <w:p>
            <w:pPr>
              <w:pStyle w:val="290"/>
              <w:rPr>
                <w:kern w:val="0"/>
              </w:rPr>
            </w:pPr>
            <w:r>
              <w:t>包含政务区、商业商务区等</w:t>
            </w:r>
          </w:p>
        </w:tc>
        <w:tc>
          <w:tcPr>
            <w:tcW w:w="1032" w:type="dxa"/>
            <w:tcBorders>
              <w:top w:val="nil"/>
              <w:left w:val="nil"/>
              <w:bottom w:val="single" w:color="auto" w:sz="4" w:space="0"/>
              <w:right w:val="single" w:color="auto" w:sz="4" w:space="0"/>
            </w:tcBorders>
            <w:shd w:val="clear" w:color="auto" w:fill="auto"/>
            <w:vAlign w:val="center"/>
          </w:tcPr>
          <w:p>
            <w:pPr>
              <w:pStyle w:val="290"/>
              <w:rPr>
                <w:kern w:val="0"/>
              </w:rPr>
            </w:pPr>
            <w:r>
              <w:rPr>
                <w:rFonts w:hint="eastAsia"/>
              </w:rPr>
              <w:t>124</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296</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370</w:t>
            </w: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296</w:t>
            </w:r>
          </w:p>
        </w:tc>
      </w:tr>
      <w:tr>
        <w:tblPrEx>
          <w:tblCellMar>
            <w:top w:w="0" w:type="dxa"/>
            <w:left w:w="108" w:type="dxa"/>
            <w:bottom w:w="0" w:type="dxa"/>
            <w:right w:w="108" w:type="dxa"/>
          </w:tblCellMar>
        </w:tblPrEx>
        <w:trPr>
          <w:trHeight w:val="576" w:hRule="atLeast"/>
        </w:trPr>
        <w:tc>
          <w:tcPr>
            <w:tcW w:w="523" w:type="dxa"/>
            <w:tcBorders>
              <w:top w:val="nil"/>
              <w:left w:val="single" w:color="auto" w:sz="4" w:space="0"/>
              <w:bottom w:val="single" w:color="auto" w:sz="4" w:space="0"/>
              <w:right w:val="single" w:color="auto" w:sz="4" w:space="0"/>
            </w:tcBorders>
            <w:shd w:val="clear" w:color="auto" w:fill="auto"/>
            <w:vAlign w:val="center"/>
          </w:tcPr>
          <w:p>
            <w:pPr>
              <w:pStyle w:val="290"/>
              <w:rPr>
                <w:kern w:val="0"/>
              </w:rPr>
            </w:pPr>
            <w:r>
              <w:rPr>
                <w:rFonts w:hint="eastAsia"/>
              </w:rPr>
              <w:t>宜兴</w:t>
            </w:r>
          </w:p>
        </w:tc>
        <w:tc>
          <w:tcPr>
            <w:tcW w:w="774" w:type="dxa"/>
            <w:tcBorders>
              <w:top w:val="nil"/>
              <w:left w:val="nil"/>
              <w:bottom w:val="single" w:color="auto" w:sz="4" w:space="0"/>
              <w:right w:val="single" w:color="auto" w:sz="4" w:space="0"/>
            </w:tcBorders>
            <w:shd w:val="clear" w:color="auto" w:fill="auto"/>
            <w:vAlign w:val="center"/>
          </w:tcPr>
          <w:p>
            <w:pPr>
              <w:pStyle w:val="290"/>
              <w:rPr>
                <w:kern w:val="0"/>
              </w:rPr>
            </w:pPr>
            <w:r>
              <w:t>包含政务区、商业商务区等</w:t>
            </w:r>
          </w:p>
        </w:tc>
        <w:tc>
          <w:tcPr>
            <w:tcW w:w="1032" w:type="dxa"/>
            <w:tcBorders>
              <w:top w:val="nil"/>
              <w:left w:val="nil"/>
              <w:bottom w:val="single" w:color="auto" w:sz="4" w:space="0"/>
              <w:right w:val="single" w:color="auto" w:sz="4" w:space="0"/>
            </w:tcBorders>
            <w:shd w:val="clear" w:color="auto" w:fill="auto"/>
            <w:vAlign w:val="center"/>
          </w:tcPr>
          <w:p>
            <w:pPr>
              <w:pStyle w:val="290"/>
              <w:rPr>
                <w:kern w:val="0"/>
              </w:rPr>
            </w:pPr>
            <w:r>
              <w:rPr>
                <w:rFonts w:hint="eastAsia"/>
              </w:rPr>
              <w:t>52</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151</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350</w:t>
            </w: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151</w:t>
            </w:r>
          </w:p>
        </w:tc>
      </w:tr>
      <w:tr>
        <w:tblPrEx>
          <w:tblCellMar>
            <w:top w:w="0" w:type="dxa"/>
            <w:left w:w="108" w:type="dxa"/>
            <w:bottom w:w="0" w:type="dxa"/>
            <w:right w:w="108" w:type="dxa"/>
          </w:tblCellMar>
        </w:tblPrEx>
        <w:trPr>
          <w:trHeight w:val="288" w:hRule="atLeast"/>
        </w:trPr>
        <w:tc>
          <w:tcPr>
            <w:tcW w:w="1297" w:type="dxa"/>
            <w:gridSpan w:val="2"/>
            <w:tcBorders>
              <w:top w:val="single" w:color="auto" w:sz="4" w:space="0"/>
              <w:left w:val="single" w:color="auto" w:sz="4" w:space="0"/>
              <w:bottom w:val="single" w:color="auto" w:sz="4" w:space="0"/>
              <w:right w:val="single" w:color="000000" w:sz="4" w:space="0"/>
            </w:tcBorders>
            <w:shd w:val="clear" w:color="auto" w:fill="auto"/>
            <w:vAlign w:val="center"/>
          </w:tcPr>
          <w:p>
            <w:pPr>
              <w:widowControl/>
              <w:spacing w:line="240" w:lineRule="auto"/>
              <w:ind w:firstLine="0" w:firstLineChars="0"/>
              <w:jc w:val="center"/>
              <w:rPr>
                <w:rFonts w:cs="Times New Roman"/>
                <w:kern w:val="0"/>
                <w:sz w:val="21"/>
              </w:rPr>
            </w:pPr>
            <w:r>
              <w:rPr>
                <w:rFonts w:cs="Times New Roman"/>
                <w:kern w:val="0"/>
                <w:sz w:val="21"/>
              </w:rPr>
              <w:t>合计</w:t>
            </w:r>
          </w:p>
        </w:tc>
        <w:tc>
          <w:tcPr>
            <w:tcW w:w="103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800.7</w:t>
            </w:r>
            <w:r>
              <w:rPr>
                <w:rFonts w:cs="Times New Roman"/>
                <w:kern w:val="0"/>
                <w:sz w:val="21"/>
              </w:rPr>
              <w:t>　</w:t>
            </w:r>
          </w:p>
        </w:tc>
        <w:tc>
          <w:tcPr>
            <w:tcW w:w="94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2074</w:t>
            </w:r>
            <w:r>
              <w:rPr>
                <w:rFonts w:cs="Times New Roman"/>
                <w:kern w:val="0"/>
                <w:sz w:val="21"/>
              </w:rPr>
              <w:t>　</w:t>
            </w:r>
          </w:p>
        </w:tc>
        <w:tc>
          <w:tcPr>
            <w:tcW w:w="86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9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81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cs="Times New Roman"/>
                <w:kern w:val="0"/>
                <w:sz w:val="21"/>
              </w:rPr>
              <w:t>　</w:t>
            </w:r>
          </w:p>
        </w:tc>
        <w:tc>
          <w:tcPr>
            <w:tcW w:w="86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787"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kern w:val="0"/>
                <w:sz w:val="21"/>
              </w:rPr>
            </w:pPr>
            <w:r>
              <w:rPr>
                <w:rFonts w:hint="eastAsia" w:cs="Times New Roman"/>
                <w:kern w:val="0"/>
                <w:sz w:val="21"/>
              </w:rPr>
              <w:t>0</w:t>
            </w:r>
            <w:r>
              <w:rPr>
                <w:rFonts w:cs="Times New Roman"/>
                <w:kern w:val="0"/>
                <w:sz w:val="21"/>
              </w:rPr>
              <w:t>　</w:t>
            </w:r>
          </w:p>
        </w:tc>
        <w:tc>
          <w:tcPr>
            <w:tcW w:w="67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kern w:val="0"/>
                <w:sz w:val="21"/>
              </w:rPr>
            </w:pPr>
            <w:r>
              <w:rPr>
                <w:rFonts w:cs="Times New Roman"/>
                <w:kern w:val="0"/>
                <w:sz w:val="21"/>
              </w:rPr>
              <w:t>　</w:t>
            </w:r>
            <w:r>
              <w:rPr>
                <w:rFonts w:hint="eastAsia" w:cs="Times New Roman"/>
                <w:kern w:val="0"/>
                <w:sz w:val="21"/>
              </w:rPr>
              <w:t>2074</w:t>
            </w:r>
          </w:p>
        </w:tc>
      </w:tr>
    </w:tbl>
    <w:p>
      <w:pPr>
        <w:ind w:firstLine="480"/>
        <w:rPr>
          <w:rFonts w:cs="Times New Roman"/>
        </w:rPr>
      </w:pPr>
      <w:r>
        <w:rPr>
          <w:rFonts w:cs="Times New Roman"/>
        </w:rPr>
        <w:t>上述室外基站中，</w:t>
      </w:r>
      <w:r>
        <w:rPr>
          <w:rFonts w:hint="eastAsia" w:cs="Times New Roman"/>
          <w:color w:val="FF0000"/>
        </w:rPr>
        <w:t>2074</w:t>
      </w:r>
      <w:r>
        <w:rPr>
          <w:rFonts w:cs="Times New Roman"/>
        </w:rPr>
        <w:t>个基站与现网基站共址，</w:t>
      </w:r>
      <w:r>
        <w:rPr>
          <w:rFonts w:hint="eastAsia" w:cs="Times New Roman"/>
          <w:color w:val="FF0000"/>
        </w:rPr>
        <w:t>0</w:t>
      </w:r>
      <w:r>
        <w:rPr>
          <w:rFonts w:cs="Times New Roman"/>
        </w:rPr>
        <w:t>个基站为新址新建，共址率</w:t>
      </w:r>
      <w:r>
        <w:rPr>
          <w:rFonts w:hint="eastAsia" w:cs="Times New Roman"/>
          <w:color w:val="FF0000"/>
        </w:rPr>
        <w:t>100</w:t>
      </w:r>
      <w:r>
        <w:rPr>
          <w:rFonts w:cs="Times New Roman"/>
          <w:color w:val="FF0000"/>
        </w:rPr>
        <w:t>%</w:t>
      </w:r>
      <w:r>
        <w:rPr>
          <w:rFonts w:cs="Times New Roman"/>
        </w:rPr>
        <w:t>。</w:t>
      </w:r>
    </w:p>
    <w:p>
      <w:pPr>
        <w:ind w:firstLine="480"/>
        <w:rPr>
          <w:rFonts w:cs="Times New Roman"/>
        </w:rPr>
      </w:pPr>
      <w:r>
        <w:rPr>
          <w:rFonts w:cs="Times New Roman"/>
        </w:rPr>
        <w:t>与可研批复相比，初步设计建设数量同可研批复不存在差异。</w:t>
      </w:r>
    </w:p>
    <w:p>
      <w:pPr>
        <w:ind w:firstLine="480"/>
        <w:rPr>
          <w:rFonts w:cs="Times New Roman"/>
        </w:rPr>
      </w:pPr>
      <w:r>
        <w:rPr>
          <w:rFonts w:cs="Times New Roman"/>
        </w:rPr>
        <w:t>各基站详细配置信息参见附表1室外基站设备配置表。</w:t>
      </w:r>
    </w:p>
    <w:p>
      <w:pPr>
        <w:ind w:firstLine="480"/>
        <w:rPr>
          <w:rFonts w:cs="Times New Roman"/>
        </w:rPr>
      </w:pPr>
      <w:r>
        <w:rPr>
          <w:rFonts w:cs="Times New Roman"/>
        </w:rPr>
        <w:t>各基站技术参数条件参见附表2 室外基站技术参数条件表。</w:t>
      </w:r>
    </w:p>
    <w:p>
      <w:pPr>
        <w:ind w:firstLine="480"/>
        <w:rPr>
          <w:rFonts w:cs="Times New Roman"/>
        </w:rPr>
      </w:pPr>
      <w:r>
        <w:rPr>
          <w:rFonts w:cs="Times New Roman"/>
        </w:rPr>
        <w:t>室外基站设置如下图：</w:t>
      </w:r>
    </w:p>
    <w:p>
      <w:pPr>
        <w:pStyle w:val="599"/>
        <w:ind w:firstLine="480"/>
        <w:rPr>
          <w:rFonts w:ascii="Times New Roman" w:hAnsi="Times New Roman" w:cs="Times New Roman"/>
        </w:rPr>
      </w:pPr>
      <w:r>
        <w:drawing>
          <wp:inline distT="0" distB="0" distL="114300" distR="114300">
            <wp:extent cx="4846320" cy="3415665"/>
            <wp:effectExtent l="0" t="0" r="0" b="13335"/>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pic:cNvPicPr>
                      <a:picLocks noChangeAspect="1"/>
                    </pic:cNvPicPr>
                  </pic:nvPicPr>
                  <pic:blipFill>
                    <a:blip r:embed="rId46"/>
                    <a:stretch>
                      <a:fillRect/>
                    </a:stretch>
                  </pic:blipFill>
                  <pic:spPr>
                    <a:xfrm>
                      <a:off x="0" y="0"/>
                      <a:ext cx="4846320" cy="3415665"/>
                    </a:xfrm>
                    <a:prstGeom prst="rect">
                      <a:avLst/>
                    </a:prstGeom>
                    <a:noFill/>
                    <a:ln>
                      <a:noFill/>
                    </a:ln>
                  </pic:spPr>
                </pic:pic>
              </a:graphicData>
            </a:graphic>
          </wp:inline>
        </w:drawing>
      </w:r>
    </w:p>
    <w:p>
      <w:pPr>
        <w:pStyle w:val="603"/>
        <w:rPr>
          <w:rFonts w:cs="Times New Roman"/>
          <w:color w:val="558ED5" w:themeColor="text2" w:themeTint="99"/>
          <w14:textFill>
            <w14:solidFill>
              <w14:schemeClr w14:val="tx2">
                <w14:lumMod w14:val="60000"/>
                <w14:lumOff w14:val="40000"/>
              </w14:schemeClr>
            </w14:solidFill>
          </w14:textFill>
        </w:rPr>
      </w:pPr>
      <w:r>
        <w:rPr>
          <w:rFonts w:cs="Times New Roman"/>
        </w:rPr>
        <w:t>图7.6</w:t>
      </w:r>
      <w:r>
        <w:rPr>
          <w:rFonts w:cs="Times New Roman"/>
        </w:rPr>
        <w:noBreakHyphen/>
      </w:r>
      <w:r>
        <w:rPr>
          <w:rFonts w:cs="Times New Roman"/>
        </w:rPr>
        <w:t>1  室外宏蜂窝基站设置图</w:t>
      </w:r>
    </w:p>
    <w:p>
      <w:pPr>
        <w:ind w:firstLine="480"/>
        <w:rPr>
          <w:rFonts w:cs="Times New Roman"/>
          <w:highlight w:val="yellow"/>
        </w:rPr>
      </w:pPr>
    </w:p>
    <w:p>
      <w:pPr>
        <w:pStyle w:val="5"/>
        <w:rPr>
          <w:rFonts w:cs="Times New Roman"/>
        </w:rPr>
      </w:pPr>
      <w:bookmarkStart w:id="789" w:name="_Toc21281"/>
      <w:r>
        <w:rPr>
          <w:rFonts w:cs="Times New Roman"/>
        </w:rPr>
        <w:t>主要工程量</w:t>
      </w:r>
      <w:bookmarkEnd w:id="789"/>
    </w:p>
    <w:p>
      <w:pPr>
        <w:ind w:firstLine="480"/>
        <w:rPr>
          <w:rFonts w:cs="Times New Roman"/>
        </w:rPr>
      </w:pPr>
      <w:r>
        <w:rPr>
          <w:rFonts w:cs="Times New Roman"/>
        </w:rPr>
        <w:t>本工程安装5G室外基站的设备及天馈线系统。主要安装工作量汇总见下表：</w:t>
      </w:r>
    </w:p>
    <w:p>
      <w:pPr>
        <w:pStyle w:val="603"/>
        <w:rPr>
          <w:rFonts w:cs="Times New Roman"/>
        </w:rPr>
      </w:pPr>
      <w:r>
        <w:rPr>
          <w:rFonts w:cs="Times New Roman"/>
        </w:rPr>
        <w:t>表7.7-1  室外基站主要安装工程量总表</w:t>
      </w:r>
    </w:p>
    <w:tbl>
      <w:tblPr>
        <w:tblStyle w:val="63"/>
        <w:tblW w:w="8203" w:type="dxa"/>
        <w:jc w:val="center"/>
        <w:tblLayout w:type="fixed"/>
        <w:tblCellMar>
          <w:top w:w="0" w:type="dxa"/>
          <w:left w:w="108" w:type="dxa"/>
          <w:bottom w:w="0" w:type="dxa"/>
          <w:right w:w="108" w:type="dxa"/>
        </w:tblCellMar>
      </w:tblPr>
      <w:tblGrid>
        <w:gridCol w:w="2830"/>
        <w:gridCol w:w="1134"/>
        <w:gridCol w:w="2936"/>
        <w:gridCol w:w="1303"/>
      </w:tblGrid>
      <w:tr>
        <w:tblPrEx>
          <w:tblCellMar>
            <w:top w:w="0" w:type="dxa"/>
            <w:left w:w="108" w:type="dxa"/>
            <w:bottom w:w="0" w:type="dxa"/>
            <w:right w:w="108" w:type="dxa"/>
          </w:tblCellMar>
        </w:tblPrEx>
        <w:trPr>
          <w:trHeight w:val="285" w:hRule="atLeast"/>
          <w:tblHeader/>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项目</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数量</w:t>
            </w: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项目</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数量</w:t>
            </w: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拆除设备板件（块）</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安装AAU（个）</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安装设备板件（块）</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拆除基站天线（副）</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拆除设备机架（架）</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安装基站天线（副）</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安装设备机架（架）</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w:t>
            </w:r>
            <w:r>
              <w:rPr>
                <w:rFonts w:hint="eastAsia"/>
                <w:color w:val="FF0000"/>
              </w:rPr>
              <w:t>北斗/</w:t>
            </w:r>
            <w:r>
              <w:rPr>
                <w:color w:val="FF0000"/>
              </w:rPr>
              <w:t>GPS天线</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新增室内走线架（米）</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w:t>
            </w:r>
            <w:r>
              <w:rPr>
                <w:rFonts w:hint="eastAsia"/>
                <w:color w:val="FF0000"/>
              </w:rPr>
              <w:t>北斗/</w:t>
            </w:r>
            <w:r>
              <w:rPr>
                <w:color w:val="FF0000"/>
              </w:rPr>
              <w:t>GPS信号分路器（个）</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拆除室内走线架（米）</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安装</w:t>
            </w:r>
            <w:r>
              <w:rPr>
                <w:rFonts w:hint="eastAsia"/>
                <w:color w:val="FF0000"/>
              </w:rPr>
              <w:t>北斗/</w:t>
            </w:r>
            <w:r>
              <w:rPr>
                <w:color w:val="FF0000"/>
              </w:rPr>
              <w:t>GPS放大器（个）</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新增室外走线架（米）</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布放</w:t>
            </w:r>
            <w:r>
              <w:rPr>
                <w:rFonts w:hint="eastAsia"/>
                <w:color w:val="FF0000"/>
              </w:rPr>
              <w:t>北斗/</w:t>
            </w:r>
            <w:r>
              <w:rPr>
                <w:color w:val="FF0000"/>
              </w:rPr>
              <w:t>GPS馈线（米）</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新开馈线窗（处）</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布放光缆（米）</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拆除RRU（个）</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r>
              <w:rPr>
                <w:color w:val="FF0000"/>
              </w:rPr>
              <w:t>布放电源线（米）</w:t>
            </w: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r>
        <w:tblPrEx>
          <w:tblCellMar>
            <w:top w:w="0" w:type="dxa"/>
            <w:left w:w="108" w:type="dxa"/>
            <w:bottom w:w="0" w:type="dxa"/>
            <w:right w:w="108" w:type="dxa"/>
          </w:tblCellMar>
        </w:tblPrEx>
        <w:trPr>
          <w:trHeight w:val="285" w:hRule="atLeast"/>
          <w:jc w:val="center"/>
        </w:trPr>
        <w:tc>
          <w:tcPr>
            <w:tcW w:w="283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安装RRU（个）</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2936"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c>
          <w:tcPr>
            <w:tcW w:w="1303" w:type="dxa"/>
            <w:tcBorders>
              <w:top w:val="single" w:color="auto" w:sz="4" w:space="0"/>
              <w:left w:val="nil"/>
              <w:bottom w:val="single" w:color="auto" w:sz="4" w:space="0"/>
              <w:right w:val="single" w:color="auto" w:sz="4" w:space="0"/>
            </w:tcBorders>
            <w:shd w:val="clear" w:color="auto" w:fill="auto"/>
            <w:vAlign w:val="center"/>
          </w:tcPr>
          <w:p>
            <w:pPr>
              <w:pStyle w:val="290"/>
              <w:rPr>
                <w:color w:val="FF0000"/>
              </w:rPr>
            </w:pPr>
          </w:p>
        </w:tc>
      </w:tr>
    </w:tbl>
    <w:p>
      <w:pPr>
        <w:pStyle w:val="5"/>
        <w:rPr>
          <w:rFonts w:cs="Times New Roman"/>
        </w:rPr>
      </w:pPr>
      <w:bookmarkStart w:id="790" w:name="_Toc22942"/>
      <w:r>
        <w:rPr>
          <w:rFonts w:cs="Times New Roman"/>
        </w:rPr>
        <w:t>室外基站安装工程量参见附表3。</w:t>
      </w:r>
      <w:bookmarkEnd w:id="773"/>
      <w:bookmarkEnd w:id="774"/>
      <w:bookmarkEnd w:id="775"/>
      <w:bookmarkEnd w:id="776"/>
      <w:bookmarkStart w:id="791" w:name="_Toc34835647"/>
      <w:r>
        <w:rPr>
          <w:rFonts w:cs="Times New Roman"/>
        </w:rPr>
        <w:t>无线网络仿真</w:t>
      </w:r>
      <w:bookmarkEnd w:id="790"/>
      <w:bookmarkEnd w:id="791"/>
    </w:p>
    <w:p>
      <w:pPr>
        <w:ind w:firstLine="480"/>
        <w:rPr>
          <w:rFonts w:cs="Times New Roman"/>
          <w:sz w:val="21"/>
          <w:szCs w:val="24"/>
        </w:rPr>
      </w:pPr>
      <w:r>
        <w:rPr>
          <w:rFonts w:cs="Times New Roman"/>
        </w:rPr>
        <w:t>本地区5G网络二期</w:t>
      </w:r>
      <w:r>
        <w:rPr>
          <w:rFonts w:hint="eastAsia" w:cs="Times New Roman"/>
        </w:rPr>
        <w:t>一阶段</w:t>
      </w:r>
      <w:r>
        <w:rPr>
          <w:rFonts w:cs="Times New Roman"/>
        </w:rPr>
        <w:t>无线网工程仿真区域如下：</w:t>
      </w:r>
    </w:p>
    <w:p>
      <w:pPr>
        <w:ind w:firstLine="480"/>
        <w:jc w:val="center"/>
        <w:rPr>
          <w:rFonts w:cs="Times New Roman"/>
          <w:color w:val="FF0000"/>
        </w:rPr>
      </w:pPr>
      <w:r>
        <w:rPr>
          <w:rFonts w:cs="Times New Roman"/>
        </w:rPr>
        <w:drawing>
          <wp:inline distT="0" distB="0" distL="0" distR="0">
            <wp:extent cx="2076450" cy="1806575"/>
            <wp:effectExtent l="0" t="0" r="1143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cstate="print"/>
                    <a:stretch>
                      <a:fillRect/>
                    </a:stretch>
                  </pic:blipFill>
                  <pic:spPr>
                    <a:xfrm>
                      <a:off x="0" y="0"/>
                      <a:ext cx="2088036" cy="1817291"/>
                    </a:xfrm>
                    <a:prstGeom prst="rect">
                      <a:avLst/>
                    </a:prstGeom>
                  </pic:spPr>
                </pic:pic>
              </a:graphicData>
            </a:graphic>
          </wp:inline>
        </w:drawing>
      </w:r>
    </w:p>
    <w:p>
      <w:pPr>
        <w:pStyle w:val="603"/>
        <w:rPr>
          <w:rFonts w:cs="Times New Roman"/>
          <w:color w:val="FF0000"/>
        </w:rPr>
      </w:pPr>
      <w:r>
        <w:rPr>
          <w:rFonts w:cs="Times New Roman"/>
          <w:color w:val="FF0000"/>
        </w:rPr>
        <w:t>图7.8</w:t>
      </w:r>
      <w:r>
        <w:rPr>
          <w:rFonts w:cs="Times New Roman"/>
          <w:color w:val="FF0000"/>
        </w:rPr>
        <w:noBreakHyphen/>
      </w:r>
      <w:r>
        <w:rPr>
          <w:rFonts w:cs="Times New Roman"/>
          <w:color w:val="FF0000"/>
        </w:rPr>
        <w:t xml:space="preserve">1  </w:t>
      </w:r>
      <w:r>
        <w:rPr>
          <w:rFonts w:hint="eastAsia" w:cs="Times New Roman"/>
          <w:color w:val="FF0000"/>
        </w:rPr>
        <w:t>无锡</w:t>
      </w:r>
      <w:r>
        <w:rPr>
          <w:rFonts w:cs="Times New Roman"/>
          <w:color w:val="FF0000"/>
        </w:rPr>
        <w:t>市仿真区域示意图</w:t>
      </w:r>
    </w:p>
    <w:p>
      <w:pPr>
        <w:ind w:firstLine="480"/>
        <w:rPr>
          <w:rFonts w:cs="Times New Roman"/>
        </w:rPr>
      </w:pPr>
    </w:p>
    <w:p>
      <w:pPr>
        <w:pStyle w:val="4"/>
        <w:rPr>
          <w:rFonts w:cs="Times New Roman"/>
        </w:rPr>
      </w:pPr>
      <w:bookmarkStart w:id="792" w:name="_Toc11766620"/>
      <w:bookmarkEnd w:id="792"/>
      <w:bookmarkStart w:id="793" w:name="_Toc11767596"/>
      <w:bookmarkEnd w:id="793"/>
      <w:bookmarkStart w:id="794" w:name="_Toc11035"/>
      <w:bookmarkStart w:id="795" w:name="_Toc2868686"/>
      <w:bookmarkStart w:id="796" w:name="_Toc447204534"/>
      <w:bookmarkStart w:id="797" w:name="_Toc452131603"/>
      <w:bookmarkStart w:id="798" w:name="_Toc447202485"/>
      <w:r>
        <w:rPr>
          <w:rFonts w:cs="Times New Roman"/>
        </w:rPr>
        <w:t>主要参数设置方案</w:t>
      </w:r>
      <w:bookmarkEnd w:id="794"/>
    </w:p>
    <w:bookmarkEnd w:id="795"/>
    <w:bookmarkEnd w:id="796"/>
    <w:bookmarkEnd w:id="797"/>
    <w:bookmarkEnd w:id="798"/>
    <w:p>
      <w:pPr>
        <w:pStyle w:val="5"/>
        <w:rPr>
          <w:rFonts w:cs="Times New Roman"/>
        </w:rPr>
      </w:pPr>
      <w:bookmarkStart w:id="799" w:name="_Toc27187"/>
      <w:bookmarkStart w:id="800" w:name="_Toc2868687"/>
      <w:bookmarkStart w:id="801" w:name="_Toc452131616"/>
      <w:bookmarkStart w:id="802" w:name="_Toc447204546"/>
      <w:bookmarkStart w:id="803" w:name="_Toc2868692"/>
      <w:bookmarkStart w:id="804" w:name="_Toc447202497"/>
      <w:r>
        <w:rPr>
          <w:rFonts w:cs="Times New Roman"/>
        </w:rPr>
        <w:t>PCI设置</w:t>
      </w:r>
      <w:bookmarkEnd w:id="799"/>
      <w:bookmarkEnd w:id="800"/>
    </w:p>
    <w:p>
      <w:pPr>
        <w:ind w:firstLine="480"/>
        <w:rPr>
          <w:rFonts w:cs="Times New Roman"/>
        </w:rPr>
      </w:pPr>
      <w:r>
        <w:rPr>
          <w:rFonts w:cs="Times New Roman"/>
        </w:rPr>
        <w:t>PCI（Physical Cell Id）是标识小区的物理小区识别码，每一个小区都有一个PCI与之相对应。5G系统共有1008个PCI，采用模3方式分成336组，取值范围0-335，每组包含3个小区ID。</w:t>
      </w:r>
    </w:p>
    <w:p>
      <w:pPr>
        <w:ind w:firstLine="482"/>
        <w:rPr>
          <w:rFonts w:cs="Times New Roman"/>
        </w:rPr>
      </w:pPr>
      <w:r>
        <w:rPr>
          <w:rFonts w:cs="Times New Roman" w:eastAsiaTheme="minorEastAsia"/>
          <w:b/>
          <w:iCs/>
          <w:color w:val="FF0000"/>
          <w:position w:val="-10"/>
        </w:rPr>
        <w:object>
          <v:shape id="_x0000_i1037" o:spt="75" type="#_x0000_t75" style="height:21pt;width:111pt;" o:ole="t" filled="f" o:preferrelative="t" stroked="f" coordsize="21600,21600">
            <v:path/>
            <v:fill on="f" focussize="0,0"/>
            <v:stroke on="f" joinstyle="miter"/>
            <v:imagedata r:id="rId49" o:title=""/>
            <o:lock v:ext="edit" aspectratio="t"/>
            <w10:wrap type="none"/>
            <w10:anchorlock/>
          </v:shape>
          <o:OLEObject Type="Embed" ProgID="Equation.3" ShapeID="_x0000_i1037" DrawAspect="Content" ObjectID="_1468075737" r:id="rId48">
            <o:LockedField>false</o:LockedField>
          </o:OLEObject>
        </w:object>
      </w:r>
      <w:r>
        <w:rPr>
          <w:rFonts w:cs="Times New Roman"/>
          <w:iCs/>
        </w:rPr>
        <w:t xml:space="preserve">   </w:t>
      </w:r>
      <m:oMath>
        <m:sSubSup>
          <m:sSubSupPr>
            <m:ctrlPr>
              <w:rPr>
                <w:rFonts w:ascii="Cambria Math" w:hAnsi="Cambria Math" w:cs="Times New Roman" w:eastAsiaTheme="minorEastAsia"/>
                <w:i/>
                <w:iCs/>
                <w:sz w:val="21"/>
              </w:rPr>
            </m:ctrlPr>
          </m:sSubSupPr>
          <m:e>
            <m:r>
              <w:rPr>
                <w:rFonts w:ascii="Cambria Math" w:hAnsi="Cambria Math" w:cs="Times New Roman" w:eastAsiaTheme="minorEastAsia"/>
                <w:sz w:val="21"/>
                <w:lang w:val="en-GB"/>
              </w:rPr>
              <m:t>N</m:t>
            </m:r>
            <m:ctrlPr>
              <w:rPr>
                <w:rFonts w:ascii="Cambria Math" w:hAnsi="Cambria Math" w:cs="Times New Roman" w:eastAsiaTheme="minorEastAsia"/>
                <w:i/>
                <w:iCs/>
                <w:sz w:val="21"/>
              </w:rPr>
            </m:ctrlPr>
          </m:e>
          <m:sub>
            <m:r>
              <m:rPr>
                <m:nor/>
                <m:sty m:val="p"/>
              </m:rPr>
              <w:rPr>
                <w:rFonts w:cs="Times New Roman" w:eastAsiaTheme="minorEastAsia"/>
                <w:b w:val="0"/>
                <w:i w:val="0"/>
                <w:sz w:val="21"/>
                <w:lang w:val="en-GB"/>
              </w:rPr>
              <m:t>ID</m:t>
            </m:r>
            <m:ctrlPr>
              <w:rPr>
                <w:rFonts w:ascii="Cambria Math" w:hAnsi="Cambria Math" w:cs="Times New Roman" w:eastAsiaTheme="minorEastAsia"/>
                <w:i/>
                <w:iCs/>
                <w:sz w:val="21"/>
              </w:rPr>
            </m:ctrlPr>
          </m:sub>
          <m:sup>
            <m:r>
              <w:rPr>
                <w:rFonts w:ascii="Cambria Math" w:hAnsi="Cambria Math" w:cs="Times New Roman" w:eastAsiaTheme="minorEastAsia"/>
                <w:sz w:val="21"/>
                <w:lang w:val="en-GB"/>
              </w:rPr>
              <m:t>(1)</m:t>
            </m:r>
            <m:ctrlPr>
              <w:rPr>
                <w:rFonts w:ascii="Cambria Math" w:hAnsi="Cambria Math" w:cs="Times New Roman" w:eastAsiaTheme="minorEastAsia"/>
                <w:i/>
                <w:iCs/>
                <w:sz w:val="21"/>
              </w:rPr>
            </m:ctrlPr>
          </m:sup>
        </m:sSubSup>
        <m:r>
          <w:rPr>
            <w:rFonts w:ascii="Cambria Math" w:hAnsi="Cambria Math" w:cs="Times New Roman" w:eastAsiaTheme="minorEastAsia"/>
            <w:sz w:val="21"/>
            <w:lang w:val="en-GB"/>
          </w:rPr>
          <m:t>∈</m:t>
        </m:r>
        <m:d>
          <m:dPr>
            <m:begChr m:val="{"/>
            <m:endChr m:val="}"/>
            <m:ctrlPr>
              <w:rPr>
                <w:rFonts w:ascii="Cambria Math" w:hAnsi="Cambria Math" w:cs="Times New Roman" w:eastAsiaTheme="minorEastAsia"/>
                <w:i/>
                <w:iCs/>
                <w:sz w:val="21"/>
              </w:rPr>
            </m:ctrlPr>
          </m:dPr>
          <m:e>
            <m:r>
              <w:rPr>
                <w:rFonts w:ascii="Cambria Math" w:hAnsi="Cambria Math" w:cs="Times New Roman" w:eastAsiaTheme="minorEastAsia"/>
                <w:sz w:val="21"/>
                <w:lang w:val="en-GB"/>
              </w:rPr>
              <m:t>0,1,…,335</m:t>
            </m:r>
            <m:ctrlPr>
              <w:rPr>
                <w:rFonts w:ascii="Cambria Math" w:hAnsi="Cambria Math" w:cs="Times New Roman" w:eastAsiaTheme="minorEastAsia"/>
                <w:i/>
                <w:iCs/>
                <w:sz w:val="21"/>
              </w:rPr>
            </m:ctrlPr>
          </m:e>
        </m:d>
        <m:r>
          <w:rPr>
            <w:rFonts w:ascii="Cambria Math" w:hAnsi="Cambria Math" w:cs="Times New Roman" w:eastAsiaTheme="minorEastAsia"/>
            <w:sz w:val="21"/>
          </w:rPr>
          <m:t>     </m:t>
        </m:r>
        <m:sSubSup>
          <m:sSubSupPr>
            <m:ctrlPr>
              <w:rPr>
                <w:rFonts w:ascii="Cambria Math" w:hAnsi="Cambria Math" w:cs="Times New Roman" w:eastAsiaTheme="minorEastAsia"/>
                <w:i/>
                <w:iCs/>
                <w:sz w:val="21"/>
              </w:rPr>
            </m:ctrlPr>
          </m:sSubSupPr>
          <m:e>
            <m:r>
              <w:rPr>
                <w:rFonts w:ascii="Cambria Math" w:hAnsi="Cambria Math" w:cs="Times New Roman" w:eastAsiaTheme="minorEastAsia"/>
                <w:sz w:val="21"/>
                <w:lang w:val="en-GB"/>
              </w:rPr>
              <m:t>N</m:t>
            </m:r>
            <m:ctrlPr>
              <w:rPr>
                <w:rFonts w:ascii="Cambria Math" w:hAnsi="Cambria Math" w:cs="Times New Roman" w:eastAsiaTheme="minorEastAsia"/>
                <w:i/>
                <w:iCs/>
                <w:sz w:val="21"/>
              </w:rPr>
            </m:ctrlPr>
          </m:e>
          <m:sub>
            <m:r>
              <m:rPr>
                <m:nor/>
                <m:sty m:val="p"/>
              </m:rPr>
              <w:rPr>
                <w:rFonts w:cs="Times New Roman" w:eastAsiaTheme="minorEastAsia"/>
                <w:b w:val="0"/>
                <w:i w:val="0"/>
                <w:sz w:val="21"/>
                <w:lang w:val="en-GB"/>
              </w:rPr>
              <m:t>ID</m:t>
            </m:r>
            <m:ctrlPr>
              <w:rPr>
                <w:rFonts w:ascii="Cambria Math" w:hAnsi="Cambria Math" w:cs="Times New Roman" w:eastAsiaTheme="minorEastAsia"/>
                <w:i/>
                <w:iCs/>
                <w:sz w:val="21"/>
              </w:rPr>
            </m:ctrlPr>
          </m:sub>
          <m:sup>
            <m:r>
              <w:rPr>
                <w:rFonts w:ascii="Cambria Math" w:hAnsi="Cambria Math" w:cs="Times New Roman" w:eastAsiaTheme="minorEastAsia"/>
                <w:sz w:val="21"/>
                <w:lang w:val="en-GB"/>
              </w:rPr>
              <m:t>(2)</m:t>
            </m:r>
            <m:ctrlPr>
              <w:rPr>
                <w:rFonts w:ascii="Cambria Math" w:hAnsi="Cambria Math" w:cs="Times New Roman" w:eastAsiaTheme="minorEastAsia"/>
                <w:i/>
                <w:iCs/>
                <w:sz w:val="21"/>
              </w:rPr>
            </m:ctrlPr>
          </m:sup>
        </m:sSubSup>
        <m:r>
          <w:rPr>
            <w:rFonts w:ascii="Cambria Math" w:hAnsi="Cambria Math" w:cs="Times New Roman" w:eastAsiaTheme="minorEastAsia"/>
            <w:sz w:val="21"/>
            <w:lang w:val="en-GB"/>
          </w:rPr>
          <m:t>∈</m:t>
        </m:r>
        <m:d>
          <m:dPr>
            <m:begChr m:val="{"/>
            <m:endChr m:val="}"/>
            <m:ctrlPr>
              <w:rPr>
                <w:rFonts w:ascii="Cambria Math" w:hAnsi="Cambria Math" w:cs="Times New Roman" w:eastAsiaTheme="minorEastAsia"/>
                <w:i/>
                <w:iCs/>
                <w:sz w:val="21"/>
              </w:rPr>
            </m:ctrlPr>
          </m:dPr>
          <m:e>
            <m:r>
              <w:rPr>
                <w:rFonts w:ascii="Cambria Math" w:hAnsi="Cambria Math" w:cs="Times New Roman" w:eastAsiaTheme="minorEastAsia"/>
                <w:sz w:val="21"/>
                <w:lang w:val="en-GB"/>
              </w:rPr>
              <m:t>0,1,2</m:t>
            </m:r>
            <m:ctrlPr>
              <w:rPr>
                <w:rFonts w:ascii="Cambria Math" w:hAnsi="Cambria Math" w:cs="Times New Roman" w:eastAsiaTheme="minorEastAsia"/>
                <w:i/>
                <w:iCs/>
                <w:sz w:val="21"/>
              </w:rPr>
            </m:ctrlPr>
          </m:e>
        </m:d>
      </m:oMath>
      <w:r>
        <w:rPr>
          <w:rFonts w:cs="Times New Roman"/>
          <w:iCs/>
        </w:rPr>
        <w:t xml:space="preserve"> </w:t>
      </w:r>
    </w:p>
    <w:p>
      <w:pPr>
        <w:ind w:firstLine="480"/>
        <w:rPr>
          <w:rFonts w:cs="Times New Roman"/>
        </w:rPr>
      </w:pPr>
      <w:r>
        <w:rPr>
          <w:rFonts w:cs="Times New Roman"/>
        </w:rPr>
        <w:t>PCI规划可由规划软件实现。为避免出现未来网络扩容引起PCI冲突问题，应适当预留物理小区标识资源。</w:t>
      </w:r>
    </w:p>
    <w:p>
      <w:pPr>
        <w:ind w:firstLine="480"/>
        <w:rPr>
          <w:rFonts w:cs="Times New Roman"/>
        </w:rPr>
      </w:pPr>
      <w:r>
        <w:rPr>
          <w:rFonts w:cs="Times New Roman"/>
        </w:rPr>
        <w:t>PCI规划应遵循以下原则：</w:t>
      </w:r>
    </w:p>
    <w:p>
      <w:pPr>
        <w:pStyle w:val="605"/>
        <w:numPr>
          <w:ilvl w:val="0"/>
          <w:numId w:val="0"/>
        </w:numPr>
        <w:tabs>
          <w:tab w:val="left" w:pos="851"/>
        </w:tabs>
        <w:ind w:left="417" w:leftChars="100" w:hanging="177" w:hangingChars="74"/>
        <w:rPr>
          <w:rFonts w:cs="Times New Roman"/>
        </w:rPr>
      </w:pPr>
      <w:r>
        <w:rPr>
          <w:rFonts w:cs="Times New Roman"/>
        </w:rPr>
        <w:t>（1）不冲突原则：保证同频相邻小区之间的PCI不同；</w:t>
      </w:r>
    </w:p>
    <w:p>
      <w:pPr>
        <w:pStyle w:val="605"/>
        <w:numPr>
          <w:ilvl w:val="0"/>
          <w:numId w:val="0"/>
        </w:numPr>
        <w:tabs>
          <w:tab w:val="left" w:pos="851"/>
        </w:tabs>
        <w:ind w:firstLine="240" w:firstLineChars="100"/>
        <w:rPr>
          <w:rFonts w:cs="Times New Roman"/>
        </w:rPr>
      </w:pPr>
      <w:r>
        <w:rPr>
          <w:rFonts w:cs="Times New Roman"/>
        </w:rPr>
        <w:t>（2）不混淆原则：保证某个小区的同频邻小区PCI值不相等，相邻小区之间应尽量选择干扰最优的PCI值，即配置不同的PCI模3和模30；</w:t>
      </w:r>
    </w:p>
    <w:p>
      <w:pPr>
        <w:pStyle w:val="605"/>
        <w:numPr>
          <w:ilvl w:val="0"/>
          <w:numId w:val="0"/>
        </w:numPr>
        <w:tabs>
          <w:tab w:val="left" w:pos="851"/>
        </w:tabs>
        <w:ind w:left="417" w:leftChars="100" w:hanging="177" w:hangingChars="74"/>
        <w:rPr>
          <w:rFonts w:cs="Times New Roman"/>
        </w:rPr>
      </w:pPr>
      <w:r>
        <w:rPr>
          <w:rFonts w:cs="Times New Roman"/>
        </w:rPr>
        <w:t>（3）最优化原则：保证同PCI的小区具有足够的复用距离；</w:t>
      </w:r>
    </w:p>
    <w:p>
      <w:pPr>
        <w:pStyle w:val="605"/>
        <w:numPr>
          <w:ilvl w:val="0"/>
          <w:numId w:val="0"/>
        </w:numPr>
        <w:tabs>
          <w:tab w:val="left" w:pos="851"/>
        </w:tabs>
        <w:ind w:left="417" w:leftChars="100" w:hanging="177" w:hangingChars="74"/>
        <w:rPr>
          <w:rFonts w:cs="Times New Roman"/>
        </w:rPr>
      </w:pPr>
      <w:r>
        <w:rPr>
          <w:rFonts w:cs="Times New Roman"/>
        </w:rPr>
        <w:t>（4）若后续考虑扩容和小型化基站等应用，应进行PCI资源的预留。</w:t>
      </w:r>
    </w:p>
    <w:p>
      <w:pPr>
        <w:ind w:firstLine="480"/>
        <w:rPr>
          <w:rFonts w:cs="Times New Roman"/>
        </w:rPr>
      </w:pPr>
      <w:r>
        <w:rPr>
          <w:rFonts w:cs="Times New Roman"/>
        </w:rPr>
        <w:t>对异厂商的边界进行PCI规划时，为了避免PCI冲突，可以参照如下3种方法规划：</w:t>
      </w:r>
    </w:p>
    <w:p>
      <w:pPr>
        <w:pStyle w:val="605"/>
        <w:numPr>
          <w:ilvl w:val="0"/>
          <w:numId w:val="0"/>
        </w:numPr>
        <w:tabs>
          <w:tab w:val="left" w:pos="851"/>
        </w:tabs>
        <w:ind w:left="417" w:leftChars="100" w:hanging="177" w:hangingChars="74"/>
        <w:rPr>
          <w:rFonts w:cs="Times New Roman"/>
        </w:rPr>
      </w:pPr>
      <w:r>
        <w:rPr>
          <w:rFonts w:cs="Times New Roman"/>
        </w:rPr>
        <w:t>（1）统一进行全网的PCI规划，可避免边界PCI冲突；</w:t>
      </w:r>
    </w:p>
    <w:p>
      <w:pPr>
        <w:pStyle w:val="605"/>
        <w:numPr>
          <w:ilvl w:val="0"/>
          <w:numId w:val="0"/>
        </w:numPr>
        <w:tabs>
          <w:tab w:val="left" w:pos="851"/>
        </w:tabs>
        <w:ind w:firstLine="240" w:firstLineChars="100"/>
        <w:rPr>
          <w:rFonts w:cs="Times New Roman"/>
        </w:rPr>
      </w:pPr>
      <w:r>
        <w:rPr>
          <w:rFonts w:cs="Times New Roman"/>
        </w:rPr>
        <w:t>（2）厂商A先规划，然后厂商B再锁定厂商A的PCI规划结果，规划其区域的PCI，可避免边界PCI冲突，具体由省公司相关部门统一协调实施；</w:t>
      </w:r>
    </w:p>
    <w:p>
      <w:pPr>
        <w:pStyle w:val="605"/>
        <w:numPr>
          <w:ilvl w:val="0"/>
          <w:numId w:val="0"/>
        </w:numPr>
        <w:tabs>
          <w:tab w:val="left" w:pos="851"/>
        </w:tabs>
        <w:ind w:firstLine="240" w:firstLineChars="100"/>
        <w:rPr>
          <w:rFonts w:cs="Times New Roman"/>
        </w:rPr>
      </w:pPr>
      <w:r>
        <w:rPr>
          <w:rFonts w:cs="Times New Roman"/>
        </w:rPr>
        <w:t>（3）在厂商的边界区域各自划分一定距离的边界地带，两个厂商的边界地带PCI可用范围分开使用，避免PCI冲突。</w:t>
      </w:r>
    </w:p>
    <w:p>
      <w:pPr>
        <w:ind w:firstLine="480"/>
        <w:rPr>
          <w:rFonts w:cs="Times New Roman"/>
        </w:rPr>
      </w:pPr>
      <w:r>
        <w:rPr>
          <w:rFonts w:cs="Times New Roman"/>
        </w:rPr>
        <w:t>推荐使用第一种方法避免异厂商边界的PCI冲突，如果边界新增站点或者新增小区的PCI规划，或者厂商A或B的边界小区PCI修改，必须同时知会厂商A和B，双方进行PCI冲突核查。</w:t>
      </w:r>
    </w:p>
    <w:p>
      <w:pPr>
        <w:pStyle w:val="5"/>
        <w:rPr>
          <w:rFonts w:cs="Times New Roman"/>
        </w:rPr>
      </w:pPr>
      <w:bookmarkStart w:id="805" w:name="_Toc10992"/>
      <w:bookmarkStart w:id="806" w:name="_Toc2868688"/>
      <w:r>
        <w:rPr>
          <w:rFonts w:cs="Times New Roman"/>
        </w:rPr>
        <w:t>TA及TAI</w:t>
      </w:r>
      <w:r>
        <w:rPr>
          <w:rFonts w:cs="Times New Roman"/>
          <w:kern w:val="0"/>
        </w:rPr>
        <w:t>设置</w:t>
      </w:r>
      <w:bookmarkEnd w:id="805"/>
      <w:bookmarkEnd w:id="806"/>
    </w:p>
    <w:p>
      <w:pPr>
        <w:ind w:firstLine="240" w:firstLineChars="100"/>
        <w:jc w:val="left"/>
        <w:rPr>
          <w:rFonts w:cs="Times New Roman"/>
        </w:rPr>
      </w:pPr>
      <w:r>
        <w:rPr>
          <w:rFonts w:cs="Times New Roman"/>
        </w:rPr>
        <w:t>（1）TA设置</w:t>
      </w:r>
    </w:p>
    <w:p>
      <w:pPr>
        <w:ind w:firstLine="480"/>
        <w:rPr>
          <w:rFonts w:cs="Times New Roman"/>
        </w:rPr>
      </w:pPr>
      <w:r>
        <w:rPr>
          <w:rFonts w:cs="Times New Roman"/>
        </w:rPr>
        <w:t>在规划和部署TA时，应遵循以下原则：</w:t>
      </w:r>
    </w:p>
    <w:p>
      <w:pPr>
        <w:pStyle w:val="287"/>
        <w:numPr>
          <w:ilvl w:val="0"/>
          <w:numId w:val="55"/>
        </w:numPr>
        <w:ind w:firstLine="480"/>
        <w:rPr>
          <w:rFonts w:cs="Times New Roman"/>
        </w:rPr>
      </w:pPr>
      <w:r>
        <w:rPr>
          <w:rFonts w:cs="Times New Roman"/>
        </w:rPr>
        <w:t>应利用移动用户的地理分布和行为进行区域划分，减少边缘位置更新；</w:t>
      </w:r>
    </w:p>
    <w:p>
      <w:pPr>
        <w:pStyle w:val="287"/>
        <w:numPr>
          <w:ilvl w:val="0"/>
          <w:numId w:val="55"/>
        </w:numPr>
        <w:ind w:firstLine="480"/>
        <w:rPr>
          <w:rFonts w:cs="Times New Roman"/>
        </w:rPr>
      </w:pPr>
      <w:r>
        <w:rPr>
          <w:rFonts w:cs="Times New Roman"/>
        </w:rPr>
        <w:t>为便于网络管理，应避免TA跨厂商设置；</w:t>
      </w:r>
    </w:p>
    <w:p>
      <w:pPr>
        <w:pStyle w:val="287"/>
        <w:numPr>
          <w:ilvl w:val="0"/>
          <w:numId w:val="55"/>
        </w:numPr>
        <w:ind w:firstLine="480"/>
        <w:rPr>
          <w:rFonts w:cs="Times New Roman"/>
        </w:rPr>
      </w:pPr>
      <w:r>
        <w:rPr>
          <w:rFonts w:cs="Times New Roman"/>
        </w:rPr>
        <w:t>按照TA寻呼能力进行规划，初期为了提高规划效率，可以考虑和TD-LTE TA边界一致。</w:t>
      </w:r>
    </w:p>
    <w:p>
      <w:pPr>
        <w:ind w:firstLine="240" w:firstLineChars="100"/>
        <w:jc w:val="left"/>
        <w:rPr>
          <w:rFonts w:cs="Times New Roman"/>
        </w:rPr>
      </w:pPr>
      <w:r>
        <w:rPr>
          <w:rFonts w:cs="Times New Roman"/>
        </w:rPr>
        <w:t>（2）TAI设置</w:t>
      </w:r>
    </w:p>
    <w:p>
      <w:pPr>
        <w:ind w:firstLine="480"/>
        <w:rPr>
          <w:rFonts w:cs="Times New Roman"/>
        </w:rPr>
      </w:pPr>
      <w:r>
        <w:rPr>
          <w:rFonts w:cs="Times New Roman"/>
        </w:rPr>
        <w:t>跟踪区标识（TAI）用于标识跟踪区TA，终端在跟踪区内中移动时无需向网络侧发起跟踪区更新请求。TAI = &lt;MCC&gt; + &lt;MNC&gt; + &lt;TAC&gt;。</w:t>
      </w:r>
    </w:p>
    <w:p>
      <w:pPr>
        <w:ind w:firstLine="480"/>
        <w:rPr>
          <w:rFonts w:cs="Times New Roman"/>
        </w:rPr>
      </w:pPr>
      <w:r>
        <w:rPr>
          <w:rFonts w:cs="Times New Roman"/>
        </w:rPr>
        <w:t>5G网的MCC设置为460，MNC设置为08。</w:t>
      </w:r>
    </w:p>
    <w:p>
      <w:pPr>
        <w:ind w:firstLine="480"/>
        <w:rPr>
          <w:rFonts w:cs="Times New Roman"/>
        </w:rPr>
      </w:pPr>
      <w:r>
        <w:rPr>
          <w:rFonts w:cs="Times New Roman"/>
        </w:rPr>
        <w:t>TAC（Tracking Area Code）是跟踪区号码，5G网TAC使用6位16进制数，表示为L1L2L3L4L5L6，取值范围为 0x000000～0xFFFFFF，全部为0的编码不用。其中，L1L2取值由总部网络部统一分配，L3L4L5L6由各省自行分配，每一个L1L2号段包含65536个5G TAC号码。</w:t>
      </w:r>
    </w:p>
    <w:p>
      <w:pPr>
        <w:pStyle w:val="603"/>
        <w:rPr>
          <w:rFonts w:cs="Times New Roman"/>
        </w:rPr>
      </w:pPr>
      <w:r>
        <w:rPr>
          <w:rFonts w:cs="Times New Roman"/>
        </w:rPr>
        <w:t>表10.2-1  TAC的L1L2 的分配表</w:t>
      </w:r>
    </w:p>
    <w:tbl>
      <w:tblPr>
        <w:tblStyle w:val="63"/>
        <w:tblW w:w="8522" w:type="dxa"/>
        <w:tblInd w:w="0" w:type="dxa"/>
        <w:tblLayout w:type="fixed"/>
        <w:tblCellMar>
          <w:top w:w="0" w:type="dxa"/>
          <w:left w:w="108" w:type="dxa"/>
          <w:bottom w:w="0" w:type="dxa"/>
          <w:right w:w="108" w:type="dxa"/>
        </w:tblCellMar>
      </w:tblPr>
      <w:tblGrid>
        <w:gridCol w:w="752"/>
        <w:gridCol w:w="607"/>
        <w:gridCol w:w="390"/>
        <w:gridCol w:w="626"/>
        <w:gridCol w:w="569"/>
        <w:gridCol w:w="757"/>
        <w:gridCol w:w="320"/>
        <w:gridCol w:w="624"/>
        <w:gridCol w:w="482"/>
        <w:gridCol w:w="624"/>
        <w:gridCol w:w="397"/>
        <w:gridCol w:w="397"/>
        <w:gridCol w:w="397"/>
        <w:gridCol w:w="397"/>
        <w:gridCol w:w="397"/>
        <w:gridCol w:w="397"/>
        <w:gridCol w:w="389"/>
      </w:tblGrid>
      <w:tr>
        <w:tblPrEx>
          <w:tblCellMar>
            <w:top w:w="0" w:type="dxa"/>
            <w:left w:w="108" w:type="dxa"/>
            <w:bottom w:w="0" w:type="dxa"/>
            <w:right w:w="108" w:type="dxa"/>
          </w:tblCellMar>
        </w:tblPrEx>
        <w:trPr>
          <w:trHeight w:val="510" w:hRule="atLeast"/>
          <w:tblHeader/>
        </w:trPr>
        <w:tc>
          <w:tcPr>
            <w:tcW w:w="752" w:type="dxa"/>
            <w:tcBorders>
              <w:top w:val="single" w:color="auto" w:sz="8" w:space="0"/>
              <w:left w:val="single" w:color="auto" w:sz="8" w:space="0"/>
              <w:bottom w:val="single" w:color="auto" w:sz="4" w:space="0"/>
              <w:right w:val="single" w:color="auto" w:sz="4" w:space="0"/>
              <w:tl2br w:val="single" w:color="auto" w:sz="4" w:space="0"/>
            </w:tcBorders>
            <w:shd w:val="clear" w:color="auto" w:fill="auto"/>
          </w:tcPr>
          <w:p>
            <w:pPr>
              <w:widowControl/>
              <w:spacing w:line="240" w:lineRule="auto"/>
              <w:ind w:firstLine="0" w:firstLineChars="0"/>
              <w:jc w:val="left"/>
              <w:rPr>
                <w:rFonts w:cs="Times New Roman" w:eastAsiaTheme="minorEastAsia"/>
                <w:kern w:val="0"/>
                <w:sz w:val="18"/>
                <w:szCs w:val="18"/>
              </w:rPr>
            </w:pPr>
            <w:r>
              <w:rPr>
                <w:rFonts w:cs="Times New Roman" w:eastAsiaTheme="minorEastAsia"/>
                <w:kern w:val="0"/>
                <w:sz w:val="18"/>
                <w:szCs w:val="18"/>
              </w:rPr>
              <w:t xml:space="preserve">   L</w:t>
            </w:r>
            <w:r>
              <w:rPr>
                <w:rFonts w:cs="Times New Roman" w:eastAsiaTheme="minorEastAsia"/>
                <w:kern w:val="0"/>
                <w:sz w:val="18"/>
                <w:szCs w:val="18"/>
                <w:vertAlign w:val="subscript"/>
              </w:rPr>
              <w:t>2</w:t>
            </w:r>
            <w:r>
              <w:rPr>
                <w:rFonts w:cs="Times New Roman" w:eastAsiaTheme="minorEastAsia"/>
                <w:kern w:val="0"/>
                <w:sz w:val="18"/>
                <w:szCs w:val="18"/>
              </w:rPr>
              <w:t xml:space="preserve"> </w:t>
            </w:r>
            <w:r>
              <w:rPr>
                <w:rFonts w:cs="Times New Roman" w:eastAsiaTheme="minorEastAsia"/>
                <w:kern w:val="0"/>
                <w:sz w:val="18"/>
                <w:szCs w:val="18"/>
              </w:rPr>
              <w:br w:type="textWrapping"/>
            </w:r>
            <w:r>
              <w:rPr>
                <w:rFonts w:cs="Times New Roman" w:eastAsiaTheme="minorEastAsia"/>
                <w:kern w:val="0"/>
                <w:sz w:val="18"/>
                <w:szCs w:val="18"/>
              </w:rPr>
              <w:t xml:space="preserve"> L</w:t>
            </w:r>
            <w:r>
              <w:rPr>
                <w:rFonts w:cs="Times New Roman" w:eastAsiaTheme="minorEastAsia"/>
                <w:kern w:val="0"/>
                <w:sz w:val="18"/>
                <w:szCs w:val="18"/>
                <w:vertAlign w:val="subscript"/>
              </w:rPr>
              <w:t>1</w:t>
            </w:r>
          </w:p>
        </w:tc>
        <w:tc>
          <w:tcPr>
            <w:tcW w:w="60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0</w:t>
            </w:r>
          </w:p>
        </w:tc>
        <w:tc>
          <w:tcPr>
            <w:tcW w:w="390"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1</w:t>
            </w:r>
          </w:p>
        </w:tc>
        <w:tc>
          <w:tcPr>
            <w:tcW w:w="626"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2</w:t>
            </w:r>
          </w:p>
        </w:tc>
        <w:tc>
          <w:tcPr>
            <w:tcW w:w="569"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3</w:t>
            </w:r>
          </w:p>
        </w:tc>
        <w:tc>
          <w:tcPr>
            <w:tcW w:w="75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4</w:t>
            </w:r>
          </w:p>
        </w:tc>
        <w:tc>
          <w:tcPr>
            <w:tcW w:w="320"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5</w:t>
            </w:r>
          </w:p>
        </w:tc>
        <w:tc>
          <w:tcPr>
            <w:tcW w:w="624"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6</w:t>
            </w:r>
          </w:p>
        </w:tc>
        <w:tc>
          <w:tcPr>
            <w:tcW w:w="482"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7</w:t>
            </w:r>
          </w:p>
        </w:tc>
        <w:tc>
          <w:tcPr>
            <w:tcW w:w="624"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8</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9</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A</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B</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C</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D</w:t>
            </w:r>
          </w:p>
        </w:tc>
        <w:tc>
          <w:tcPr>
            <w:tcW w:w="397" w:type="dxa"/>
            <w:tcBorders>
              <w:top w:val="single" w:color="auto" w:sz="8"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E</w:t>
            </w:r>
          </w:p>
        </w:tc>
        <w:tc>
          <w:tcPr>
            <w:tcW w:w="389" w:type="dxa"/>
            <w:tcBorders>
              <w:top w:val="single" w:color="auto" w:sz="8" w:space="0"/>
              <w:left w:val="nil"/>
              <w:bottom w:val="single" w:color="auto" w:sz="4" w:space="0"/>
              <w:right w:val="single" w:color="auto" w:sz="8" w:space="0"/>
            </w:tcBorders>
            <w:shd w:val="clear" w:color="auto" w:fill="auto"/>
            <w:vAlign w:val="center"/>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F</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0</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rPr>
                <w:rFonts w:cs="Times New Roman" w:eastAsiaTheme="minorEastAsia"/>
                <w:color w:val="000000"/>
                <w:sz w:val="18"/>
                <w:szCs w:val="18"/>
              </w:rPr>
            </w:pPr>
          </w:p>
        </w:tc>
        <w:tc>
          <w:tcPr>
            <w:tcW w:w="626"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rPr>
                <w:rFonts w:cs="Times New Roman" w:eastAsiaTheme="minorEastAsia"/>
                <w:color w:val="000000"/>
                <w:sz w:val="18"/>
                <w:szCs w:val="18"/>
              </w:rPr>
            </w:pPr>
          </w:p>
        </w:tc>
        <w:tc>
          <w:tcPr>
            <w:tcW w:w="757"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1</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江苏</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浙江</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广东</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上海</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湖北</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2</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北京</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河北</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天津</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重庆</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四川</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3</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江西</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福建</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广西</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辽宁</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甘肃</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4</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河南</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吉林</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云南</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安徽</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西藏</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5</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广西</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宁夏</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内蒙古</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青海</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新疆</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6</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贵州</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海南</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黑龙江</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湖南</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山东</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7</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山西</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陕西</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8</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9</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A</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B</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C</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D</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4"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E</w:t>
            </w:r>
          </w:p>
        </w:tc>
        <w:tc>
          <w:tcPr>
            <w:tcW w:w="60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4"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r>
        <w:tblPrEx>
          <w:tblCellMar>
            <w:top w:w="0" w:type="dxa"/>
            <w:left w:w="108" w:type="dxa"/>
            <w:bottom w:w="0" w:type="dxa"/>
            <w:right w:w="108" w:type="dxa"/>
          </w:tblCellMar>
        </w:tblPrEx>
        <w:trPr>
          <w:trHeight w:val="319" w:hRule="atLeast"/>
        </w:trPr>
        <w:tc>
          <w:tcPr>
            <w:tcW w:w="752" w:type="dxa"/>
            <w:tcBorders>
              <w:top w:val="single" w:color="auto" w:sz="4" w:space="0"/>
              <w:left w:val="single" w:color="auto" w:sz="8" w:space="0"/>
              <w:bottom w:val="single" w:color="auto" w:sz="8" w:space="0"/>
              <w:right w:val="single" w:color="auto" w:sz="4" w:space="0"/>
            </w:tcBorders>
            <w:shd w:val="clear" w:color="auto" w:fill="auto"/>
          </w:tcPr>
          <w:p>
            <w:pPr>
              <w:widowControl/>
              <w:spacing w:line="240" w:lineRule="auto"/>
              <w:ind w:firstLine="0" w:firstLineChars="0"/>
              <w:jc w:val="center"/>
              <w:rPr>
                <w:rFonts w:cs="Times New Roman" w:eastAsiaTheme="minorEastAsia"/>
                <w:kern w:val="0"/>
                <w:sz w:val="18"/>
                <w:szCs w:val="18"/>
              </w:rPr>
            </w:pPr>
            <w:r>
              <w:rPr>
                <w:rFonts w:cs="Times New Roman" w:eastAsiaTheme="minorEastAsia"/>
                <w:kern w:val="0"/>
                <w:sz w:val="18"/>
                <w:szCs w:val="18"/>
              </w:rPr>
              <w:t>F</w:t>
            </w:r>
          </w:p>
        </w:tc>
        <w:tc>
          <w:tcPr>
            <w:tcW w:w="60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0"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6"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569"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75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20"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482"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624"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97" w:type="dxa"/>
            <w:tcBorders>
              <w:top w:val="single" w:color="auto" w:sz="4" w:space="0"/>
              <w:left w:val="nil"/>
              <w:bottom w:val="single" w:color="auto" w:sz="8" w:space="0"/>
              <w:right w:val="single" w:color="auto" w:sz="4"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c>
          <w:tcPr>
            <w:tcW w:w="389" w:type="dxa"/>
            <w:tcBorders>
              <w:top w:val="single" w:color="auto" w:sz="4" w:space="0"/>
              <w:left w:val="nil"/>
              <w:bottom w:val="single" w:color="auto" w:sz="8" w:space="0"/>
              <w:right w:val="single" w:color="auto" w:sz="8" w:space="0"/>
            </w:tcBorders>
            <w:shd w:val="clear" w:color="auto" w:fill="auto"/>
            <w:vAlign w:val="center"/>
          </w:tcPr>
          <w:p>
            <w:pPr>
              <w:spacing w:line="240" w:lineRule="auto"/>
              <w:ind w:firstLine="0" w:firstLineChars="0"/>
              <w:rPr>
                <w:rFonts w:cs="Times New Roman" w:eastAsiaTheme="minorEastAsia"/>
                <w:bCs/>
                <w:sz w:val="18"/>
                <w:szCs w:val="18"/>
              </w:rPr>
            </w:pPr>
            <w:r>
              <w:rPr>
                <w:rFonts w:cs="Times New Roman" w:eastAsiaTheme="minorEastAsia"/>
                <w:bCs/>
                <w:sz w:val="18"/>
                <w:szCs w:val="18"/>
              </w:rPr>
              <w:t>　</w:t>
            </w:r>
          </w:p>
        </w:tc>
      </w:tr>
    </w:tbl>
    <w:p>
      <w:pPr>
        <w:pStyle w:val="5"/>
        <w:rPr>
          <w:rFonts w:cs="Times New Roman"/>
        </w:rPr>
      </w:pPr>
      <w:bookmarkStart w:id="807" w:name="_Toc25755"/>
      <w:r>
        <w:rPr>
          <w:rFonts w:cs="Times New Roman"/>
        </w:rPr>
        <w:t>基站标识</w:t>
      </w:r>
      <w:bookmarkEnd w:id="807"/>
    </w:p>
    <w:p>
      <w:pPr>
        <w:ind w:firstLine="566" w:firstLineChars="236"/>
        <w:rPr>
          <w:rFonts w:cs="Times New Roman"/>
        </w:rPr>
      </w:pPr>
      <w:r>
        <w:rPr>
          <w:rFonts w:cs="Times New Roman"/>
        </w:rPr>
        <w:t>5G中gNB-ID长度扩展至24bit，可表示为X1X2X3X4X5X6（6位16进制数），其中X1X2（前两位）由集团网络部统一分配，X3X4X5X6由各省自行分配，每一个X1X2号段包含65536个gNodeB-ID码号资源，原则上可满足65536个逻辑基站规划建设需求。取值范围为0x000000～0xFFFFFF，全部为0的编码不用。管理流程上，gNB-ID号段（X1X2）申请流程与LTE eNodeB-ID号段申请流程相同。</w:t>
      </w:r>
    </w:p>
    <w:p>
      <w:pPr>
        <w:pStyle w:val="603"/>
        <w:rPr>
          <w:rFonts w:cs="Times New Roman"/>
        </w:rPr>
      </w:pPr>
      <w:r>
        <w:rPr>
          <w:rFonts w:cs="Times New Roman"/>
        </w:rPr>
        <w:t>表10.3</w:t>
      </w:r>
      <w:r>
        <w:rPr>
          <w:rFonts w:cs="Times New Roman"/>
        </w:rPr>
        <w:noBreakHyphen/>
      </w:r>
      <w:r>
        <w:rPr>
          <w:rFonts w:cs="Times New Roman"/>
        </w:rPr>
        <w:t>1  gNB-ID的X1 X2分配表</w:t>
      </w:r>
    </w:p>
    <w:tbl>
      <w:tblPr>
        <w:tblStyle w:val="63"/>
        <w:tblW w:w="8302" w:type="dxa"/>
        <w:tblInd w:w="0" w:type="dxa"/>
        <w:shd w:val="clear" w:color="auto" w:fill="FFFFFF" w:themeFill="background1"/>
        <w:tblLayout w:type="fixed"/>
        <w:tblCellMar>
          <w:top w:w="0" w:type="dxa"/>
          <w:left w:w="108" w:type="dxa"/>
          <w:bottom w:w="0" w:type="dxa"/>
          <w:right w:w="108" w:type="dxa"/>
        </w:tblCellMar>
      </w:tblPr>
      <w:tblGrid>
        <w:gridCol w:w="562"/>
        <w:gridCol w:w="414"/>
        <w:gridCol w:w="488"/>
        <w:gridCol w:w="488"/>
        <w:gridCol w:w="488"/>
        <w:gridCol w:w="488"/>
        <w:gridCol w:w="488"/>
        <w:gridCol w:w="488"/>
        <w:gridCol w:w="488"/>
        <w:gridCol w:w="488"/>
        <w:gridCol w:w="488"/>
        <w:gridCol w:w="494"/>
        <w:gridCol w:w="488"/>
        <w:gridCol w:w="488"/>
        <w:gridCol w:w="488"/>
        <w:gridCol w:w="488"/>
        <w:gridCol w:w="488"/>
      </w:tblGrid>
      <w:tr>
        <w:tblPrEx>
          <w:shd w:val="clear" w:color="auto" w:fill="FFFFFF" w:themeFill="background1"/>
          <w:tblCellMar>
            <w:top w:w="0" w:type="dxa"/>
            <w:left w:w="108" w:type="dxa"/>
            <w:bottom w:w="0" w:type="dxa"/>
            <w:right w:w="108" w:type="dxa"/>
          </w:tblCellMar>
        </w:tblPrEx>
        <w:trPr>
          <w:cantSplit/>
          <w:trHeight w:val="480" w:hRule="atLeast"/>
          <w:tblHeader/>
        </w:trPr>
        <w:tc>
          <w:tcPr>
            <w:tcW w:w="562" w:type="dxa"/>
            <w:tcBorders>
              <w:top w:val="single" w:color="auto" w:sz="8" w:space="0"/>
              <w:left w:val="single" w:color="auto" w:sz="8" w:space="0"/>
              <w:bottom w:val="single" w:color="auto" w:sz="4" w:space="0"/>
              <w:right w:val="single" w:color="auto" w:sz="4" w:space="0"/>
              <w:tl2br w:val="single" w:color="auto" w:sz="4" w:space="0"/>
            </w:tcBorders>
            <w:shd w:val="clear" w:color="auto" w:fill="FFFFFF" w:themeFill="background1"/>
          </w:tcPr>
          <w:p>
            <w:pPr>
              <w:pStyle w:val="290"/>
            </w:pPr>
            <w:r>
              <w:t xml:space="preserve">X2      </w:t>
            </w:r>
            <w:r>
              <w:br w:type="textWrapping"/>
            </w:r>
            <w:r>
              <w:t>X1</w:t>
            </w:r>
          </w:p>
        </w:tc>
        <w:tc>
          <w:tcPr>
            <w:tcW w:w="414"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0</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1</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2</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3</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4</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5</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6</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7</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8</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9</w:t>
            </w:r>
          </w:p>
        </w:tc>
        <w:tc>
          <w:tcPr>
            <w:tcW w:w="494"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A</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B</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C</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D</w:t>
            </w:r>
          </w:p>
        </w:tc>
        <w:tc>
          <w:tcPr>
            <w:tcW w:w="488" w:type="dxa"/>
            <w:tcBorders>
              <w:top w:val="single" w:color="auto" w:sz="8" w:space="0"/>
              <w:left w:val="nil"/>
              <w:bottom w:val="single" w:color="auto" w:sz="4" w:space="0"/>
              <w:right w:val="single" w:color="auto" w:sz="4" w:space="0"/>
            </w:tcBorders>
            <w:shd w:val="clear" w:color="auto" w:fill="FFFFFF" w:themeFill="background1"/>
            <w:vAlign w:val="center"/>
          </w:tcPr>
          <w:p>
            <w:pPr>
              <w:pStyle w:val="290"/>
            </w:pPr>
            <w:r>
              <w:t>E</w:t>
            </w:r>
          </w:p>
        </w:tc>
        <w:tc>
          <w:tcPr>
            <w:tcW w:w="488" w:type="dxa"/>
            <w:tcBorders>
              <w:top w:val="single" w:color="auto" w:sz="8" w:space="0"/>
              <w:left w:val="nil"/>
              <w:bottom w:val="single" w:color="auto" w:sz="4" w:space="0"/>
              <w:right w:val="single" w:color="auto" w:sz="8" w:space="0"/>
            </w:tcBorders>
            <w:shd w:val="clear" w:color="auto" w:fill="FFFFFF" w:themeFill="background1"/>
            <w:vAlign w:val="center"/>
          </w:tcPr>
          <w:p>
            <w:pPr>
              <w:pStyle w:val="290"/>
            </w:pPr>
            <w:r>
              <w:t>F</w:t>
            </w: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0</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1</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河北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宁夏</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海南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黑龙江</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青海</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北京</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内蒙古</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安徽</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云南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2</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福建</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西藏</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新疆</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山西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陕西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贵州</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湖南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山东</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3</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甘肃</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上海</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天津</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重庆</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4</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广西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5</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河南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6</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湖北</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vAlign w:val="center"/>
          </w:tcPr>
          <w:p>
            <w:pPr>
              <w:pStyle w:val="290"/>
            </w:pPr>
            <w:r>
              <w:t>7</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辽宁</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8</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江西</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9</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四川</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A</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江苏</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B</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浙江</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C</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r>
              <w:t>广东</w:t>
            </w: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D</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70" w:hRule="atLeast"/>
        </w:trPr>
        <w:tc>
          <w:tcPr>
            <w:tcW w:w="562" w:type="dxa"/>
            <w:tcBorders>
              <w:top w:val="single" w:color="auto" w:sz="4" w:space="0"/>
              <w:left w:val="single" w:color="auto" w:sz="8" w:space="0"/>
              <w:bottom w:val="single" w:color="auto" w:sz="4" w:space="0"/>
              <w:right w:val="single" w:color="auto" w:sz="4" w:space="0"/>
            </w:tcBorders>
            <w:shd w:val="clear" w:color="auto" w:fill="FFFFFF" w:themeFill="background1"/>
          </w:tcPr>
          <w:p>
            <w:pPr>
              <w:pStyle w:val="290"/>
            </w:pPr>
            <w:r>
              <w:t>E</w:t>
            </w:r>
          </w:p>
        </w:tc>
        <w:tc>
          <w:tcPr>
            <w:tcW w:w="41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4" w:space="0"/>
              <w:right w:val="single" w:color="auto" w:sz="8" w:space="0"/>
            </w:tcBorders>
            <w:shd w:val="clear" w:color="auto" w:fill="FFFFFF" w:themeFill="background1"/>
            <w:vAlign w:val="center"/>
          </w:tcPr>
          <w:p>
            <w:pPr>
              <w:pStyle w:val="290"/>
            </w:pPr>
          </w:p>
        </w:tc>
      </w:tr>
      <w:tr>
        <w:tblPrEx>
          <w:shd w:val="clear" w:color="auto" w:fill="FFFFFF" w:themeFill="background1"/>
          <w:tblCellMar>
            <w:top w:w="0" w:type="dxa"/>
            <w:left w:w="108" w:type="dxa"/>
            <w:bottom w:w="0" w:type="dxa"/>
            <w:right w:w="108" w:type="dxa"/>
          </w:tblCellMar>
        </w:tblPrEx>
        <w:trPr>
          <w:cantSplit/>
          <w:trHeight w:val="285" w:hRule="atLeast"/>
        </w:trPr>
        <w:tc>
          <w:tcPr>
            <w:tcW w:w="562" w:type="dxa"/>
            <w:tcBorders>
              <w:top w:val="single" w:color="auto" w:sz="4" w:space="0"/>
              <w:left w:val="single" w:color="auto" w:sz="8" w:space="0"/>
              <w:bottom w:val="single" w:color="auto" w:sz="8" w:space="0"/>
              <w:right w:val="single" w:color="auto" w:sz="4" w:space="0"/>
            </w:tcBorders>
            <w:shd w:val="clear" w:color="auto" w:fill="FFFFFF" w:themeFill="background1"/>
          </w:tcPr>
          <w:p>
            <w:pPr>
              <w:pStyle w:val="290"/>
            </w:pPr>
            <w:r>
              <w:t>F</w:t>
            </w:r>
          </w:p>
        </w:tc>
        <w:tc>
          <w:tcPr>
            <w:tcW w:w="414"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94"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4" w:space="0"/>
            </w:tcBorders>
            <w:shd w:val="clear" w:color="auto" w:fill="FFFFFF" w:themeFill="background1"/>
            <w:vAlign w:val="center"/>
          </w:tcPr>
          <w:p>
            <w:pPr>
              <w:pStyle w:val="290"/>
            </w:pPr>
          </w:p>
        </w:tc>
        <w:tc>
          <w:tcPr>
            <w:tcW w:w="488" w:type="dxa"/>
            <w:tcBorders>
              <w:top w:val="single" w:color="auto" w:sz="4" w:space="0"/>
              <w:left w:val="nil"/>
              <w:bottom w:val="single" w:color="auto" w:sz="8" w:space="0"/>
              <w:right w:val="single" w:color="auto" w:sz="8" w:space="0"/>
            </w:tcBorders>
            <w:shd w:val="clear" w:color="auto" w:fill="FFFFFF" w:themeFill="background1"/>
            <w:vAlign w:val="center"/>
          </w:tcPr>
          <w:p>
            <w:pPr>
              <w:pStyle w:val="290"/>
            </w:pPr>
          </w:p>
        </w:tc>
      </w:tr>
    </w:tbl>
    <w:p>
      <w:pPr>
        <w:pStyle w:val="5"/>
        <w:rPr>
          <w:rFonts w:cs="Times New Roman"/>
        </w:rPr>
      </w:pPr>
      <w:bookmarkStart w:id="808" w:name="_Toc2868690"/>
      <w:bookmarkStart w:id="809" w:name="_Toc535940927"/>
      <w:bookmarkStart w:id="810" w:name="_Toc532460422"/>
      <w:bookmarkStart w:id="811" w:name="_Toc8742"/>
      <w:r>
        <w:rPr>
          <w:rFonts w:cs="Times New Roman"/>
        </w:rPr>
        <w:t>小区标识NCGI</w:t>
      </w:r>
      <w:bookmarkEnd w:id="808"/>
      <w:bookmarkEnd w:id="809"/>
      <w:bookmarkEnd w:id="810"/>
      <w:bookmarkEnd w:id="811"/>
    </w:p>
    <w:p>
      <w:pPr>
        <w:ind w:firstLine="566" w:firstLineChars="236"/>
        <w:rPr>
          <w:rFonts w:cs="Times New Roman"/>
        </w:rPr>
      </w:pPr>
      <w:bookmarkStart w:id="812" w:name="_Toc2868691"/>
      <w:bookmarkStart w:id="813" w:name="_Toc535940928"/>
      <w:r>
        <w:rPr>
          <w:rFonts w:cs="Times New Roman"/>
        </w:rPr>
        <w:t>5G标准定义NCGI（NR Cell Global Identifier）=&lt;MCC&gt;+&lt;MNC&gt;+&lt;NCI&gt;，其中NR小区标识NCI = &lt;gNodeB-ID&gt; + &lt;Cell-ID&gt;，长度扩展至36bit，gNodeB-ID为24bit长，剩余12bit为Cell-ID。</w:t>
      </w:r>
    </w:p>
    <w:p>
      <w:pPr>
        <w:ind w:firstLine="566" w:firstLineChars="236"/>
        <w:rPr>
          <w:rFonts w:cs="Times New Roman"/>
        </w:rPr>
      </w:pPr>
      <w:r>
        <w:rPr>
          <w:rFonts w:cs="Times New Roman"/>
        </w:rPr>
        <w:t>5G小区标识CELL-ID为12比特，预留高两位bit作为标识小区类型（初始值设置为00），可用作未来扩展gNodeB-ID码号空间或区分不同类型小区，后10位bit由各省自行分配，原则上可满足1024个小区的标识需求。</w:t>
      </w:r>
    </w:p>
    <w:p>
      <w:pPr>
        <w:pStyle w:val="5"/>
        <w:rPr>
          <w:rFonts w:cs="Times New Roman"/>
        </w:rPr>
      </w:pPr>
      <w:bookmarkStart w:id="814" w:name="_Toc20309"/>
      <w:r>
        <w:rPr>
          <w:rFonts w:cs="Times New Roman"/>
        </w:rPr>
        <w:t>IP地址</w:t>
      </w:r>
      <w:bookmarkEnd w:id="812"/>
      <w:bookmarkEnd w:id="813"/>
      <w:bookmarkEnd w:id="814"/>
    </w:p>
    <w:p>
      <w:pPr>
        <w:pStyle w:val="287"/>
        <w:ind w:firstLine="480"/>
        <w:rPr>
          <w:rFonts w:cs="Times New Roman"/>
        </w:rPr>
      </w:pPr>
      <w:r>
        <w:rPr>
          <w:rFonts w:cs="Times New Roman"/>
        </w:rPr>
        <w:t>IP地址规划分配应遵循《中国移动IP地址资源规划》。</w:t>
      </w:r>
    </w:p>
    <w:p>
      <w:pPr>
        <w:ind w:firstLine="480"/>
        <w:rPr>
          <w:rFonts w:cs="Times New Roman"/>
        </w:rPr>
      </w:pPr>
      <w:r>
        <w:rPr>
          <w:rFonts w:cs="Times New Roman"/>
        </w:rPr>
        <w:t>gNB基站需支持配置IPv4和IPv6双栈地址的能力。当gNB由不支持IPv6的PTN承载时，需分配IPv4地址。</w:t>
      </w:r>
    </w:p>
    <w:p>
      <w:pPr>
        <w:ind w:firstLine="480"/>
        <w:rPr>
          <w:rFonts w:cs="Times New Roman"/>
          <w:color w:val="FF0000"/>
        </w:rPr>
      </w:pPr>
      <w:r>
        <w:rPr>
          <w:rFonts w:cs="Times New Roman"/>
        </w:rPr>
        <w:t>若基站的业务地址和管理地址可以共用一个IP地址时，可分配一个IPv4/IPv6地址。若基站的业务地址和网管地址不支持共用一个地址时，需要为每个基站分配两个IPv4/IPv6地址（一个业务地址，一个网管地址）。</w:t>
      </w:r>
    </w:p>
    <w:p>
      <w:pPr>
        <w:pStyle w:val="4"/>
        <w:rPr>
          <w:rFonts w:cs="Times New Roman"/>
        </w:rPr>
      </w:pPr>
      <w:bookmarkStart w:id="815" w:name="_Toc26119"/>
      <w:r>
        <w:rPr>
          <w:rFonts w:cs="Times New Roman"/>
        </w:rPr>
        <w:t>OMC-R设置方案</w:t>
      </w:r>
      <w:bookmarkEnd w:id="801"/>
      <w:bookmarkEnd w:id="802"/>
      <w:bookmarkEnd w:id="803"/>
      <w:bookmarkEnd w:id="804"/>
      <w:bookmarkEnd w:id="815"/>
    </w:p>
    <w:p>
      <w:pPr>
        <w:ind w:firstLine="480"/>
        <w:rPr>
          <w:rFonts w:cs="Times New Roman"/>
        </w:rPr>
      </w:pPr>
      <w:r>
        <w:rPr>
          <w:rFonts w:cs="Times New Roman"/>
        </w:rPr>
        <w:t>操作维护中心（OMC-R）应具有故障管理、性能管理、配置管理、安全管理和环境监控等功能。</w:t>
      </w:r>
    </w:p>
    <w:p>
      <w:pPr>
        <w:ind w:firstLine="199" w:firstLineChars="83"/>
        <w:rPr>
          <w:rFonts w:cs="Times New Roman"/>
        </w:rPr>
      </w:pPr>
      <w:r>
        <w:rPr>
          <w:rFonts w:cs="Times New Roman"/>
        </w:rPr>
        <w:t>（1）故障管理</w:t>
      </w:r>
    </w:p>
    <w:p>
      <w:pPr>
        <w:ind w:firstLine="480"/>
        <w:rPr>
          <w:rFonts w:cs="Times New Roman"/>
        </w:rPr>
      </w:pPr>
      <w:r>
        <w:rPr>
          <w:rFonts w:cs="Times New Roman"/>
        </w:rPr>
        <w:t>主要负责对各无线网络单元的异常进行监测、定位，并进行隔离、存储与恢复。</w:t>
      </w:r>
    </w:p>
    <w:p>
      <w:pPr>
        <w:ind w:firstLine="199" w:firstLineChars="83"/>
        <w:rPr>
          <w:rFonts w:cs="Times New Roman"/>
        </w:rPr>
      </w:pPr>
      <w:r>
        <w:rPr>
          <w:rFonts w:cs="Times New Roman"/>
        </w:rPr>
        <w:t>（2）性能管理</w:t>
      </w:r>
    </w:p>
    <w:p>
      <w:pPr>
        <w:ind w:firstLine="480"/>
        <w:rPr>
          <w:rFonts w:cs="Times New Roman"/>
        </w:rPr>
      </w:pPr>
      <w:r>
        <w:rPr>
          <w:rFonts w:cs="Times New Roman"/>
        </w:rPr>
        <w:t>提供一套管理机制，用于产生、搜集、处理和显示无线网络各网元的有关性能数据，为操作人员进行无线网络有效的管理和规划提供必要的信息。</w:t>
      </w:r>
    </w:p>
    <w:p>
      <w:pPr>
        <w:ind w:firstLine="199" w:firstLineChars="83"/>
        <w:rPr>
          <w:rFonts w:cs="Times New Roman"/>
        </w:rPr>
      </w:pPr>
      <w:r>
        <w:rPr>
          <w:rFonts w:cs="Times New Roman"/>
        </w:rPr>
        <w:t>（3）配置管理</w:t>
      </w:r>
    </w:p>
    <w:p>
      <w:pPr>
        <w:ind w:firstLine="480"/>
        <w:rPr>
          <w:rFonts w:cs="Times New Roman"/>
        </w:rPr>
      </w:pPr>
      <w:r>
        <w:rPr>
          <w:rFonts w:cs="Times New Roman"/>
        </w:rPr>
        <w:t>配置管理负责对系统配置的变更进行有效的监视和管理。系统配置包括：硬件配置、软件配置、逻辑配置、时间与日期配置等。</w:t>
      </w:r>
    </w:p>
    <w:p>
      <w:pPr>
        <w:ind w:firstLine="199" w:firstLineChars="83"/>
        <w:rPr>
          <w:rFonts w:cs="Times New Roman"/>
        </w:rPr>
      </w:pPr>
      <w:r>
        <w:rPr>
          <w:rFonts w:cs="Times New Roman"/>
        </w:rPr>
        <w:t>（4）安全管理</w:t>
      </w:r>
    </w:p>
    <w:p>
      <w:pPr>
        <w:ind w:firstLine="480"/>
        <w:rPr>
          <w:rFonts w:cs="Times New Roman"/>
        </w:rPr>
      </w:pPr>
      <w:r>
        <w:rPr>
          <w:rFonts w:cs="Times New Roman"/>
        </w:rPr>
        <w:t>主要负责如何授权管理及对全网安全其保证作用。包括监视网络危险情况，对危险进性隔离并把危险控制在最小范围内；也包括口令管理，对操作人员的操作权限进行控制等。</w:t>
      </w:r>
    </w:p>
    <w:p>
      <w:pPr>
        <w:ind w:firstLine="199" w:firstLineChars="83"/>
        <w:rPr>
          <w:rFonts w:cs="Times New Roman"/>
        </w:rPr>
      </w:pPr>
      <w:r>
        <w:rPr>
          <w:rFonts w:cs="Times New Roman"/>
        </w:rPr>
        <w:t>（5）环境监控：</w:t>
      </w:r>
    </w:p>
    <w:p>
      <w:pPr>
        <w:ind w:firstLine="480"/>
        <w:rPr>
          <w:rFonts w:cs="Times New Roman"/>
        </w:rPr>
      </w:pPr>
      <w:r>
        <w:rPr>
          <w:rFonts w:cs="Times New Roman"/>
        </w:rPr>
        <w:t>实现无线网络外围设备环境监控，主要包括机房温度、湿度、火情、门禁等。</w:t>
      </w:r>
    </w:p>
    <w:p>
      <w:pPr>
        <w:pStyle w:val="5"/>
      </w:pPr>
      <w:bookmarkStart w:id="816" w:name="_Toc6179"/>
      <w:bookmarkStart w:id="817" w:name="_Toc33365745"/>
      <w:r>
        <w:t>OMC-R</w:t>
      </w:r>
      <w:r>
        <w:rPr>
          <w:rFonts w:hint="eastAsia"/>
        </w:rPr>
        <w:t>系统组网方式</w:t>
      </w:r>
      <w:bookmarkEnd w:id="816"/>
      <w:bookmarkEnd w:id="817"/>
    </w:p>
    <w:p>
      <w:pPr>
        <w:ind w:firstLine="480"/>
      </w:pPr>
      <w:r>
        <w:t>OMC-R</w:t>
      </w:r>
      <w:r>
        <w:rPr>
          <w:rFonts w:hint="eastAsia"/>
        </w:rPr>
        <w:t>系统在硬件上包括应用服务器、数据库服务器、操作维护终端</w:t>
      </w:r>
      <w:r>
        <w:t>OMT</w:t>
      </w:r>
      <w:r>
        <w:rPr>
          <w:rFonts w:hint="eastAsia"/>
        </w:rPr>
        <w:t>和其它组网设备。</w:t>
      </w:r>
    </w:p>
    <w:p>
      <w:pPr>
        <w:ind w:firstLine="480"/>
      </w:pPr>
      <w:r>
        <w:t>OMC-R</w:t>
      </w:r>
      <w:r>
        <w:rPr>
          <w:rFonts w:hint="eastAsia"/>
        </w:rPr>
        <w:t>部署的总体原则是：</w:t>
      </w:r>
    </w:p>
    <w:p>
      <w:pPr>
        <w:ind w:firstLine="480"/>
      </w:pPr>
      <w:r>
        <w:rPr>
          <w:rFonts w:hint="eastAsia"/>
        </w:rPr>
        <w:t>（</w:t>
      </w:r>
      <w:r>
        <w:t>1</w:t>
      </w:r>
      <w:r>
        <w:rPr>
          <w:rFonts w:hint="eastAsia"/>
        </w:rPr>
        <w:t>）</w:t>
      </w:r>
      <w:r>
        <w:t>OMC-R</w:t>
      </w:r>
      <w:r>
        <w:rPr>
          <w:rFonts w:hint="eastAsia"/>
        </w:rPr>
        <w:t>以省为单位集中设置，</w:t>
      </w:r>
      <w:r>
        <w:t>OMC-R</w:t>
      </w:r>
      <w:r>
        <w:rPr>
          <w:rFonts w:hint="eastAsia"/>
        </w:rPr>
        <w:t>具备对全部网元的集中管理功能，即通过任意一台</w:t>
      </w:r>
      <w:r>
        <w:t>OMC-R</w:t>
      </w:r>
      <w:r>
        <w:rPr>
          <w:rFonts w:hint="eastAsia"/>
        </w:rPr>
        <w:t>，即可实现对同厂家全部网元的集中呈现、管理（配置、性能、告警等）；同厂商同系统的</w:t>
      </w:r>
      <w:r>
        <w:t xml:space="preserve">OMC </w:t>
      </w:r>
      <w:r>
        <w:rPr>
          <w:rFonts w:hint="eastAsia"/>
        </w:rPr>
        <w:t>北向通过一套接口，实现配置、性能、告警等数据的传送功能。</w:t>
      </w:r>
    </w:p>
    <w:p>
      <w:pPr>
        <w:ind w:firstLine="480"/>
      </w:pPr>
      <w:r>
        <w:rPr>
          <w:rFonts w:hint="eastAsia"/>
        </w:rPr>
        <w:t>（</w:t>
      </w:r>
      <w:r>
        <w:t>2</w:t>
      </w:r>
      <w:r>
        <w:rPr>
          <w:rFonts w:hint="eastAsia"/>
        </w:rPr>
        <w:t>）支持对</w:t>
      </w:r>
      <w:r>
        <w:t>2G/3G/4G/</w:t>
      </w:r>
      <w:r>
        <w:rPr>
          <w:rFonts w:hint="eastAsia"/>
        </w:rPr>
        <w:t>NB-IoT</w:t>
      </w:r>
      <w:r>
        <w:t>/5G</w:t>
      </w:r>
      <w:r>
        <w:rPr>
          <w:rFonts w:hint="eastAsia"/>
        </w:rPr>
        <w:t>单模或任意组合的多模站的配置、告警、性能等信息进行管理。性能统计可对同站址、共</w:t>
      </w:r>
      <w:r>
        <w:t>RRU</w:t>
      </w:r>
      <w:r>
        <w:rPr>
          <w:rFonts w:hint="eastAsia"/>
        </w:rPr>
        <w:t>、共天馈的多模站按照制式进行区分。</w:t>
      </w:r>
    </w:p>
    <w:p>
      <w:pPr>
        <w:pStyle w:val="5"/>
      </w:pPr>
      <w:bookmarkStart w:id="818" w:name="_Toc33365746"/>
      <w:bookmarkStart w:id="819" w:name="_Toc27754"/>
      <w:r>
        <w:rPr>
          <w:rFonts w:hint="eastAsia"/>
        </w:rPr>
        <w:t>基站与</w:t>
      </w:r>
      <w:r>
        <w:t>OMC-R</w:t>
      </w:r>
      <w:r>
        <w:rPr>
          <w:rFonts w:hint="eastAsia"/>
        </w:rPr>
        <w:t>的连接方式</w:t>
      </w:r>
      <w:bookmarkEnd w:id="818"/>
      <w:bookmarkEnd w:id="819"/>
    </w:p>
    <w:p>
      <w:pPr>
        <w:ind w:firstLine="480"/>
      </w:pPr>
      <w:r>
        <w:rPr>
          <w:rFonts w:hint="eastAsia"/>
        </w:rPr>
        <w:t>全省各地市</w:t>
      </w:r>
      <w:r>
        <w:t>5G</w:t>
      </w:r>
      <w:r>
        <w:rPr>
          <w:rFonts w:hint="eastAsia"/>
        </w:rPr>
        <w:t>基站的网管信息接入到网管网方案：</w:t>
      </w:r>
    </w:p>
    <w:p>
      <w:pPr>
        <w:ind w:firstLine="480"/>
      </w:pPr>
      <w:r>
        <w:rPr>
          <w:rFonts w:hint="eastAsia"/>
        </w:rPr>
        <w:t>通过</w:t>
      </w:r>
      <w:r>
        <w:t>PTN</w:t>
      </w:r>
      <w:r>
        <w:rPr>
          <w:rFonts w:hint="eastAsia"/>
        </w:rPr>
        <w:t>核心层直接连接到网管中心</w:t>
      </w:r>
      <w:r>
        <w:t>OMC</w:t>
      </w:r>
      <w:r>
        <w:rPr>
          <w:rFonts w:hint="eastAsia"/>
        </w:rPr>
        <w:t>汇聚交换机上，避免原始网管及采集数据经过</w:t>
      </w:r>
      <w:r>
        <w:t>MDCN</w:t>
      </w:r>
      <w:r>
        <w:rPr>
          <w:rFonts w:hint="eastAsia"/>
        </w:rPr>
        <w:t>网管网。</w:t>
      </w:r>
    </w:p>
    <w:p>
      <w:pPr>
        <w:pStyle w:val="5"/>
      </w:pPr>
      <w:bookmarkStart w:id="820" w:name="_Toc2097"/>
      <w:bookmarkStart w:id="821" w:name="_Toc33365747"/>
      <w:r>
        <w:t>OMC-R</w:t>
      </w:r>
      <w:r>
        <w:rPr>
          <w:rFonts w:hint="eastAsia"/>
        </w:rPr>
        <w:t>与</w:t>
      </w:r>
      <w:r>
        <w:t>OMC</w:t>
      </w:r>
      <w:r>
        <w:rPr>
          <w:rFonts w:hint="eastAsia"/>
        </w:rPr>
        <w:t>操作维护终端组网方式</w:t>
      </w:r>
      <w:bookmarkEnd w:id="820"/>
      <w:bookmarkEnd w:id="821"/>
    </w:p>
    <w:p>
      <w:pPr>
        <w:ind w:firstLine="480"/>
      </w:pPr>
      <w:r>
        <w:rPr>
          <w:rFonts w:hint="eastAsia"/>
        </w:rPr>
        <w:t>根据</w:t>
      </w:r>
      <w:r>
        <w:t>OMC</w:t>
      </w:r>
      <w:r>
        <w:rPr>
          <w:rFonts w:hint="eastAsia"/>
        </w:rPr>
        <w:t>操作维护终端</w:t>
      </w:r>
      <w:r>
        <w:t>OMT</w:t>
      </w:r>
      <w:r>
        <w:rPr>
          <w:rFonts w:hint="eastAsia"/>
        </w:rPr>
        <w:t>设备所在地域的不同和用户的需求，</w:t>
      </w:r>
      <w:r>
        <w:t>OMC</w:t>
      </w:r>
      <w:r>
        <w:rPr>
          <w:rFonts w:hint="eastAsia"/>
        </w:rPr>
        <w:t>组网可以采用同局址组网和远程组网两种方式。</w:t>
      </w:r>
    </w:p>
    <w:p>
      <w:pPr>
        <w:ind w:firstLine="480"/>
      </w:pPr>
      <w:r>
        <w:rPr>
          <w:rFonts w:hint="eastAsia"/>
        </w:rPr>
        <w:t>（</w:t>
      </w:r>
      <w:r>
        <w:t>1</w:t>
      </w:r>
      <w:r>
        <w:rPr>
          <w:rFonts w:hint="eastAsia"/>
        </w:rPr>
        <w:t>）同局址组网方式：</w:t>
      </w:r>
    </w:p>
    <w:p>
      <w:pPr>
        <w:ind w:firstLine="480"/>
      </w:pPr>
      <w:r>
        <w:rPr>
          <w:rFonts w:hint="eastAsia"/>
        </w:rPr>
        <w:t>适用于所有</w:t>
      </w:r>
      <w:r>
        <w:t>OMT</w:t>
      </w:r>
      <w:r>
        <w:rPr>
          <w:rFonts w:hint="eastAsia"/>
        </w:rPr>
        <w:t>终端设备都在同一个局址的情况。</w:t>
      </w:r>
    </w:p>
    <w:p>
      <w:pPr>
        <w:ind w:firstLine="480"/>
      </w:pPr>
      <w:r>
        <w:rPr>
          <w:rFonts w:hint="eastAsia"/>
        </w:rPr>
        <w:t>（</w:t>
      </w:r>
      <w:r>
        <w:t>2</w:t>
      </w:r>
      <w:r>
        <w:rPr>
          <w:rFonts w:hint="eastAsia"/>
        </w:rPr>
        <w:t>）远程组网方式：</w:t>
      </w:r>
    </w:p>
    <w:p>
      <w:pPr>
        <w:ind w:firstLine="480"/>
      </w:pPr>
      <w:r>
        <w:rPr>
          <w:rFonts w:hint="eastAsia"/>
        </w:rPr>
        <w:t>适用于</w:t>
      </w:r>
      <w:r>
        <w:t>OMT</w:t>
      </w:r>
      <w:r>
        <w:rPr>
          <w:rFonts w:hint="eastAsia"/>
        </w:rPr>
        <w:t>终端设备在不同局址的情况。</w:t>
      </w:r>
    </w:p>
    <w:p>
      <w:pPr>
        <w:ind w:firstLine="480"/>
      </w:pPr>
      <w:r>
        <w:rPr>
          <w:rFonts w:hint="eastAsia"/>
        </w:rPr>
        <w:t>在两种组网方式中，</w:t>
      </w:r>
      <w:r>
        <w:t>5G NR OMC</w:t>
      </w:r>
      <w:r>
        <w:rPr>
          <w:rFonts w:hint="eastAsia"/>
        </w:rPr>
        <w:t>都可以对</w:t>
      </w:r>
      <w:r>
        <w:t>5G NR</w:t>
      </w:r>
      <w:r>
        <w:rPr>
          <w:rFonts w:hint="eastAsia"/>
        </w:rPr>
        <w:t>设备进行集中维护，在任一个管理单元所在地都能对全局的</w:t>
      </w:r>
      <w:r>
        <w:t>5G NR</w:t>
      </w:r>
      <w:r>
        <w:rPr>
          <w:rFonts w:hint="eastAsia"/>
        </w:rPr>
        <w:t>设备进行维护。</w:t>
      </w:r>
    </w:p>
    <w:p>
      <w:pPr>
        <w:pStyle w:val="5"/>
      </w:pPr>
      <w:bookmarkStart w:id="822" w:name="_Toc8628"/>
      <w:bookmarkStart w:id="823" w:name="_Toc33365748"/>
      <w:r>
        <w:t>OMC-R</w:t>
      </w:r>
      <w:r>
        <w:rPr>
          <w:rFonts w:hint="eastAsia"/>
        </w:rPr>
        <w:t>建设方案</w:t>
      </w:r>
      <w:bookmarkEnd w:id="822"/>
      <w:bookmarkEnd w:id="823"/>
    </w:p>
    <w:p>
      <w:pPr>
        <w:ind w:firstLine="480"/>
      </w:pPr>
      <w:r>
        <w:t>OMC-R</w:t>
      </w:r>
      <w:r>
        <w:rPr>
          <w:rFonts w:hint="eastAsia"/>
        </w:rPr>
        <w:t>系统应尽量采用通用</w:t>
      </w:r>
      <w:r>
        <w:t>X86</w:t>
      </w:r>
      <w:r>
        <w:rPr>
          <w:rFonts w:hint="eastAsia"/>
        </w:rPr>
        <w:t>硬件平台。</w:t>
      </w:r>
      <w:r>
        <w:t>OMC-R</w:t>
      </w:r>
      <w:r>
        <w:rPr>
          <w:rFonts w:hint="eastAsia"/>
        </w:rPr>
        <w:t>软件应具备平滑扩容的能力。</w:t>
      </w:r>
      <w:r>
        <w:t>OMC-R</w:t>
      </w:r>
      <w:r>
        <w:rPr>
          <w:rFonts w:hint="eastAsia"/>
        </w:rPr>
        <w:t>硬件配置，可以有两档，管理</w:t>
      </w:r>
      <w:r>
        <w:t>100000</w:t>
      </w:r>
      <w:r>
        <w:rPr>
          <w:rFonts w:hint="eastAsia"/>
        </w:rPr>
        <w:t>无线小区或者管理</w:t>
      </w:r>
      <w:r>
        <w:t>200000</w:t>
      </w:r>
      <w:r>
        <w:rPr>
          <w:rFonts w:hint="eastAsia"/>
        </w:rPr>
        <w:t>小区。具体根据省公司需求的小区数量进行核算，各省选择哪档硬件配置。</w:t>
      </w:r>
      <w:r>
        <w:t>OMC-R</w:t>
      </w:r>
      <w:r>
        <w:rPr>
          <w:rFonts w:hint="eastAsia"/>
        </w:rPr>
        <w:t>容量负荷以不超过</w:t>
      </w:r>
      <w:r>
        <w:t>70%</w:t>
      </w:r>
      <w:r>
        <w:rPr>
          <w:rFonts w:hint="eastAsia"/>
        </w:rPr>
        <w:t>为宜，</w:t>
      </w:r>
      <w:r>
        <w:t>OMC-R</w:t>
      </w:r>
      <w:r>
        <w:rPr>
          <w:rFonts w:hint="eastAsia"/>
        </w:rPr>
        <w:t>的硬件设备配置应具备后续扩容的能力。</w:t>
      </w:r>
    </w:p>
    <w:p>
      <w:pPr>
        <w:pStyle w:val="243"/>
        <w:ind w:firstLine="480"/>
        <w:rPr>
          <w:rFonts w:ascii="Times New Roman" w:hAnsi="Times New Roman"/>
        </w:rPr>
      </w:pPr>
      <w:r>
        <w:rPr>
          <w:rFonts w:hint="eastAsia"/>
        </w:rPr>
        <w:t>本次工程共建设</w:t>
      </w:r>
      <w:r>
        <w:rPr>
          <w:rFonts w:hint="eastAsia"/>
          <w:color w:val="FF0000"/>
        </w:rPr>
        <w:t>1</w:t>
      </w:r>
      <w:r>
        <w:rPr>
          <w:rFonts w:hint="eastAsia"/>
          <w:color w:val="000000" w:themeColor="text1"/>
          <w14:textFill>
            <w14:solidFill>
              <w14:schemeClr w14:val="tx1"/>
            </w14:solidFill>
          </w14:textFill>
        </w:rPr>
        <w:t>套</w:t>
      </w:r>
      <w:r>
        <w:rPr>
          <w:rFonts w:ascii="Times New Roman" w:hAnsi="Times New Roman"/>
          <w:szCs w:val="21"/>
        </w:rPr>
        <w:t>OMC-R</w:t>
      </w:r>
      <w:r>
        <w:rPr>
          <w:rFonts w:hint="eastAsia"/>
        </w:rPr>
        <w:t>设备，</w:t>
      </w:r>
      <w:r>
        <w:rPr>
          <w:rFonts w:hint="eastAsia"/>
          <w:color w:val="FF0000"/>
        </w:rPr>
        <w:t>放置在无锡市太科园3层东机房</w:t>
      </w:r>
      <w:r>
        <w:rPr>
          <w:rFonts w:hint="eastAsia"/>
        </w:rPr>
        <w:t>。</w:t>
      </w:r>
      <w:r>
        <w:rPr>
          <w:rFonts w:ascii="Times New Roman" w:hAnsi="Times New Roman"/>
          <w:szCs w:val="21"/>
        </w:rPr>
        <w:t>OMC-R</w:t>
      </w:r>
      <w:r>
        <w:rPr>
          <w:rFonts w:hint="eastAsia" w:ascii="Times New Roman" w:hAnsi="Times New Roman"/>
          <w:szCs w:val="21"/>
        </w:rPr>
        <w:t>设</w:t>
      </w:r>
      <w:r>
        <w:rPr>
          <w:rFonts w:hint="eastAsia"/>
        </w:rPr>
        <w:t>备配置表如下：</w:t>
      </w:r>
    </w:p>
    <w:p>
      <w:pPr>
        <w:pStyle w:val="603"/>
        <w:ind w:firstLine="400"/>
        <w:rPr>
          <w:rFonts w:asciiTheme="minorEastAsia" w:hAnsiTheme="minorEastAsia"/>
        </w:rPr>
      </w:pPr>
      <w:r>
        <w:rPr>
          <w:rFonts w:hint="eastAsia" w:asciiTheme="minorEastAsia" w:hAnsiTheme="minorEastAsia"/>
        </w:rPr>
        <w:t>表</w:t>
      </w:r>
      <w:r>
        <w:t xml:space="preserve"> </w:t>
      </w:r>
      <w:r>
        <w:rPr>
          <w:rFonts w:hint="eastAsia"/>
        </w:rPr>
        <w:t>11</w:t>
      </w:r>
      <w:r>
        <w:t>.4</w:t>
      </w:r>
      <w:r>
        <w:noBreakHyphen/>
      </w:r>
      <w:r>
        <w:fldChar w:fldCharType="begin"/>
      </w:r>
      <w:r>
        <w:instrText xml:space="preserve"> SEQ 表 \* ARABIC \s 2 </w:instrText>
      </w:r>
      <w:r>
        <w:fldChar w:fldCharType="separate"/>
      </w:r>
      <w:r>
        <w:t>1</w:t>
      </w:r>
      <w:r>
        <w:fldChar w:fldCharType="end"/>
      </w:r>
      <w:r>
        <w:t xml:space="preserve">  OMC-R</w:t>
      </w:r>
      <w:r>
        <w:rPr>
          <w:rFonts w:hint="eastAsia" w:asciiTheme="minorEastAsia" w:hAnsiTheme="minorEastAsia"/>
        </w:rPr>
        <w:t>设备配置表</w:t>
      </w:r>
    </w:p>
    <w:tbl>
      <w:tblPr>
        <w:tblStyle w:val="63"/>
        <w:tblW w:w="8482" w:type="dxa"/>
        <w:jc w:val="center"/>
        <w:tblLayout w:type="fixed"/>
        <w:tblCellMar>
          <w:top w:w="0" w:type="dxa"/>
          <w:left w:w="108" w:type="dxa"/>
          <w:bottom w:w="0" w:type="dxa"/>
          <w:right w:w="108" w:type="dxa"/>
        </w:tblCellMar>
      </w:tblPr>
      <w:tblGrid>
        <w:gridCol w:w="1062"/>
        <w:gridCol w:w="2151"/>
        <w:gridCol w:w="1334"/>
        <w:gridCol w:w="1275"/>
        <w:gridCol w:w="1219"/>
        <w:gridCol w:w="1441"/>
      </w:tblGrid>
      <w:tr>
        <w:tblPrEx>
          <w:tblCellMar>
            <w:top w:w="0" w:type="dxa"/>
            <w:left w:w="108" w:type="dxa"/>
            <w:bottom w:w="0" w:type="dxa"/>
            <w:right w:w="108" w:type="dxa"/>
          </w:tblCellMar>
        </w:tblPrEx>
        <w:trPr>
          <w:trHeight w:val="301" w:hRule="atLeast"/>
          <w:jc w:val="center"/>
        </w:trPr>
        <w:tc>
          <w:tcPr>
            <w:tcW w:w="1062"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rPr>
                <w:rFonts w:ascii="宋体" w:hAnsi="宋体" w:cs="宋体"/>
                <w:color w:val="FF0000"/>
                <w:kern w:val="0"/>
                <w:sz w:val="21"/>
              </w:rPr>
            </w:pPr>
            <w:r>
              <w:rPr>
                <w:rFonts w:hint="eastAsia" w:ascii="宋体" w:hAnsi="宋体" w:cs="宋体"/>
                <w:color w:val="FF0000"/>
                <w:kern w:val="0"/>
                <w:sz w:val="21"/>
              </w:rPr>
              <w:t>类型编号</w:t>
            </w:r>
          </w:p>
        </w:tc>
        <w:tc>
          <w:tcPr>
            <w:tcW w:w="2151" w:type="dxa"/>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放置机房</w:t>
            </w:r>
          </w:p>
        </w:tc>
        <w:tc>
          <w:tcPr>
            <w:tcW w:w="2609"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5G NR基站数量</w:t>
            </w:r>
          </w:p>
        </w:tc>
        <w:tc>
          <w:tcPr>
            <w:tcW w:w="2660"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5G NR小区数</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OMC-R.1</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09"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60" w:type="dxa"/>
            <w:gridSpan w:val="2"/>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OMC-R.2</w:t>
            </w:r>
          </w:p>
        </w:tc>
        <w:tc>
          <w:tcPr>
            <w:tcW w:w="2151" w:type="dxa"/>
            <w:tcBorders>
              <w:top w:val="single" w:color="auto" w:sz="4" w:space="0"/>
              <w:left w:val="nil"/>
              <w:bottom w:val="single" w:color="auto" w:sz="4" w:space="0"/>
              <w:right w:val="single" w:color="000000"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09" w:type="dxa"/>
            <w:gridSpan w:val="2"/>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2660" w:type="dxa"/>
            <w:gridSpan w:val="2"/>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r>
        <w:tblPrEx>
          <w:tblCellMar>
            <w:top w:w="0" w:type="dxa"/>
            <w:left w:w="108" w:type="dxa"/>
            <w:bottom w:w="0" w:type="dxa"/>
            <w:right w:w="108" w:type="dxa"/>
          </w:tblCellMar>
        </w:tblPrEx>
        <w:trPr>
          <w:trHeight w:val="936"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类型编号</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5G NR载扇数</w:t>
            </w:r>
          </w:p>
        </w:tc>
        <w:tc>
          <w:tcPr>
            <w:tcW w:w="1334"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本地终端数量</w:t>
            </w:r>
          </w:p>
        </w:tc>
        <w:tc>
          <w:tcPr>
            <w:tcW w:w="1275"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远程终端数量</w:t>
            </w:r>
          </w:p>
        </w:tc>
        <w:tc>
          <w:tcPr>
            <w:tcW w:w="1219"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南向接口带宽（Mbps）</w:t>
            </w:r>
          </w:p>
        </w:tc>
        <w:tc>
          <w:tcPr>
            <w:tcW w:w="1441" w:type="dxa"/>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center"/>
              <w:rPr>
                <w:rFonts w:ascii="宋体" w:hAnsi="宋体" w:cs="宋体"/>
                <w:color w:val="FF0000"/>
                <w:kern w:val="0"/>
                <w:sz w:val="21"/>
              </w:rPr>
            </w:pPr>
            <w:r>
              <w:rPr>
                <w:rFonts w:hint="eastAsia" w:ascii="宋体" w:hAnsi="宋体" w:cs="宋体"/>
                <w:color w:val="FF0000"/>
                <w:kern w:val="0"/>
                <w:sz w:val="21"/>
              </w:rPr>
              <w:t>北向接口带宽（Mbps）</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OMC-R.1</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33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7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19"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4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r>
        <w:tblPrEx>
          <w:tblCellMar>
            <w:top w:w="0" w:type="dxa"/>
            <w:left w:w="108" w:type="dxa"/>
            <w:bottom w:w="0" w:type="dxa"/>
            <w:right w:w="108" w:type="dxa"/>
          </w:tblCellMar>
        </w:tblPrEx>
        <w:trPr>
          <w:trHeight w:val="288" w:hRule="atLeast"/>
          <w:jc w:val="center"/>
        </w:trPr>
        <w:tc>
          <w:tcPr>
            <w:tcW w:w="1062"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OMC-R.2</w:t>
            </w:r>
          </w:p>
        </w:tc>
        <w:tc>
          <w:tcPr>
            <w:tcW w:w="215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334"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7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219"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c>
          <w:tcPr>
            <w:tcW w:w="14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color w:val="FF0000"/>
                <w:kern w:val="0"/>
                <w:sz w:val="21"/>
              </w:rPr>
            </w:pPr>
            <w:r>
              <w:rPr>
                <w:rFonts w:cs="Times New Roman"/>
                <w:color w:val="FF0000"/>
                <w:kern w:val="0"/>
                <w:sz w:val="21"/>
              </w:rPr>
              <w:t>　</w:t>
            </w:r>
          </w:p>
        </w:tc>
      </w:tr>
    </w:tbl>
    <w:p>
      <w:pPr>
        <w:pStyle w:val="243"/>
        <w:ind w:firstLine="480"/>
        <w:rPr>
          <w:rFonts w:ascii="Times New Roman" w:hAnsi="Times New Roman" w:cs="Times New Roman"/>
        </w:rPr>
      </w:pPr>
      <w:bookmarkStart w:id="824" w:name="_Toc452131622"/>
      <w:bookmarkStart w:id="825" w:name="_Toc447204552"/>
      <w:bookmarkStart w:id="826" w:name="_Toc447202503"/>
      <w:bookmarkStart w:id="827" w:name="_Toc366157284"/>
    </w:p>
    <w:p>
      <w:pPr>
        <w:pStyle w:val="4"/>
        <w:rPr>
          <w:rFonts w:cs="Times New Roman"/>
        </w:rPr>
      </w:pPr>
      <w:bookmarkStart w:id="828" w:name="_Toc10904"/>
      <w:bookmarkStart w:id="829" w:name="_Toc2868697"/>
      <w:r>
        <w:rPr>
          <w:rFonts w:cs="Times New Roman"/>
        </w:rPr>
        <w:t>系统间干扰规避</w:t>
      </w:r>
      <w:bookmarkEnd w:id="824"/>
      <w:bookmarkEnd w:id="825"/>
      <w:bookmarkEnd w:id="826"/>
      <w:bookmarkEnd w:id="827"/>
      <w:bookmarkEnd w:id="828"/>
      <w:bookmarkEnd w:id="829"/>
    </w:p>
    <w:p>
      <w:pPr>
        <w:ind w:firstLine="480"/>
        <w:rPr>
          <w:rFonts w:cs="Times New Roman"/>
        </w:rPr>
      </w:pPr>
      <w:r>
        <w:rPr>
          <w:rFonts w:cs="Times New Roman"/>
        </w:rPr>
        <w:t>经过分析计算，各系统间的干扰协调要求如下。</w:t>
      </w:r>
    </w:p>
    <w:p>
      <w:pPr>
        <w:pStyle w:val="5"/>
        <w:rPr>
          <w:rFonts w:cs="Times New Roman"/>
        </w:rPr>
      </w:pPr>
      <w:bookmarkStart w:id="830" w:name="_Toc2868698"/>
      <w:bookmarkStart w:id="831" w:name="_Toc31699"/>
      <w:r>
        <w:rPr>
          <w:rFonts w:cs="Times New Roman"/>
        </w:rPr>
        <w:t>5G NR（2.6GHz频段）与其它移动通信系统共站时的干扰协调</w:t>
      </w:r>
      <w:bookmarkEnd w:id="830"/>
      <w:bookmarkEnd w:id="831"/>
    </w:p>
    <w:p>
      <w:pPr>
        <w:ind w:firstLine="480"/>
        <w:rPr>
          <w:rFonts w:cs="Times New Roman"/>
        </w:rPr>
      </w:pPr>
      <w:r>
        <w:rPr>
          <w:rFonts w:cs="Times New Roman"/>
        </w:rPr>
        <w:t>5G NR（2.6GHz频段）与其它无线系统共址时，需预留足够的干扰隔离距离规避干扰，同时多系统共址时需要预留不同天馈系统间的安装和维护空间，因此建议：</w:t>
      </w:r>
    </w:p>
    <w:p>
      <w:pPr>
        <w:ind w:firstLine="240" w:firstLineChars="100"/>
        <w:rPr>
          <w:rFonts w:cs="Times New Roman"/>
        </w:rPr>
      </w:pPr>
      <w:r>
        <w:rPr>
          <w:rFonts w:cs="Times New Roman"/>
        </w:rPr>
        <w:t>（1）5G NR（2.6GHz）系统与D频段TD-LTE系统邻频，需要时隙对齐避免交叉时隙干扰。</w:t>
      </w:r>
    </w:p>
    <w:p>
      <w:pPr>
        <w:ind w:firstLine="240" w:firstLineChars="100"/>
        <w:rPr>
          <w:rFonts w:cs="Times New Roman"/>
        </w:rPr>
      </w:pPr>
      <w:r>
        <w:rPr>
          <w:rFonts w:cs="Times New Roman"/>
        </w:rPr>
        <w:t>（2）5G NR大规模天线阵与GSM/NB-IoT（900MHz）CDMA 1X/NB-IoT（800MHz）/FDD LTE（900MHz和1.8GHz）/WCDMA/FDD LTE（2.1GHz）/TD-SCDMA（A频段）/TD-LTE（F频段）/5G NR（3.5GHz）/5G NR（4.9GHz）定向天线之间间距要求：并排同向安装时，水平隔离距离≥0.5m；垂直距离≥0.3m。</w:t>
      </w:r>
    </w:p>
    <w:p>
      <w:pPr>
        <w:ind w:firstLine="240" w:firstLineChars="100"/>
        <w:rPr>
          <w:rFonts w:cs="Times New Roman"/>
        </w:rPr>
      </w:pPr>
      <w:r>
        <w:rPr>
          <w:rFonts w:cs="Times New Roman"/>
        </w:rPr>
        <w:t>（3）5G NR大规模天线阵与DCS定向天线之间间距要求：并排同向安装时，水平隔离距离≥0.9m；垂直距离≥0.3m。</w:t>
      </w:r>
    </w:p>
    <w:p>
      <w:pPr>
        <w:ind w:firstLine="240" w:firstLineChars="100"/>
        <w:rPr>
          <w:rFonts w:cs="Times New Roman"/>
        </w:rPr>
      </w:pPr>
      <w:r>
        <w:rPr>
          <w:rFonts w:cs="Times New Roman"/>
        </w:rPr>
        <w:t>（4）如果安装空间有限，可以适当缩减隔离距离，以不影响天馈系统安装和维护为宜。同时隔离距离不应该小于下表所示数值：</w:t>
      </w:r>
    </w:p>
    <w:p>
      <w:pPr>
        <w:pStyle w:val="603"/>
        <w:rPr>
          <w:rFonts w:cs="Times New Roman"/>
        </w:rPr>
      </w:pPr>
      <w:r>
        <w:rPr>
          <w:rFonts w:cs="Times New Roman"/>
        </w:rPr>
        <w:t>表 12.1</w:t>
      </w:r>
      <w:r>
        <w:rPr>
          <w:rFonts w:cs="Times New Roman"/>
        </w:rPr>
        <w:noBreakHyphen/>
      </w:r>
      <w:r>
        <w:rPr>
          <w:rFonts w:cs="Times New Roman"/>
        </w:rPr>
        <w:fldChar w:fldCharType="begin"/>
      </w:r>
      <w:r>
        <w:rPr>
          <w:rFonts w:cs="Times New Roman"/>
        </w:rPr>
        <w:instrText xml:space="preserve"> SEQ 表 \* ARABIC \s 2 </w:instrText>
      </w:r>
      <w:r>
        <w:rPr>
          <w:rFonts w:cs="Times New Roman"/>
        </w:rPr>
        <w:fldChar w:fldCharType="separate"/>
      </w:r>
      <w:r>
        <w:rPr>
          <w:rFonts w:cs="Times New Roman"/>
        </w:rPr>
        <w:t>1</w:t>
      </w:r>
      <w:r>
        <w:rPr>
          <w:rFonts w:cs="Times New Roman"/>
        </w:rPr>
        <w:fldChar w:fldCharType="end"/>
      </w:r>
      <w:r>
        <w:rPr>
          <w:rFonts w:cs="Times New Roman"/>
        </w:rPr>
        <w:t xml:space="preserve">  5G NR（2.6GHz频段）与其它移动通信系统共站站时的隔离距离要求</w:t>
      </w:r>
    </w:p>
    <w:tbl>
      <w:tblPr>
        <w:tblStyle w:val="63"/>
        <w:tblW w:w="913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6"/>
        <w:gridCol w:w="1594"/>
        <w:gridCol w:w="1406"/>
        <w:gridCol w:w="1256"/>
        <w:gridCol w:w="1668"/>
        <w:gridCol w:w="1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tcBorders>
              <w:tl2br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 xml:space="preserve">    系统类型</w:t>
            </w:r>
          </w:p>
          <w:p>
            <w:pPr>
              <w:pStyle w:val="290"/>
            </w:pPr>
            <w:r>
              <w:t>隔离距离(m)</w:t>
            </w:r>
          </w:p>
        </w:tc>
        <w:tc>
          <w:tcPr>
            <w:tcW w:w="1594" w:type="dxa"/>
            <w:shd w:val="clear" w:color="auto" w:fill="D8D8D8" w:themeFill="background1" w:themeFillShade="D9"/>
            <w:tcMar>
              <w:top w:w="15" w:type="dxa"/>
              <w:left w:w="15" w:type="dxa"/>
              <w:bottom w:w="0" w:type="dxa"/>
              <w:right w:w="15" w:type="dxa"/>
            </w:tcMar>
            <w:vAlign w:val="center"/>
          </w:tcPr>
          <w:p>
            <w:pPr>
              <w:pStyle w:val="290"/>
            </w:pPr>
            <w:r>
              <w:t>CDMA1x/NB-IoT（800MHz）</w:t>
            </w:r>
          </w:p>
        </w:tc>
        <w:tc>
          <w:tcPr>
            <w:tcW w:w="1406" w:type="dxa"/>
            <w:shd w:val="clear" w:color="auto" w:fill="D8D8D8" w:themeFill="background1" w:themeFillShade="D9"/>
            <w:tcMar>
              <w:top w:w="15" w:type="dxa"/>
              <w:left w:w="15" w:type="dxa"/>
              <w:bottom w:w="0" w:type="dxa"/>
              <w:right w:w="15" w:type="dxa"/>
            </w:tcMar>
            <w:vAlign w:val="center"/>
          </w:tcPr>
          <w:p>
            <w:pPr>
              <w:pStyle w:val="290"/>
            </w:pPr>
            <w:r>
              <w:t>GSM/NB-IoT（900MHz）</w:t>
            </w:r>
          </w:p>
        </w:tc>
        <w:tc>
          <w:tcPr>
            <w:tcW w:w="1256" w:type="dxa"/>
            <w:shd w:val="clear" w:color="auto" w:fill="D8D8D8" w:themeFill="background1" w:themeFillShade="D9"/>
            <w:tcMar>
              <w:top w:w="15" w:type="dxa"/>
              <w:left w:w="15" w:type="dxa"/>
              <w:bottom w:w="0" w:type="dxa"/>
              <w:right w:w="15" w:type="dxa"/>
            </w:tcMar>
            <w:vAlign w:val="center"/>
          </w:tcPr>
          <w:p>
            <w:pPr>
              <w:pStyle w:val="290"/>
            </w:pPr>
            <w:r>
              <w:t>DCS</w:t>
            </w:r>
          </w:p>
        </w:tc>
        <w:tc>
          <w:tcPr>
            <w:tcW w:w="1668" w:type="dxa"/>
            <w:shd w:val="clear" w:color="auto" w:fill="D8D8D8" w:themeFill="background1" w:themeFillShade="D9"/>
            <w:tcMar>
              <w:top w:w="15" w:type="dxa"/>
              <w:left w:w="15" w:type="dxa"/>
              <w:bottom w:w="0" w:type="dxa"/>
              <w:right w:w="15" w:type="dxa"/>
            </w:tcMar>
            <w:vAlign w:val="center"/>
          </w:tcPr>
          <w:p>
            <w:pPr>
              <w:pStyle w:val="290"/>
            </w:pPr>
            <w:r>
              <w:t>FDD LTE</w:t>
            </w:r>
          </w:p>
          <w:p>
            <w:pPr>
              <w:pStyle w:val="290"/>
            </w:pPr>
            <w:r>
              <w:t>（1.8GHz）</w:t>
            </w:r>
          </w:p>
        </w:tc>
        <w:tc>
          <w:tcPr>
            <w:tcW w:w="1680" w:type="dxa"/>
            <w:shd w:val="clear" w:color="auto" w:fill="D8D8D8" w:themeFill="background1" w:themeFillShade="D9"/>
            <w:tcMar>
              <w:top w:w="15" w:type="dxa"/>
              <w:left w:w="15" w:type="dxa"/>
              <w:bottom w:w="0" w:type="dxa"/>
              <w:right w:w="15" w:type="dxa"/>
            </w:tcMar>
            <w:vAlign w:val="center"/>
          </w:tcPr>
          <w:p>
            <w:pPr>
              <w:pStyle w:val="290"/>
            </w:pPr>
            <w:r>
              <w:t>WCDMA/FDD LTE（2.1GHz）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shd w:val="clear" w:color="auto" w:fill="auto"/>
            <w:tcMar>
              <w:top w:w="15" w:type="dxa"/>
              <w:left w:w="15" w:type="dxa"/>
              <w:bottom w:w="0" w:type="dxa"/>
              <w:right w:w="15" w:type="dxa"/>
            </w:tcMar>
            <w:vAlign w:val="center"/>
          </w:tcPr>
          <w:p>
            <w:pPr>
              <w:pStyle w:val="290"/>
            </w:pPr>
            <w:r>
              <w:t>水平隔离距离</w:t>
            </w:r>
          </w:p>
        </w:tc>
        <w:tc>
          <w:tcPr>
            <w:tcW w:w="1594" w:type="dxa"/>
            <w:shd w:val="clear" w:color="auto" w:fill="auto"/>
            <w:tcMar>
              <w:top w:w="15" w:type="dxa"/>
              <w:left w:w="15" w:type="dxa"/>
              <w:bottom w:w="0" w:type="dxa"/>
              <w:right w:w="15" w:type="dxa"/>
            </w:tcMar>
            <w:vAlign w:val="center"/>
          </w:tcPr>
          <w:p>
            <w:pPr>
              <w:pStyle w:val="290"/>
            </w:pPr>
            <w:r>
              <w:t>0.4</w:t>
            </w:r>
          </w:p>
        </w:tc>
        <w:tc>
          <w:tcPr>
            <w:tcW w:w="1406" w:type="dxa"/>
            <w:shd w:val="clear" w:color="auto" w:fill="auto"/>
            <w:tcMar>
              <w:top w:w="15" w:type="dxa"/>
              <w:left w:w="15" w:type="dxa"/>
              <w:bottom w:w="0" w:type="dxa"/>
              <w:right w:w="15" w:type="dxa"/>
            </w:tcMar>
            <w:vAlign w:val="center"/>
          </w:tcPr>
          <w:p>
            <w:pPr>
              <w:pStyle w:val="290"/>
            </w:pPr>
            <w:r>
              <w:t>0.4</w:t>
            </w:r>
          </w:p>
        </w:tc>
        <w:tc>
          <w:tcPr>
            <w:tcW w:w="1256" w:type="dxa"/>
            <w:shd w:val="clear" w:color="auto" w:fill="auto"/>
            <w:tcMar>
              <w:top w:w="15" w:type="dxa"/>
              <w:left w:w="15" w:type="dxa"/>
              <w:bottom w:w="0" w:type="dxa"/>
              <w:right w:w="15" w:type="dxa"/>
            </w:tcMar>
            <w:vAlign w:val="center"/>
          </w:tcPr>
          <w:p>
            <w:pPr>
              <w:pStyle w:val="290"/>
            </w:pPr>
            <w:r>
              <w:t>0.9</w:t>
            </w:r>
          </w:p>
        </w:tc>
        <w:tc>
          <w:tcPr>
            <w:tcW w:w="1668" w:type="dxa"/>
            <w:shd w:val="clear" w:color="auto" w:fill="auto"/>
            <w:tcMar>
              <w:top w:w="15" w:type="dxa"/>
              <w:left w:w="15" w:type="dxa"/>
              <w:bottom w:w="0" w:type="dxa"/>
              <w:right w:w="15" w:type="dxa"/>
            </w:tcMar>
            <w:vAlign w:val="center"/>
          </w:tcPr>
          <w:p>
            <w:pPr>
              <w:pStyle w:val="290"/>
            </w:pPr>
            <w:r>
              <w:t>0.2</w:t>
            </w:r>
          </w:p>
        </w:tc>
        <w:tc>
          <w:tcPr>
            <w:tcW w:w="1680" w:type="dxa"/>
            <w:shd w:val="clear" w:color="auto" w:fill="auto"/>
            <w:tcMar>
              <w:top w:w="15" w:type="dxa"/>
              <w:left w:w="15" w:type="dxa"/>
              <w:bottom w:w="0" w:type="dxa"/>
              <w:right w:w="15" w:type="dxa"/>
            </w:tcMar>
            <w:vAlign w:val="center"/>
          </w:tcPr>
          <w:p>
            <w:pPr>
              <w:pStyle w:val="290"/>
            </w:pPr>
            <w: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tcBorders>
              <w:bottom w:val="single" w:color="000000" w:sz="4" w:space="0"/>
            </w:tcBorders>
            <w:shd w:val="clear" w:color="auto" w:fill="auto"/>
            <w:tcMar>
              <w:top w:w="15" w:type="dxa"/>
              <w:left w:w="15" w:type="dxa"/>
              <w:bottom w:w="0" w:type="dxa"/>
              <w:right w:w="15" w:type="dxa"/>
            </w:tcMar>
            <w:vAlign w:val="center"/>
          </w:tcPr>
          <w:p>
            <w:pPr>
              <w:pStyle w:val="290"/>
            </w:pPr>
            <w:r>
              <w:t>垂直隔离距离</w:t>
            </w:r>
          </w:p>
        </w:tc>
        <w:tc>
          <w:tcPr>
            <w:tcW w:w="1594" w:type="dxa"/>
            <w:tcBorders>
              <w:bottom w:val="single" w:color="000000" w:sz="4" w:space="0"/>
            </w:tcBorders>
            <w:shd w:val="clear" w:color="auto" w:fill="auto"/>
            <w:tcMar>
              <w:top w:w="15" w:type="dxa"/>
              <w:left w:w="15" w:type="dxa"/>
              <w:bottom w:w="0" w:type="dxa"/>
              <w:right w:w="15" w:type="dxa"/>
            </w:tcMar>
            <w:vAlign w:val="center"/>
          </w:tcPr>
          <w:p>
            <w:pPr>
              <w:pStyle w:val="290"/>
            </w:pPr>
            <w:r>
              <w:t>0.3</w:t>
            </w:r>
          </w:p>
        </w:tc>
        <w:tc>
          <w:tcPr>
            <w:tcW w:w="1406" w:type="dxa"/>
            <w:tcBorders>
              <w:bottom w:val="single" w:color="000000" w:sz="4" w:space="0"/>
            </w:tcBorders>
            <w:shd w:val="clear" w:color="auto" w:fill="auto"/>
            <w:tcMar>
              <w:top w:w="15" w:type="dxa"/>
              <w:left w:w="15" w:type="dxa"/>
              <w:bottom w:w="0" w:type="dxa"/>
              <w:right w:w="15" w:type="dxa"/>
            </w:tcMar>
            <w:vAlign w:val="center"/>
          </w:tcPr>
          <w:p>
            <w:pPr>
              <w:pStyle w:val="290"/>
            </w:pPr>
            <w:r>
              <w:t>0.3</w:t>
            </w:r>
          </w:p>
        </w:tc>
        <w:tc>
          <w:tcPr>
            <w:tcW w:w="1256" w:type="dxa"/>
            <w:tcBorders>
              <w:bottom w:val="single" w:color="000000" w:sz="4" w:space="0"/>
            </w:tcBorders>
            <w:shd w:val="clear" w:color="auto" w:fill="auto"/>
            <w:tcMar>
              <w:top w:w="15" w:type="dxa"/>
              <w:left w:w="15" w:type="dxa"/>
              <w:bottom w:w="0" w:type="dxa"/>
              <w:right w:w="15" w:type="dxa"/>
            </w:tcMar>
            <w:vAlign w:val="center"/>
          </w:tcPr>
          <w:p>
            <w:pPr>
              <w:pStyle w:val="290"/>
            </w:pPr>
            <w:r>
              <w:t>0.3</w:t>
            </w:r>
          </w:p>
        </w:tc>
        <w:tc>
          <w:tcPr>
            <w:tcW w:w="1668" w:type="dxa"/>
            <w:tcBorders>
              <w:bottom w:val="single" w:color="000000" w:sz="4" w:space="0"/>
            </w:tcBorders>
            <w:shd w:val="clear" w:color="auto" w:fill="auto"/>
            <w:tcMar>
              <w:top w:w="15" w:type="dxa"/>
              <w:left w:w="15" w:type="dxa"/>
              <w:bottom w:w="0" w:type="dxa"/>
              <w:right w:w="15" w:type="dxa"/>
            </w:tcMar>
            <w:vAlign w:val="center"/>
          </w:tcPr>
          <w:p>
            <w:pPr>
              <w:pStyle w:val="290"/>
            </w:pPr>
            <w:r>
              <w:t>0.2</w:t>
            </w:r>
          </w:p>
        </w:tc>
        <w:tc>
          <w:tcPr>
            <w:tcW w:w="1680" w:type="dxa"/>
            <w:tcBorders>
              <w:bottom w:val="single" w:color="000000" w:sz="4" w:space="0"/>
            </w:tcBorders>
            <w:shd w:val="clear" w:color="auto" w:fill="auto"/>
            <w:tcMar>
              <w:top w:w="15" w:type="dxa"/>
              <w:left w:w="15" w:type="dxa"/>
              <w:bottom w:w="0" w:type="dxa"/>
              <w:right w:w="15" w:type="dxa"/>
            </w:tcMar>
            <w:vAlign w:val="center"/>
          </w:tcPr>
          <w:p>
            <w:pPr>
              <w:pStyle w:val="290"/>
            </w:pPr>
            <w: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tcBorders>
              <w:tl2br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 xml:space="preserve">    系统类型</w:t>
            </w:r>
          </w:p>
          <w:p>
            <w:pPr>
              <w:pStyle w:val="290"/>
            </w:pPr>
            <w:r>
              <w:t>隔离距离(m)</w:t>
            </w:r>
          </w:p>
        </w:tc>
        <w:tc>
          <w:tcPr>
            <w:tcW w:w="1594" w:type="dxa"/>
            <w:shd w:val="clear" w:color="auto" w:fill="D8D8D8" w:themeFill="background1" w:themeFillShade="D9"/>
            <w:tcMar>
              <w:top w:w="15" w:type="dxa"/>
              <w:left w:w="15" w:type="dxa"/>
              <w:bottom w:w="0" w:type="dxa"/>
              <w:right w:w="15" w:type="dxa"/>
            </w:tcMar>
            <w:vAlign w:val="center"/>
          </w:tcPr>
          <w:p>
            <w:pPr>
              <w:pStyle w:val="290"/>
            </w:pPr>
            <w:r>
              <w:t>TD-SCDMA</w:t>
            </w:r>
          </w:p>
        </w:tc>
        <w:tc>
          <w:tcPr>
            <w:tcW w:w="1406" w:type="dxa"/>
            <w:shd w:val="clear" w:color="auto" w:fill="D8D8D8" w:themeFill="background1" w:themeFillShade="D9"/>
            <w:tcMar>
              <w:top w:w="15" w:type="dxa"/>
              <w:left w:w="15" w:type="dxa"/>
              <w:bottom w:w="0" w:type="dxa"/>
              <w:right w:w="15" w:type="dxa"/>
            </w:tcMar>
            <w:vAlign w:val="center"/>
          </w:tcPr>
          <w:p>
            <w:pPr>
              <w:pStyle w:val="290"/>
            </w:pPr>
            <w:r>
              <w:t>TD-LTE（F）</w:t>
            </w:r>
          </w:p>
        </w:tc>
        <w:tc>
          <w:tcPr>
            <w:tcW w:w="1256" w:type="dxa"/>
            <w:shd w:val="clear" w:color="auto" w:fill="D8D8D8" w:themeFill="background1" w:themeFillShade="D9"/>
            <w:tcMar>
              <w:top w:w="15" w:type="dxa"/>
              <w:left w:w="15" w:type="dxa"/>
              <w:bottom w:w="0" w:type="dxa"/>
              <w:right w:w="15" w:type="dxa"/>
            </w:tcMar>
            <w:vAlign w:val="center"/>
          </w:tcPr>
          <w:p>
            <w:pPr>
              <w:pStyle w:val="290"/>
            </w:pPr>
            <w:r>
              <w:t>TD-LTE（D）</w:t>
            </w:r>
          </w:p>
        </w:tc>
        <w:tc>
          <w:tcPr>
            <w:tcW w:w="1668" w:type="dxa"/>
            <w:shd w:val="clear" w:color="auto" w:fill="D8D8D8" w:themeFill="background1" w:themeFillShade="D9"/>
            <w:tcMar>
              <w:top w:w="15" w:type="dxa"/>
              <w:left w:w="15" w:type="dxa"/>
              <w:bottom w:w="0" w:type="dxa"/>
              <w:right w:w="15" w:type="dxa"/>
            </w:tcMar>
            <w:vAlign w:val="center"/>
          </w:tcPr>
          <w:p>
            <w:pPr>
              <w:pStyle w:val="290"/>
            </w:pPr>
            <w:r>
              <w:t>5G NR</w:t>
            </w:r>
          </w:p>
          <w:p>
            <w:pPr>
              <w:pStyle w:val="290"/>
            </w:pPr>
            <w:r>
              <w:t>（3.5GHz）</w:t>
            </w:r>
          </w:p>
        </w:tc>
        <w:tc>
          <w:tcPr>
            <w:tcW w:w="1680" w:type="dxa"/>
            <w:shd w:val="clear" w:color="auto" w:fill="D8D8D8" w:themeFill="background1" w:themeFillShade="D9"/>
            <w:tcMar>
              <w:top w:w="15" w:type="dxa"/>
              <w:left w:w="15" w:type="dxa"/>
              <w:bottom w:w="0" w:type="dxa"/>
              <w:right w:w="15" w:type="dxa"/>
            </w:tcMar>
            <w:vAlign w:val="center"/>
          </w:tcPr>
          <w:p>
            <w:pPr>
              <w:pStyle w:val="290"/>
            </w:pPr>
            <w:r>
              <w:t>5G NR</w:t>
            </w:r>
          </w:p>
          <w:p>
            <w:pPr>
              <w:pStyle w:val="290"/>
            </w:pPr>
            <w:r>
              <w:t>（4.9GHz）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shd w:val="clear" w:color="auto" w:fill="auto"/>
            <w:tcMar>
              <w:top w:w="15" w:type="dxa"/>
              <w:left w:w="15" w:type="dxa"/>
              <w:bottom w:w="0" w:type="dxa"/>
              <w:right w:w="15" w:type="dxa"/>
            </w:tcMar>
            <w:vAlign w:val="center"/>
          </w:tcPr>
          <w:p>
            <w:pPr>
              <w:pStyle w:val="290"/>
            </w:pPr>
            <w:r>
              <w:t>水平隔离距离</w:t>
            </w:r>
          </w:p>
        </w:tc>
        <w:tc>
          <w:tcPr>
            <w:tcW w:w="1594" w:type="dxa"/>
            <w:shd w:val="clear" w:color="auto" w:fill="auto"/>
            <w:tcMar>
              <w:top w:w="15" w:type="dxa"/>
              <w:left w:w="15" w:type="dxa"/>
              <w:bottom w:w="0" w:type="dxa"/>
              <w:right w:w="15" w:type="dxa"/>
            </w:tcMar>
            <w:vAlign w:val="center"/>
          </w:tcPr>
          <w:p>
            <w:pPr>
              <w:pStyle w:val="290"/>
            </w:pPr>
            <w:r>
              <w:t>0.2</w:t>
            </w:r>
          </w:p>
        </w:tc>
        <w:tc>
          <w:tcPr>
            <w:tcW w:w="1406" w:type="dxa"/>
            <w:shd w:val="clear" w:color="auto" w:fill="auto"/>
            <w:tcMar>
              <w:top w:w="15" w:type="dxa"/>
              <w:left w:w="15" w:type="dxa"/>
              <w:bottom w:w="0" w:type="dxa"/>
              <w:right w:w="15" w:type="dxa"/>
            </w:tcMar>
            <w:vAlign w:val="center"/>
          </w:tcPr>
          <w:p>
            <w:pPr>
              <w:pStyle w:val="290"/>
            </w:pPr>
            <w:r>
              <w:t>0.2</w:t>
            </w:r>
          </w:p>
        </w:tc>
        <w:tc>
          <w:tcPr>
            <w:tcW w:w="1256" w:type="dxa"/>
            <w:shd w:val="clear" w:color="auto" w:fill="auto"/>
            <w:tcMar>
              <w:top w:w="15" w:type="dxa"/>
              <w:left w:w="15" w:type="dxa"/>
              <w:bottom w:w="0" w:type="dxa"/>
              <w:right w:w="15" w:type="dxa"/>
            </w:tcMar>
            <w:vAlign w:val="center"/>
          </w:tcPr>
          <w:p>
            <w:pPr>
              <w:pStyle w:val="290"/>
            </w:pPr>
            <w:r>
              <w:t>时隙对齐</w:t>
            </w:r>
          </w:p>
        </w:tc>
        <w:tc>
          <w:tcPr>
            <w:tcW w:w="1668" w:type="dxa"/>
            <w:shd w:val="clear" w:color="auto" w:fill="auto"/>
            <w:tcMar>
              <w:top w:w="15" w:type="dxa"/>
              <w:left w:w="15" w:type="dxa"/>
              <w:bottom w:w="0" w:type="dxa"/>
              <w:right w:w="15" w:type="dxa"/>
            </w:tcMar>
            <w:vAlign w:val="center"/>
          </w:tcPr>
          <w:p>
            <w:pPr>
              <w:pStyle w:val="290"/>
            </w:pPr>
            <w:r>
              <w:t>0.2</w:t>
            </w:r>
          </w:p>
        </w:tc>
        <w:tc>
          <w:tcPr>
            <w:tcW w:w="1680" w:type="dxa"/>
            <w:shd w:val="clear" w:color="auto" w:fill="auto"/>
            <w:tcMar>
              <w:top w:w="15" w:type="dxa"/>
              <w:left w:w="15" w:type="dxa"/>
              <w:bottom w:w="0" w:type="dxa"/>
              <w:right w:w="15" w:type="dxa"/>
            </w:tcMar>
            <w:vAlign w:val="center"/>
          </w:tcPr>
          <w:p>
            <w:pPr>
              <w:pStyle w:val="290"/>
            </w:pPr>
            <w: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jc w:val="center"/>
        </w:trPr>
        <w:tc>
          <w:tcPr>
            <w:tcW w:w="1526" w:type="dxa"/>
            <w:shd w:val="clear" w:color="auto" w:fill="auto"/>
            <w:tcMar>
              <w:top w:w="15" w:type="dxa"/>
              <w:left w:w="15" w:type="dxa"/>
              <w:bottom w:w="0" w:type="dxa"/>
              <w:right w:w="15" w:type="dxa"/>
            </w:tcMar>
            <w:vAlign w:val="center"/>
          </w:tcPr>
          <w:p>
            <w:pPr>
              <w:pStyle w:val="290"/>
            </w:pPr>
            <w:r>
              <w:t>垂直隔离距离</w:t>
            </w:r>
          </w:p>
        </w:tc>
        <w:tc>
          <w:tcPr>
            <w:tcW w:w="1594" w:type="dxa"/>
            <w:shd w:val="clear" w:color="auto" w:fill="auto"/>
            <w:tcMar>
              <w:top w:w="15" w:type="dxa"/>
              <w:left w:w="15" w:type="dxa"/>
              <w:bottom w:w="0" w:type="dxa"/>
              <w:right w:w="15" w:type="dxa"/>
            </w:tcMar>
            <w:vAlign w:val="center"/>
          </w:tcPr>
          <w:p>
            <w:pPr>
              <w:pStyle w:val="290"/>
            </w:pPr>
            <w:r>
              <w:t>0.2</w:t>
            </w:r>
          </w:p>
        </w:tc>
        <w:tc>
          <w:tcPr>
            <w:tcW w:w="1406" w:type="dxa"/>
            <w:shd w:val="clear" w:color="auto" w:fill="auto"/>
            <w:tcMar>
              <w:top w:w="15" w:type="dxa"/>
              <w:left w:w="15" w:type="dxa"/>
              <w:bottom w:w="0" w:type="dxa"/>
              <w:right w:w="15" w:type="dxa"/>
            </w:tcMar>
            <w:vAlign w:val="center"/>
          </w:tcPr>
          <w:p>
            <w:pPr>
              <w:pStyle w:val="290"/>
            </w:pPr>
            <w:r>
              <w:t>0.2</w:t>
            </w:r>
          </w:p>
        </w:tc>
        <w:tc>
          <w:tcPr>
            <w:tcW w:w="1256" w:type="dxa"/>
            <w:shd w:val="clear" w:color="auto" w:fill="auto"/>
            <w:tcMar>
              <w:top w:w="15" w:type="dxa"/>
              <w:left w:w="15" w:type="dxa"/>
              <w:bottom w:w="0" w:type="dxa"/>
              <w:right w:w="15" w:type="dxa"/>
            </w:tcMar>
            <w:vAlign w:val="center"/>
          </w:tcPr>
          <w:p>
            <w:pPr>
              <w:pStyle w:val="290"/>
            </w:pPr>
            <w:r>
              <w:t>时隙对齐</w:t>
            </w:r>
          </w:p>
        </w:tc>
        <w:tc>
          <w:tcPr>
            <w:tcW w:w="1668" w:type="dxa"/>
            <w:shd w:val="clear" w:color="auto" w:fill="auto"/>
            <w:tcMar>
              <w:top w:w="15" w:type="dxa"/>
              <w:left w:w="15" w:type="dxa"/>
              <w:bottom w:w="0" w:type="dxa"/>
              <w:right w:w="15" w:type="dxa"/>
            </w:tcMar>
            <w:vAlign w:val="center"/>
          </w:tcPr>
          <w:p>
            <w:pPr>
              <w:pStyle w:val="290"/>
            </w:pPr>
            <w:r>
              <w:t>0.1</w:t>
            </w:r>
          </w:p>
        </w:tc>
        <w:tc>
          <w:tcPr>
            <w:tcW w:w="1680" w:type="dxa"/>
            <w:shd w:val="clear" w:color="auto" w:fill="auto"/>
            <w:tcMar>
              <w:top w:w="15" w:type="dxa"/>
              <w:left w:w="15" w:type="dxa"/>
              <w:bottom w:w="0" w:type="dxa"/>
              <w:right w:w="15" w:type="dxa"/>
            </w:tcMar>
            <w:vAlign w:val="center"/>
          </w:tcPr>
          <w:p>
            <w:pPr>
              <w:pStyle w:val="290"/>
            </w:pPr>
            <w:r>
              <w:t>0.1</w:t>
            </w:r>
          </w:p>
        </w:tc>
      </w:tr>
    </w:tbl>
    <w:p>
      <w:pPr>
        <w:pStyle w:val="5"/>
        <w:rPr>
          <w:rFonts w:cs="Times New Roman"/>
        </w:rPr>
      </w:pPr>
      <w:bookmarkStart w:id="832" w:name="_Toc16345"/>
      <w:bookmarkStart w:id="833" w:name="_Toc2868699"/>
      <w:r>
        <w:rPr>
          <w:rFonts w:cs="Times New Roman"/>
        </w:rPr>
        <w:t>5G NR（4.9GHz频段）与其它移动通信系统共站时的干扰协调</w:t>
      </w:r>
      <w:bookmarkEnd w:id="832"/>
      <w:bookmarkEnd w:id="833"/>
    </w:p>
    <w:p>
      <w:pPr>
        <w:ind w:firstLine="480"/>
        <w:rPr>
          <w:rFonts w:cs="Times New Roman"/>
        </w:rPr>
      </w:pPr>
      <w:r>
        <w:rPr>
          <w:rFonts w:cs="Times New Roman"/>
        </w:rPr>
        <w:t>5G NR（4.9GHz频段）与其它移动通信系统都有较大的频率隔离，因此彼此的杂散干扰和阻塞干扰的隔离度要求较小，需要的隔离距离也较小。同时多系统共址时需要预留不同天馈系统间的安装和维护空间，因此建议：</w:t>
      </w:r>
    </w:p>
    <w:p>
      <w:pPr>
        <w:ind w:firstLine="240" w:firstLineChars="100"/>
        <w:rPr>
          <w:rFonts w:cs="Times New Roman"/>
        </w:rPr>
      </w:pPr>
      <w:r>
        <w:rPr>
          <w:rFonts w:cs="Times New Roman"/>
        </w:rPr>
        <w:t>（1）5G NR大规模天线阵与GSM /CDMA 1X/FDD LTE（900MHz）定向天线之间间距要求：并排同向安装时，水平隔离距离≥0.5m，垂直距离≥0.3m。</w:t>
      </w:r>
    </w:p>
    <w:p>
      <w:pPr>
        <w:ind w:firstLine="240" w:firstLineChars="100"/>
        <w:rPr>
          <w:rFonts w:cs="Times New Roman"/>
        </w:rPr>
      </w:pPr>
      <w:r>
        <w:rPr>
          <w:rFonts w:cs="Times New Roman"/>
        </w:rPr>
        <w:t>（2）5G NR大规模天线阵与DCS/FDD LTE(1.8GHz)/ WCDMA/ cdma2000/TD-LTE（F频段）/FDD LTE（2.1GHz）/TD-SCDMA（A频段）定向天线之间间距要求：并排同向安装时，水平隔离距离≥0.5m，垂直距离≥0.2m。</w:t>
      </w:r>
    </w:p>
    <w:p>
      <w:pPr>
        <w:ind w:firstLine="240" w:firstLineChars="100"/>
        <w:rPr>
          <w:rFonts w:cs="Times New Roman"/>
        </w:rPr>
      </w:pPr>
      <w:r>
        <w:rPr>
          <w:rFonts w:cs="Times New Roman"/>
        </w:rPr>
        <w:t>（3）5G NR大规模天线阵与TD-LTE（2.6GHz）定向天线之间间距要求：并排同向安装时，水平隔离距离≥0.5m，垂直距离≥0.1m。</w:t>
      </w:r>
    </w:p>
    <w:p>
      <w:pPr>
        <w:ind w:firstLine="480"/>
        <w:rPr>
          <w:rFonts w:cs="Times New Roman"/>
        </w:rPr>
      </w:pPr>
      <w:r>
        <w:rPr>
          <w:rFonts w:cs="Times New Roman"/>
        </w:rPr>
        <w:t>如果安装空间有限，可以适当缩减水平隔离距离，以不影响天馈系统安装和维护为宜。</w:t>
      </w:r>
    </w:p>
    <w:p>
      <w:pPr>
        <w:pStyle w:val="5"/>
        <w:rPr>
          <w:rFonts w:cs="Times New Roman"/>
        </w:rPr>
      </w:pPr>
      <w:bookmarkStart w:id="834" w:name="_Toc6737"/>
      <w:bookmarkStart w:id="835" w:name="_Toc2868700"/>
      <w:r>
        <w:rPr>
          <w:rFonts w:cs="Times New Roman"/>
        </w:rPr>
        <w:t>5G NR（2.6GHz频段）与其他无线电台（站）的干扰协调</w:t>
      </w:r>
      <w:bookmarkEnd w:id="834"/>
      <w:bookmarkEnd w:id="835"/>
    </w:p>
    <w:p>
      <w:pPr>
        <w:ind w:firstLine="480"/>
        <w:rPr>
          <w:rFonts w:cs="Times New Roman"/>
        </w:rPr>
      </w:pPr>
      <w:r>
        <w:rPr>
          <w:rFonts w:cs="Times New Roman"/>
        </w:rPr>
        <w:t>根据中国人民共和国无线电频谱划分方案，在5G NR系统使用的2600MHz频段（2500~2690MHz）附近，有低端和高端无线系统存在。</w:t>
      </w:r>
    </w:p>
    <w:p>
      <w:pPr>
        <w:ind w:firstLine="240" w:firstLineChars="100"/>
        <w:rPr>
          <w:rFonts w:cs="Times New Roman"/>
        </w:rPr>
      </w:pPr>
      <w:r>
        <w:rPr>
          <w:rFonts w:cs="Times New Roman"/>
        </w:rPr>
        <w:t>（1）低端：2483.5~2500MHz频段，分配给移动、固定、无线电定位、卫星移动（空对地）、卫星无线电测定（空对地）使用。</w:t>
      </w:r>
    </w:p>
    <w:p>
      <w:pPr>
        <w:ind w:firstLine="240" w:firstLineChars="100"/>
        <w:rPr>
          <w:rFonts w:cs="Times New Roman"/>
        </w:rPr>
      </w:pPr>
      <w:r>
        <w:rPr>
          <w:rFonts w:cs="Times New Roman"/>
        </w:rPr>
        <w:t>（2）高端：2690~2700MHz频段，分配给卫星地球探测、射电天文以及空间研究业务；2700~2900MHz频段，分配给航空无线电导航、无线电定位业务使用。</w:t>
      </w:r>
    </w:p>
    <w:p>
      <w:pPr>
        <w:ind w:firstLine="480"/>
        <w:rPr>
          <w:rFonts w:cs="Times New Roman"/>
        </w:rPr>
      </w:pPr>
      <w:r>
        <w:rPr>
          <w:rFonts w:cs="Times New Roman"/>
        </w:rPr>
        <w:t>在2.6GHz频段低端，主要是5G NR与北斗一代导航系统的干扰。在2.6GHz频段高端，主要是5G NR与航空无线电导航系统的干扰。</w:t>
      </w:r>
    </w:p>
    <w:p>
      <w:pPr>
        <w:ind w:firstLine="196" w:firstLineChars="82"/>
        <w:rPr>
          <w:rFonts w:cs="Times New Roman"/>
        </w:rPr>
      </w:pPr>
      <w:r>
        <w:rPr>
          <w:rFonts w:cs="Times New Roman"/>
        </w:rPr>
        <w:t>（1）5G NR与北斗一代导航系统的干扰协调</w:t>
      </w:r>
    </w:p>
    <w:p>
      <w:pPr>
        <w:ind w:firstLine="480"/>
        <w:rPr>
          <w:rFonts w:cs="Times New Roman"/>
        </w:rPr>
      </w:pPr>
      <w:r>
        <w:rPr>
          <w:rFonts w:cs="Times New Roman"/>
        </w:rPr>
        <w:t>5G NR与北斗一代导航系统的干扰主要是5G NR基站和终端对北斗系统终端的干扰。</w:t>
      </w:r>
    </w:p>
    <w:p>
      <w:pPr>
        <w:ind w:firstLine="480"/>
        <w:rPr>
          <w:rFonts w:cs="Times New Roman"/>
        </w:rPr>
      </w:pPr>
      <w:r>
        <w:rPr>
          <w:rFonts w:cs="Times New Roman"/>
        </w:rPr>
        <w:t>如果以被北斗系统终端的接受机灵敏度降低1dB为其干扰保护标准，则需要的干扰隔离距离要求如下表：</w:t>
      </w:r>
    </w:p>
    <w:p>
      <w:pPr>
        <w:pStyle w:val="603"/>
        <w:rPr>
          <w:rFonts w:cs="Times New Roman"/>
        </w:rPr>
      </w:pPr>
      <w:r>
        <w:rPr>
          <w:rFonts w:cs="Times New Roman"/>
        </w:rPr>
        <w:t>表12.3</w:t>
      </w:r>
      <w:r>
        <w:rPr>
          <w:rFonts w:cs="Times New Roman"/>
        </w:rPr>
        <w:noBreakHyphen/>
      </w:r>
      <w:r>
        <w:rPr>
          <w:rFonts w:cs="Times New Roman"/>
        </w:rPr>
        <w:t>1  5G NR（2.6GHz）与北斗一代卫星导航系统干扰隔离要求</w:t>
      </w:r>
    </w:p>
    <w:tbl>
      <w:tblPr>
        <w:tblStyle w:val="63"/>
        <w:tblW w:w="594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6"/>
        <w:gridCol w:w="1985"/>
        <w:gridCol w:w="18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 w:hRule="atLeast"/>
          <w:jc w:val="center"/>
        </w:trPr>
        <w:tc>
          <w:tcPr>
            <w:tcW w:w="2126" w:type="dxa"/>
            <w:shd w:val="clear" w:color="auto" w:fill="auto"/>
            <w:tcMar>
              <w:top w:w="15" w:type="dxa"/>
              <w:left w:w="15" w:type="dxa"/>
              <w:bottom w:w="0" w:type="dxa"/>
              <w:right w:w="15" w:type="dxa"/>
            </w:tcMar>
            <w:vAlign w:val="center"/>
          </w:tcPr>
          <w:p>
            <w:pPr>
              <w:pStyle w:val="290"/>
            </w:pPr>
            <w:r>
              <w:t>隔离距离（m）</w:t>
            </w:r>
          </w:p>
        </w:tc>
        <w:tc>
          <w:tcPr>
            <w:tcW w:w="1985" w:type="dxa"/>
            <w:shd w:val="clear" w:color="auto" w:fill="auto"/>
            <w:tcMar>
              <w:top w:w="15" w:type="dxa"/>
              <w:left w:w="15" w:type="dxa"/>
              <w:bottom w:w="0" w:type="dxa"/>
              <w:right w:w="15" w:type="dxa"/>
            </w:tcMar>
            <w:vAlign w:val="center"/>
          </w:tcPr>
          <w:p>
            <w:pPr>
              <w:pStyle w:val="290"/>
            </w:pPr>
            <w:r>
              <w:t>NLOS</w:t>
            </w:r>
          </w:p>
        </w:tc>
        <w:tc>
          <w:tcPr>
            <w:tcW w:w="1838" w:type="dxa"/>
            <w:shd w:val="clear" w:color="auto" w:fill="auto"/>
            <w:tcMar>
              <w:top w:w="15" w:type="dxa"/>
              <w:left w:w="15" w:type="dxa"/>
              <w:bottom w:w="0" w:type="dxa"/>
              <w:right w:w="15" w:type="dxa"/>
            </w:tcMar>
            <w:vAlign w:val="center"/>
          </w:tcPr>
          <w:p>
            <w:pPr>
              <w:pStyle w:val="290"/>
            </w:pPr>
            <w:r>
              <w:t>LOS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jc w:val="center"/>
        </w:trPr>
        <w:tc>
          <w:tcPr>
            <w:tcW w:w="2126" w:type="dxa"/>
            <w:shd w:val="clear" w:color="auto" w:fill="auto"/>
            <w:tcMar>
              <w:top w:w="15" w:type="dxa"/>
              <w:left w:w="15" w:type="dxa"/>
              <w:bottom w:w="0" w:type="dxa"/>
              <w:right w:w="15" w:type="dxa"/>
            </w:tcMar>
            <w:vAlign w:val="center"/>
          </w:tcPr>
          <w:p>
            <w:pPr>
              <w:pStyle w:val="290"/>
            </w:pPr>
            <w:r>
              <w:t>gNB—&gt;北斗终端</w:t>
            </w:r>
          </w:p>
        </w:tc>
        <w:tc>
          <w:tcPr>
            <w:tcW w:w="1985" w:type="dxa"/>
            <w:shd w:val="clear" w:color="auto" w:fill="auto"/>
            <w:tcMar>
              <w:top w:w="15" w:type="dxa"/>
              <w:left w:w="15" w:type="dxa"/>
              <w:bottom w:w="0" w:type="dxa"/>
              <w:right w:w="15" w:type="dxa"/>
            </w:tcMar>
            <w:vAlign w:val="center"/>
          </w:tcPr>
          <w:p>
            <w:pPr>
              <w:pStyle w:val="290"/>
            </w:pPr>
            <w:r>
              <w:t>40</w:t>
            </w:r>
          </w:p>
        </w:tc>
        <w:tc>
          <w:tcPr>
            <w:tcW w:w="1838" w:type="dxa"/>
            <w:shd w:val="clear" w:color="auto" w:fill="auto"/>
            <w:tcMar>
              <w:top w:w="15" w:type="dxa"/>
              <w:left w:w="15" w:type="dxa"/>
              <w:bottom w:w="0" w:type="dxa"/>
              <w:right w:w="15" w:type="dxa"/>
            </w:tcMar>
            <w:vAlign w:val="center"/>
          </w:tcPr>
          <w:p>
            <w:pPr>
              <w:pStyle w:val="290"/>
            </w:pPr>
            <w:r>
              <w:t>270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jc w:val="center"/>
        </w:trPr>
        <w:tc>
          <w:tcPr>
            <w:tcW w:w="2126" w:type="dxa"/>
            <w:shd w:val="clear" w:color="auto" w:fill="auto"/>
            <w:tcMar>
              <w:top w:w="15" w:type="dxa"/>
              <w:left w:w="15" w:type="dxa"/>
              <w:bottom w:w="0" w:type="dxa"/>
              <w:right w:w="15" w:type="dxa"/>
            </w:tcMar>
            <w:vAlign w:val="center"/>
          </w:tcPr>
          <w:p>
            <w:pPr>
              <w:pStyle w:val="290"/>
            </w:pPr>
            <w:r>
              <w:t>NR UE—&gt;北斗终端</w:t>
            </w:r>
          </w:p>
        </w:tc>
        <w:tc>
          <w:tcPr>
            <w:tcW w:w="1985" w:type="dxa"/>
            <w:shd w:val="clear" w:color="auto" w:fill="auto"/>
            <w:tcMar>
              <w:top w:w="15" w:type="dxa"/>
              <w:left w:w="15" w:type="dxa"/>
              <w:bottom w:w="0" w:type="dxa"/>
              <w:right w:w="15" w:type="dxa"/>
            </w:tcMar>
            <w:vAlign w:val="center"/>
          </w:tcPr>
          <w:p>
            <w:pPr>
              <w:pStyle w:val="290"/>
            </w:pPr>
            <w:r>
              <w:t>20</w:t>
            </w:r>
          </w:p>
        </w:tc>
        <w:tc>
          <w:tcPr>
            <w:tcW w:w="1838" w:type="dxa"/>
            <w:shd w:val="clear" w:color="auto" w:fill="auto"/>
            <w:tcMar>
              <w:top w:w="15" w:type="dxa"/>
              <w:left w:w="15" w:type="dxa"/>
              <w:bottom w:w="0" w:type="dxa"/>
              <w:right w:w="15" w:type="dxa"/>
            </w:tcMar>
            <w:vAlign w:val="center"/>
          </w:tcPr>
          <w:p>
            <w:pPr>
              <w:pStyle w:val="290"/>
            </w:pPr>
            <w:r>
              <w:t>76</w:t>
            </w:r>
          </w:p>
        </w:tc>
      </w:tr>
    </w:tbl>
    <w:p>
      <w:pPr>
        <w:ind w:firstLine="480"/>
        <w:rPr>
          <w:rFonts w:cs="Times New Roman"/>
        </w:rPr>
      </w:pPr>
      <w:r>
        <w:rPr>
          <w:rFonts w:cs="Times New Roman"/>
        </w:rPr>
        <w:t>考虑北斗系统终端的移动性，其所受到的干扰为瞬态干扰，因此从整体看，5G NR与北斗系统基本满足共存的要求。</w:t>
      </w:r>
    </w:p>
    <w:p>
      <w:pPr>
        <w:ind w:firstLine="480"/>
        <w:rPr>
          <w:rFonts w:cs="Times New Roman"/>
        </w:rPr>
      </w:pPr>
      <w:r>
        <w:rPr>
          <w:rFonts w:cs="Times New Roman"/>
        </w:rPr>
        <w:t>为规避对北斗系统终端的干扰，除增强北斗系统终端的抗干扰能力外，建议综合采取以下干扰缓解工程措施：</w:t>
      </w:r>
    </w:p>
    <w:p>
      <w:pPr>
        <w:ind w:firstLine="480"/>
        <w:rPr>
          <w:rFonts w:cs="Times New Roman"/>
        </w:rPr>
      </w:pPr>
      <w:r>
        <w:rPr>
          <w:rFonts w:hint="eastAsia" w:ascii="宋体" w:hAnsi="宋体" w:cs="宋体"/>
        </w:rPr>
        <w:t>①</w:t>
      </w:r>
      <w:r>
        <w:rPr>
          <w:rFonts w:cs="Times New Roman"/>
        </w:rPr>
        <w:t>5G NR基站选址及建设时，保证周围一定范围内没有用户活动。</w:t>
      </w:r>
    </w:p>
    <w:p>
      <w:pPr>
        <w:ind w:firstLine="480"/>
        <w:rPr>
          <w:rFonts w:cs="Times New Roman"/>
        </w:rPr>
      </w:pPr>
      <w:r>
        <w:rPr>
          <w:rFonts w:hint="eastAsia" w:ascii="宋体" w:hAnsi="宋体" w:cs="宋体"/>
        </w:rPr>
        <w:t>②</w:t>
      </w:r>
      <w:r>
        <w:rPr>
          <w:rFonts w:cs="Times New Roman"/>
        </w:rPr>
        <w:t>通过网络优化实现5G NR网络的良好覆盖，避免5G NR基站和终端以最大功率发射。</w:t>
      </w:r>
    </w:p>
    <w:p>
      <w:pPr>
        <w:ind w:firstLine="199" w:firstLineChars="83"/>
        <w:rPr>
          <w:rFonts w:cs="Times New Roman"/>
        </w:rPr>
      </w:pPr>
      <w:r>
        <w:rPr>
          <w:rFonts w:cs="Times New Roman"/>
        </w:rPr>
        <w:t>（2）5G NR与航空无线电导航系统的干扰协调</w:t>
      </w:r>
    </w:p>
    <w:p>
      <w:pPr>
        <w:ind w:firstLine="480"/>
        <w:rPr>
          <w:rFonts w:cs="Times New Roman"/>
        </w:rPr>
      </w:pPr>
      <w:r>
        <w:rPr>
          <w:rFonts w:cs="Times New Roman"/>
        </w:rPr>
        <w:t>航空无线电导航业务属于重要的无线电业务，根据《中华人民共和国无线电管理条例》规定，在导航雷达周围应设置电磁环境保护区。保护区范围由各地无线电管理机构协调相关单位，结合当地地理地形等因素确定。从干扰规避的角度，干扰保护区的范围在视距范围外，且大于850米。</w:t>
      </w:r>
    </w:p>
    <w:p>
      <w:pPr>
        <w:ind w:firstLine="480"/>
        <w:rPr>
          <w:rFonts w:cs="Times New Roman"/>
        </w:rPr>
      </w:pPr>
      <w:r>
        <w:rPr>
          <w:rFonts w:cs="Times New Roman"/>
        </w:rPr>
        <w:t>除设置电磁环境保护区外，为规避对5G NR与导航雷达的干扰，建议综合采取以下干扰缓解工程措施：</w:t>
      </w:r>
    </w:p>
    <w:p>
      <w:pPr>
        <w:ind w:firstLine="480"/>
        <w:rPr>
          <w:rFonts w:cs="Times New Roman"/>
        </w:rPr>
      </w:pPr>
      <w:r>
        <w:rPr>
          <w:rFonts w:hint="eastAsia" w:ascii="宋体" w:hAnsi="宋体" w:cs="宋体"/>
        </w:rPr>
        <w:t>①</w:t>
      </w:r>
      <w:r>
        <w:rPr>
          <w:rFonts w:cs="Times New Roman"/>
        </w:rPr>
        <w:t>提高5G NR基站在2700~2900MHz的抗阻塞指标。</w:t>
      </w:r>
    </w:p>
    <w:p>
      <w:pPr>
        <w:ind w:firstLine="480"/>
        <w:rPr>
          <w:rFonts w:cs="Times New Roman"/>
        </w:rPr>
      </w:pPr>
      <w:r>
        <w:rPr>
          <w:rFonts w:hint="eastAsia" w:ascii="宋体" w:hAnsi="宋体" w:cs="宋体"/>
        </w:rPr>
        <w:t>②</w:t>
      </w:r>
      <w:r>
        <w:rPr>
          <w:rFonts w:cs="Times New Roman"/>
        </w:rPr>
        <w:t>5G NR天线最大辐射方向严禁朝向导航雷达。</w:t>
      </w:r>
    </w:p>
    <w:p>
      <w:pPr>
        <w:pStyle w:val="5"/>
        <w:rPr>
          <w:rFonts w:cs="Times New Roman"/>
        </w:rPr>
      </w:pPr>
      <w:bookmarkStart w:id="836" w:name="_Toc28223"/>
      <w:bookmarkStart w:id="837" w:name="_Toc2868701"/>
      <w:r>
        <w:rPr>
          <w:rFonts w:cs="Times New Roman"/>
        </w:rPr>
        <w:t>5G NR（4.9GHz频段）与卫星地球站等无线电台（站）的干扰协调</w:t>
      </w:r>
      <w:bookmarkEnd w:id="836"/>
      <w:bookmarkEnd w:id="837"/>
    </w:p>
    <w:p>
      <w:pPr>
        <w:ind w:firstLine="480"/>
        <w:rPr>
          <w:rFonts w:cs="Times New Roman"/>
        </w:rPr>
      </w:pPr>
      <w:r>
        <w:rPr>
          <w:rFonts w:cs="Times New Roman"/>
        </w:rPr>
        <w:t>根据中国人民共和国无线电频谱划分方案，在5G NR系统使用的4900MHz频段（4800~5000MHz）内，有如下无线系统存在：4800~4990MHz频段，分配给移动、固定、射电天文使用；4990~5000MHz频段，分配给移动、固定、射电天文及空间研究业务使用。</w:t>
      </w:r>
    </w:p>
    <w:p>
      <w:pPr>
        <w:ind w:firstLine="480"/>
        <w:rPr>
          <w:rFonts w:cs="Times New Roman"/>
        </w:rPr>
      </w:pPr>
      <w:r>
        <w:rPr>
          <w:rFonts w:cs="Times New Roman"/>
        </w:rPr>
        <w:t>2018年12月11日，为了解决5G NR系统基站与卫星地球站等其他无线电台（站）的干扰问题，工业和信息化部下发了工信部无〔2018〕266号文件“工业和信息化部关于印发《3000~5000MHz频段第五代移动通信基站与卫星地球站等无线电台（站）干扰协调管理办法》的通知”。通知中要求：</w:t>
      </w:r>
    </w:p>
    <w:p>
      <w:pPr>
        <w:ind w:firstLine="199" w:firstLineChars="83"/>
        <w:rPr>
          <w:rFonts w:cs="Times New Roman"/>
        </w:rPr>
      </w:pPr>
      <w:r>
        <w:rPr>
          <w:rFonts w:cs="Times New Roman"/>
        </w:rPr>
        <w:t>（1）5G NR（4.9GHz）与卫星地球站的干扰协调</w:t>
      </w:r>
    </w:p>
    <w:p>
      <w:pPr>
        <w:ind w:firstLine="480"/>
        <w:rPr>
          <w:rFonts w:cs="Times New Roman"/>
        </w:rPr>
      </w:pPr>
      <w:r>
        <w:rPr>
          <w:rFonts w:hint="eastAsia" w:ascii="宋体" w:hAnsi="宋体" w:cs="宋体"/>
        </w:rPr>
        <w:t>①</w:t>
      </w:r>
      <w:r>
        <w:rPr>
          <w:rFonts w:cs="Times New Roman"/>
        </w:rPr>
        <w:t>卫星地球站的干扰保护标准</w:t>
      </w:r>
    </w:p>
    <w:p>
      <w:pPr>
        <w:ind w:firstLine="480"/>
        <w:rPr>
          <w:rFonts w:cs="Times New Roman"/>
        </w:rPr>
      </w:pPr>
      <w:r>
        <w:rPr>
          <w:rFonts w:cs="Times New Roman"/>
        </w:rPr>
        <w:t>卫星地球站（含卫星测控站、卫星监测站）的干扰保护标准有两个：</w:t>
      </w:r>
    </w:p>
    <w:p>
      <w:pPr>
        <w:pStyle w:val="243"/>
        <w:numPr>
          <w:ilvl w:val="0"/>
          <w:numId w:val="56"/>
        </w:numPr>
        <w:ind w:firstLineChars="0"/>
        <w:rPr>
          <w:rFonts w:ascii="Times New Roman" w:hAnsi="Times New Roman" w:cs="Times New Roman"/>
        </w:rPr>
      </w:pPr>
      <w:r>
        <w:rPr>
          <w:rFonts w:ascii="Times New Roman" w:hAnsi="Times New Roman" w:cs="Times New Roman"/>
        </w:rPr>
        <w:t>干扰信号电平小于晴空条件下卫星地球站接收系统噪声功率减12dB，此时卫星地球站接收系统灵敏度恶化0.37dB。</w:t>
      </w:r>
    </w:p>
    <w:p>
      <w:pPr>
        <w:pStyle w:val="243"/>
        <w:numPr>
          <w:ilvl w:val="0"/>
          <w:numId w:val="56"/>
        </w:numPr>
        <w:ind w:firstLineChars="0"/>
        <w:rPr>
          <w:rFonts w:ascii="Times New Roman" w:hAnsi="Times New Roman" w:cs="Times New Roman"/>
        </w:rPr>
      </w:pPr>
      <w:r>
        <w:rPr>
          <w:rFonts w:ascii="Times New Roman" w:hAnsi="Times New Roman" w:cs="Times New Roman"/>
        </w:rPr>
        <w:t>卫星地球站接收到的干扰信号总功率不得超过-60dBm，以免引起饱和干扰。</w:t>
      </w:r>
    </w:p>
    <w:p>
      <w:pPr>
        <w:pStyle w:val="243"/>
        <w:ind w:firstLine="480"/>
        <w:rPr>
          <w:rFonts w:ascii="Times New Roman" w:hAnsi="Times New Roman" w:cs="Times New Roman"/>
        </w:rPr>
      </w:pPr>
      <w:r>
        <w:rPr>
          <w:rFonts w:hint="eastAsia" w:ascii="宋体" w:hAnsi="宋体" w:cs="宋体"/>
        </w:rPr>
        <w:t>②</w:t>
      </w:r>
      <w:r>
        <w:rPr>
          <w:rFonts w:ascii="Times New Roman" w:hAnsi="Times New Roman" w:cs="Times New Roman"/>
        </w:rPr>
        <w:t>干扰协调区</w:t>
      </w:r>
    </w:p>
    <w:p>
      <w:pPr>
        <w:ind w:firstLine="480"/>
        <w:rPr>
          <w:rFonts w:cs="Times New Roman"/>
        </w:rPr>
      </w:pPr>
      <w:r>
        <w:rPr>
          <w:rFonts w:cs="Times New Roman"/>
        </w:rPr>
        <w:t>为避免对合法使用的卫星地球站造成有害干扰，将卫星地球站为中心的一定范围内的区域设立为干扰协调区。根据理论计算，干扰协调区的范围如下：</w:t>
      </w:r>
    </w:p>
    <w:p>
      <w:pPr>
        <w:pStyle w:val="243"/>
        <w:numPr>
          <w:ilvl w:val="0"/>
          <w:numId w:val="57"/>
        </w:numPr>
        <w:ind w:firstLineChars="0"/>
        <w:rPr>
          <w:rFonts w:ascii="Times New Roman" w:hAnsi="Times New Roman" w:cs="Times New Roman"/>
        </w:rPr>
      </w:pPr>
      <w:r>
        <w:rPr>
          <w:rFonts w:ascii="Times New Roman" w:hAnsi="Times New Roman" w:cs="Times New Roman"/>
        </w:rPr>
        <w:t>卫星地球站工作在4500－5000MHz频段时，干扰协调区半径为4km（建设工作在4800—4900MHz频段内的5G基站）。</w:t>
      </w:r>
    </w:p>
    <w:p>
      <w:pPr>
        <w:pStyle w:val="243"/>
        <w:numPr>
          <w:ilvl w:val="0"/>
          <w:numId w:val="57"/>
        </w:numPr>
        <w:ind w:firstLineChars="0"/>
        <w:rPr>
          <w:rFonts w:ascii="Times New Roman" w:hAnsi="Times New Roman" w:cs="Times New Roman"/>
        </w:rPr>
      </w:pPr>
      <w:r>
        <w:rPr>
          <w:rFonts w:ascii="Times New Roman" w:hAnsi="Times New Roman" w:cs="Times New Roman"/>
        </w:rPr>
        <w:t>卫星地球站工作在4500－5000MHz频段时，干扰协调区半径为2km（建设工作在4900—5000MHz频段内的5G基站）或100m（卫星地球站已采用滤波和抗饱和措施）。</w:t>
      </w:r>
    </w:p>
    <w:p>
      <w:pPr>
        <w:pStyle w:val="243"/>
        <w:ind w:firstLine="480"/>
        <w:rPr>
          <w:rFonts w:ascii="Times New Roman" w:hAnsi="Times New Roman" w:cs="Times New Roman"/>
        </w:rPr>
      </w:pPr>
      <w:r>
        <w:rPr>
          <w:rFonts w:hint="eastAsia" w:ascii="宋体" w:hAnsi="宋体" w:cs="宋体"/>
        </w:rPr>
        <w:t>③</w:t>
      </w:r>
      <w:r>
        <w:rPr>
          <w:rFonts w:ascii="Times New Roman" w:hAnsi="Times New Roman" w:cs="Times New Roman"/>
        </w:rPr>
        <w:t>干扰缓解工程措施</w:t>
      </w:r>
    </w:p>
    <w:p>
      <w:pPr>
        <w:pStyle w:val="243"/>
        <w:ind w:firstLine="480"/>
        <w:rPr>
          <w:rFonts w:ascii="Times New Roman" w:hAnsi="Times New Roman" w:cs="Times New Roman"/>
        </w:rPr>
      </w:pPr>
      <w:r>
        <w:rPr>
          <w:rFonts w:ascii="Times New Roman" w:hAnsi="Times New Roman" w:cs="Times New Roman"/>
        </w:rPr>
        <w:t>为规避对卫星地球站的干扰，在干扰协调区内，建议综合采取以下干扰缓解工程措施：</w:t>
      </w:r>
    </w:p>
    <w:p>
      <w:pPr>
        <w:pStyle w:val="243"/>
        <w:numPr>
          <w:ilvl w:val="0"/>
          <w:numId w:val="58"/>
        </w:numPr>
        <w:ind w:firstLineChars="0"/>
        <w:rPr>
          <w:rFonts w:ascii="Times New Roman" w:hAnsi="Times New Roman" w:cs="Times New Roman"/>
        </w:rPr>
      </w:pPr>
      <w:r>
        <w:rPr>
          <w:rFonts w:ascii="Times New Roman" w:hAnsi="Times New Roman" w:cs="Times New Roman"/>
        </w:rPr>
        <w:t>为地球站加装滤波器或更换高频头，抑制带外干扰。</w:t>
      </w:r>
    </w:p>
    <w:p>
      <w:pPr>
        <w:pStyle w:val="243"/>
        <w:numPr>
          <w:ilvl w:val="0"/>
          <w:numId w:val="58"/>
        </w:numPr>
        <w:ind w:firstLineChars="0"/>
        <w:rPr>
          <w:rFonts w:ascii="Times New Roman" w:hAnsi="Times New Roman" w:cs="Times New Roman"/>
        </w:rPr>
      </w:pPr>
      <w:r>
        <w:rPr>
          <w:rFonts w:ascii="Times New Roman" w:hAnsi="Times New Roman" w:cs="Times New Roman"/>
        </w:rPr>
        <w:t>地域隔离：在满足网络覆盖需求的前提下，卫星地球站和5G基站之间的隔离距离尽可能远，同时充分利用楼宇建筑物等障碍物增强两系统间的隔离度水平。</w:t>
      </w:r>
    </w:p>
    <w:p>
      <w:pPr>
        <w:pStyle w:val="243"/>
        <w:numPr>
          <w:ilvl w:val="0"/>
          <w:numId w:val="58"/>
        </w:numPr>
        <w:ind w:firstLineChars="0"/>
        <w:rPr>
          <w:rFonts w:ascii="Times New Roman" w:hAnsi="Times New Roman" w:cs="Times New Roman"/>
        </w:rPr>
      </w:pPr>
      <w:r>
        <w:rPr>
          <w:rFonts w:ascii="Times New Roman" w:hAnsi="Times New Roman" w:cs="Times New Roman"/>
        </w:rPr>
        <w:t>加装屏蔽：屏蔽的方式主要有三种：</w:t>
      </w:r>
    </w:p>
    <w:p>
      <w:pPr>
        <w:pStyle w:val="243"/>
        <w:ind w:firstLine="480"/>
        <w:rPr>
          <w:rFonts w:ascii="Times New Roman" w:hAnsi="Times New Roman" w:cs="Times New Roman"/>
        </w:rPr>
      </w:pPr>
      <w:r>
        <w:rPr>
          <w:rFonts w:ascii="Times New Roman" w:hAnsi="Times New Roman" w:cs="Times New Roman"/>
        </w:rPr>
        <w:t>第一种是ITU-R SF.1486中建议的屏蔽方法；</w:t>
      </w:r>
    </w:p>
    <w:p>
      <w:pPr>
        <w:pStyle w:val="243"/>
        <w:ind w:firstLine="480"/>
        <w:rPr>
          <w:rFonts w:ascii="Times New Roman" w:hAnsi="Times New Roman" w:cs="Times New Roman"/>
        </w:rPr>
      </w:pPr>
      <w:r>
        <w:rPr>
          <w:rFonts w:ascii="Times New Roman" w:hAnsi="Times New Roman" w:cs="Times New Roman"/>
        </w:rPr>
        <w:t>第二种是栅栏屏蔽，如图9.4-1所示；</w:t>
      </w:r>
    </w:p>
    <w:p>
      <w:pPr>
        <w:pStyle w:val="243"/>
        <w:ind w:firstLine="480"/>
        <w:rPr>
          <w:rFonts w:ascii="Times New Roman" w:hAnsi="Times New Roman" w:cs="Times New Roman"/>
        </w:rPr>
      </w:pPr>
      <w:r>
        <w:rPr>
          <w:rFonts w:ascii="Times New Roman" w:hAnsi="Times New Roman" w:cs="Times New Roman"/>
        </w:rPr>
        <w:t>第三种是网格屏蔽，网格的密度越大，屏蔽网的隔离效果越好，如图9.4-2所示。</w:t>
      </w:r>
    </w:p>
    <w:p>
      <w:pPr>
        <w:pStyle w:val="243"/>
        <w:ind w:firstLine="0" w:firstLineChars="0"/>
        <w:jc w:val="center"/>
        <w:rPr>
          <w:rFonts w:ascii="Times New Roman" w:hAnsi="Times New Roman" w:cs="Times New Roman"/>
        </w:rPr>
      </w:pPr>
      <w:r>
        <w:rPr>
          <w:rFonts w:ascii="Times New Roman" w:hAnsi="Times New Roman" w:cs="Times New Roman"/>
        </w:rPr>
        <w:object>
          <v:shape id="_x0000_i1038" o:spt="75" type="#_x0000_t75" style="height:205.5pt;width:339.75pt;" o:ole="t" filled="f" o:preferrelative="t" stroked="f" coordsize="21600,21600">
            <v:path/>
            <v:fill on="f" focussize="0,0"/>
            <v:stroke on="f" joinstyle="miter"/>
            <v:imagedata r:id="rId51" o:title=""/>
            <o:lock v:ext="edit" aspectratio="t"/>
            <w10:wrap type="none"/>
            <w10:anchorlock/>
          </v:shape>
          <o:OLEObject Type="Embed" ProgID="Visio.Drawing.11" ShapeID="_x0000_i1038" DrawAspect="Content" ObjectID="_1468075738" r:id="rId50">
            <o:LockedField>false</o:LockedField>
          </o:OLEObject>
        </w:object>
      </w:r>
    </w:p>
    <w:p>
      <w:pPr>
        <w:pStyle w:val="603"/>
        <w:rPr>
          <w:rFonts w:cs="Times New Roman"/>
          <w:color w:val="558ED5" w:themeColor="text2" w:themeTint="99"/>
          <w14:textFill>
            <w14:solidFill>
              <w14:schemeClr w14:val="tx2">
                <w14:lumMod w14:val="60000"/>
                <w14:lumOff w14:val="40000"/>
              </w14:schemeClr>
            </w14:solidFill>
          </w14:textFill>
        </w:rPr>
      </w:pPr>
      <w:r>
        <w:rPr>
          <w:rFonts w:cs="Times New Roman"/>
          <w:color w:val="558ED5" w:themeColor="text2" w:themeTint="99"/>
          <w14:textFill>
            <w14:solidFill>
              <w14:schemeClr w14:val="tx2">
                <w14:lumMod w14:val="60000"/>
                <w14:lumOff w14:val="40000"/>
              </w14:schemeClr>
            </w14:solidFill>
          </w14:textFill>
        </w:rPr>
        <w:t>图9.4-1 栅栏屏蔽</w:t>
      </w:r>
    </w:p>
    <w:p>
      <w:pPr>
        <w:pStyle w:val="243"/>
        <w:ind w:firstLine="480"/>
        <w:rPr>
          <w:rFonts w:ascii="Times New Roman" w:hAnsi="Times New Roman" w:cs="Times New Roman"/>
        </w:rPr>
      </w:pPr>
    </w:p>
    <w:p>
      <w:pPr>
        <w:pStyle w:val="243"/>
        <w:ind w:firstLine="0" w:firstLineChars="0"/>
        <w:jc w:val="center"/>
        <w:rPr>
          <w:rFonts w:ascii="Times New Roman" w:hAnsi="Times New Roman" w:cs="Times New Roman"/>
        </w:rPr>
      </w:pPr>
      <w:r>
        <w:rPr>
          <w:rFonts w:ascii="Times New Roman" w:hAnsi="Times New Roman" w:cs="Times New Roman"/>
        </w:rPr>
        <w:drawing>
          <wp:inline distT="0" distB="0" distL="0" distR="0">
            <wp:extent cx="2695575" cy="1990725"/>
            <wp:effectExtent l="19050" t="0" r="952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52" cstate="print">
                      <a:grayscl/>
                    </a:blip>
                    <a:srcRect/>
                    <a:stretch>
                      <a:fillRect/>
                    </a:stretch>
                  </pic:blipFill>
                  <pic:spPr>
                    <a:xfrm>
                      <a:off x="0" y="0"/>
                      <a:ext cx="2695575" cy="1990725"/>
                    </a:xfrm>
                    <a:prstGeom prst="rect">
                      <a:avLst/>
                    </a:prstGeom>
                    <a:noFill/>
                    <a:ln w="9525">
                      <a:noFill/>
                      <a:miter lim="800000"/>
                      <a:headEnd/>
                      <a:tailEnd/>
                    </a:ln>
                  </pic:spPr>
                </pic:pic>
              </a:graphicData>
            </a:graphic>
          </wp:inline>
        </w:drawing>
      </w:r>
    </w:p>
    <w:p>
      <w:pPr>
        <w:pStyle w:val="603"/>
        <w:rPr>
          <w:rFonts w:cs="Times New Roman"/>
          <w:color w:val="558ED5" w:themeColor="text2" w:themeTint="99"/>
          <w14:textFill>
            <w14:solidFill>
              <w14:schemeClr w14:val="tx2">
                <w14:lumMod w14:val="60000"/>
                <w14:lumOff w14:val="40000"/>
              </w14:schemeClr>
            </w14:solidFill>
          </w14:textFill>
        </w:rPr>
      </w:pPr>
      <w:r>
        <w:rPr>
          <w:rFonts w:cs="Times New Roman"/>
          <w:color w:val="558ED5" w:themeColor="text2" w:themeTint="99"/>
          <w14:textFill>
            <w14:solidFill>
              <w14:schemeClr w14:val="tx2">
                <w14:lumMod w14:val="60000"/>
                <w14:lumOff w14:val="40000"/>
              </w14:schemeClr>
            </w14:solidFill>
          </w14:textFill>
        </w:rPr>
        <w:t>图</w:t>
      </w:r>
      <w:r>
        <w:rPr>
          <w:rFonts w:cs="Times New Roman"/>
          <w:color w:val="558ED5" w:themeColor="text2" w:themeTint="99"/>
          <w14:textFill>
            <w14:solidFill>
              <w14:schemeClr w14:val="tx2">
                <w14:lumMod w14:val="60000"/>
                <w14:lumOff w14:val="40000"/>
              </w14:schemeClr>
            </w14:solidFill>
          </w14:textFill>
        </w:rPr>
        <w:fldChar w:fldCharType="begin"/>
      </w:r>
      <w:r>
        <w:rPr>
          <w:rFonts w:cs="Times New Roman"/>
          <w:color w:val="558ED5" w:themeColor="text2" w:themeTint="99"/>
          <w14:textFill>
            <w14:solidFill>
              <w14:schemeClr w14:val="tx2">
                <w14:lumMod w14:val="60000"/>
                <w14:lumOff w14:val="40000"/>
              </w14:schemeClr>
            </w14:solidFill>
          </w14:textFill>
        </w:rPr>
        <w:instrText xml:space="preserve"> STYLEREF 2 \s </w:instrText>
      </w:r>
      <w:r>
        <w:rPr>
          <w:rFonts w:cs="Times New Roman"/>
          <w:color w:val="558ED5" w:themeColor="text2" w:themeTint="99"/>
          <w14:textFill>
            <w14:solidFill>
              <w14:schemeClr w14:val="tx2">
                <w14:lumMod w14:val="60000"/>
                <w14:lumOff w14:val="40000"/>
              </w14:schemeClr>
            </w14:solidFill>
          </w14:textFill>
        </w:rPr>
        <w:fldChar w:fldCharType="separate"/>
      </w:r>
      <w:r>
        <w:rPr>
          <w:rFonts w:cs="Times New Roman"/>
          <w:color w:val="558ED5" w:themeColor="text2" w:themeTint="99"/>
          <w14:textFill>
            <w14:solidFill>
              <w14:schemeClr w14:val="tx2">
                <w14:lumMod w14:val="60000"/>
                <w14:lumOff w14:val="40000"/>
              </w14:schemeClr>
            </w14:solidFill>
          </w14:textFill>
        </w:rPr>
        <w:t>9</w:t>
      </w:r>
      <w:r>
        <w:rPr>
          <w:rFonts w:cs="Times New Roman"/>
          <w:color w:val="558ED5" w:themeColor="text2" w:themeTint="99"/>
          <w14:textFill>
            <w14:solidFill>
              <w14:schemeClr w14:val="tx2">
                <w14:lumMod w14:val="60000"/>
                <w14:lumOff w14:val="40000"/>
              </w14:schemeClr>
            </w14:solidFill>
          </w14:textFill>
        </w:rPr>
        <w:fldChar w:fldCharType="end"/>
      </w:r>
      <w:r>
        <w:rPr>
          <w:rFonts w:cs="Times New Roman"/>
          <w:color w:val="558ED5" w:themeColor="text2" w:themeTint="99"/>
          <w14:textFill>
            <w14:solidFill>
              <w14:schemeClr w14:val="tx2">
                <w14:lumMod w14:val="60000"/>
                <w14:lumOff w14:val="40000"/>
              </w14:schemeClr>
            </w14:solidFill>
          </w14:textFill>
        </w:rPr>
        <w:t>.4</w:t>
      </w:r>
      <w:r>
        <w:rPr>
          <w:rFonts w:cs="Times New Roman"/>
          <w:color w:val="558ED5" w:themeColor="text2" w:themeTint="99"/>
          <w14:textFill>
            <w14:solidFill>
              <w14:schemeClr w14:val="tx2">
                <w14:lumMod w14:val="60000"/>
                <w14:lumOff w14:val="40000"/>
              </w14:schemeClr>
            </w14:solidFill>
          </w14:textFill>
        </w:rPr>
        <w:noBreakHyphen/>
      </w:r>
      <w:r>
        <w:rPr>
          <w:rFonts w:cs="Times New Roman"/>
          <w:color w:val="558ED5" w:themeColor="text2" w:themeTint="99"/>
          <w14:textFill>
            <w14:solidFill>
              <w14:schemeClr w14:val="tx2">
                <w14:lumMod w14:val="60000"/>
                <w14:lumOff w14:val="40000"/>
              </w14:schemeClr>
            </w14:solidFill>
          </w14:textFill>
        </w:rPr>
        <w:t>2 网格屏蔽</w:t>
      </w:r>
    </w:p>
    <w:p>
      <w:pPr>
        <w:pStyle w:val="243"/>
        <w:numPr>
          <w:ilvl w:val="0"/>
          <w:numId w:val="58"/>
        </w:numPr>
        <w:ind w:firstLineChars="0"/>
        <w:rPr>
          <w:rFonts w:ascii="Times New Roman" w:hAnsi="Times New Roman" w:cs="Times New Roman"/>
        </w:rPr>
      </w:pPr>
      <w:r>
        <w:rPr>
          <w:rFonts w:ascii="Times New Roman" w:hAnsi="Times New Roman" w:cs="Times New Roman"/>
        </w:rPr>
        <w:t>对5G NR基站进行调整</w:t>
      </w:r>
    </w:p>
    <w:p>
      <w:pPr>
        <w:ind w:firstLine="480"/>
        <w:rPr>
          <w:rFonts w:cs="Times New Roman"/>
        </w:rPr>
      </w:pPr>
      <w:r>
        <w:rPr>
          <w:rFonts w:cs="Times New Roman"/>
        </w:rPr>
        <w:t>传统的工参调整手段，包括降低5G基站发射功率，调整5G基站天线最大辐射方向，加大5G天线下倾等。</w:t>
      </w:r>
    </w:p>
    <w:p>
      <w:pPr>
        <w:ind w:firstLine="480"/>
        <w:rPr>
          <w:rFonts w:cs="Times New Roman"/>
        </w:rPr>
      </w:pPr>
      <w:r>
        <w:rPr>
          <w:rFonts w:cs="Times New Roman"/>
        </w:rPr>
        <w:t>当卫星地球站并不在5G基站天线最大辐射方向时，加装天线背板是降低干扰的有效手段。</w:t>
      </w:r>
    </w:p>
    <w:p>
      <w:pPr>
        <w:ind w:firstLine="199" w:firstLineChars="83"/>
        <w:rPr>
          <w:rFonts w:cs="Times New Roman"/>
        </w:rPr>
      </w:pPr>
      <w:r>
        <w:rPr>
          <w:rFonts w:cs="Times New Roman"/>
        </w:rPr>
        <w:t>（2）5G NR（4.9GHz）与固定业务台（站）的干扰协调</w:t>
      </w:r>
    </w:p>
    <w:p>
      <w:pPr>
        <w:ind w:firstLine="480"/>
        <w:rPr>
          <w:rFonts w:cs="Times New Roman"/>
        </w:rPr>
      </w:pPr>
      <w:r>
        <w:rPr>
          <w:rFonts w:hint="eastAsia" w:ascii="宋体" w:hAnsi="宋体" w:cs="宋体"/>
        </w:rPr>
        <w:t>①</w:t>
      </w:r>
      <w:r>
        <w:rPr>
          <w:rFonts w:cs="Times New Roman"/>
        </w:rPr>
        <w:t>固定业务台（站）的干扰保护标准</w:t>
      </w:r>
    </w:p>
    <w:p>
      <w:pPr>
        <w:ind w:firstLine="480"/>
        <w:rPr>
          <w:rFonts w:cs="Times New Roman"/>
        </w:rPr>
      </w:pPr>
      <w:r>
        <w:rPr>
          <w:rFonts w:cs="Times New Roman"/>
        </w:rPr>
        <w:t>固定业务台（站）的干扰保护标准为：干扰信号电平小于固定业务台（站）接收系统噪声电平减10dB，此时固定业务台（站）的接收系统灵敏度降低0.4dB。</w:t>
      </w:r>
    </w:p>
    <w:p>
      <w:pPr>
        <w:ind w:firstLine="480"/>
        <w:rPr>
          <w:rFonts w:cs="Times New Roman"/>
        </w:rPr>
      </w:pPr>
      <w:r>
        <w:rPr>
          <w:rFonts w:hint="eastAsia" w:ascii="宋体" w:hAnsi="宋体" w:cs="宋体"/>
        </w:rPr>
        <w:t>②</w:t>
      </w:r>
      <w:r>
        <w:rPr>
          <w:rFonts w:cs="Times New Roman"/>
        </w:rPr>
        <w:t>干扰协调区</w:t>
      </w:r>
    </w:p>
    <w:p>
      <w:pPr>
        <w:ind w:firstLine="480"/>
        <w:rPr>
          <w:rFonts w:cs="Times New Roman"/>
        </w:rPr>
      </w:pPr>
      <w:r>
        <w:rPr>
          <w:rFonts w:cs="Times New Roman"/>
        </w:rPr>
        <w:t>为避免对合法使用的固定业务台（站）造成有害干扰，也需设立干扰协调区。</w:t>
      </w:r>
    </w:p>
    <w:p>
      <w:pPr>
        <w:ind w:firstLine="480"/>
        <w:rPr>
          <w:rFonts w:cs="Times New Roman"/>
        </w:rPr>
      </w:pPr>
      <w:r>
        <w:rPr>
          <w:rFonts w:cs="Times New Roman"/>
        </w:rPr>
        <w:t>干扰协调区为以固定业务台（站）为中心、半径300米的圆形区域。对于微波通信系统，两系统的天线主波瓣方向不能正对，即5G基站天线的最大增益发射方向不能正对微波通信系统最大增益接收方向，尽可能增大两系统的天线耦合损耗。</w:t>
      </w:r>
    </w:p>
    <w:p>
      <w:pPr>
        <w:ind w:firstLine="480"/>
        <w:rPr>
          <w:rFonts w:cs="Times New Roman"/>
        </w:rPr>
      </w:pPr>
      <w:r>
        <w:rPr>
          <w:rFonts w:hint="eastAsia" w:ascii="宋体" w:hAnsi="宋体" w:cs="宋体"/>
        </w:rPr>
        <w:t>③</w:t>
      </w:r>
      <w:r>
        <w:rPr>
          <w:rFonts w:cs="Times New Roman"/>
        </w:rPr>
        <w:t>干扰缓解工程措施</w:t>
      </w:r>
    </w:p>
    <w:p>
      <w:pPr>
        <w:ind w:firstLine="480"/>
        <w:rPr>
          <w:rFonts w:cs="Times New Roman"/>
        </w:rPr>
      </w:pPr>
      <w:r>
        <w:rPr>
          <w:rFonts w:cs="Times New Roman"/>
        </w:rPr>
        <w:t>干扰缓解工程措施与卫星地球站基本相同，即包括地域隔离、为固定业务台（站）加装屏蔽网、降低5G NR基站发射功率及调整5G NR基站天线最大辐射方向等措施。</w:t>
      </w:r>
    </w:p>
    <w:p>
      <w:pPr>
        <w:ind w:firstLine="199" w:firstLineChars="83"/>
        <w:rPr>
          <w:rFonts w:cs="Times New Roman"/>
        </w:rPr>
      </w:pPr>
      <w:r>
        <w:rPr>
          <w:rFonts w:cs="Times New Roman"/>
        </w:rPr>
        <w:t>（3）5G NR（4.9GHz）与射电天文台的干扰协调</w:t>
      </w:r>
    </w:p>
    <w:p>
      <w:pPr>
        <w:pStyle w:val="243"/>
        <w:ind w:firstLine="480"/>
        <w:rPr>
          <w:rFonts w:ascii="Times New Roman" w:hAnsi="Times New Roman" w:cs="Times New Roman"/>
        </w:rPr>
      </w:pPr>
      <w:r>
        <w:rPr>
          <w:rFonts w:hint="eastAsia" w:ascii="宋体" w:hAnsi="宋体" w:cs="宋体"/>
        </w:rPr>
        <w:t>①</w:t>
      </w:r>
      <w:r>
        <w:rPr>
          <w:rFonts w:ascii="Times New Roman" w:hAnsi="Times New Roman" w:cs="Times New Roman"/>
        </w:rPr>
        <w:t>射电天文台的干扰保护标准</w:t>
      </w:r>
    </w:p>
    <w:p>
      <w:pPr>
        <w:ind w:firstLine="480"/>
        <w:rPr>
          <w:rFonts w:cs="Times New Roman"/>
        </w:rPr>
      </w:pPr>
      <w:r>
        <w:rPr>
          <w:rFonts w:cs="Times New Roman"/>
        </w:rPr>
        <w:t>射电天文台的干扰保护标准遵循ITU-R RA.769-2建议书附录1“Detrimental level interference criterion”中的规定。</w:t>
      </w:r>
    </w:p>
    <w:p>
      <w:pPr>
        <w:ind w:firstLine="480"/>
        <w:rPr>
          <w:rFonts w:cs="Times New Roman"/>
        </w:rPr>
      </w:pPr>
      <w:r>
        <w:rPr>
          <w:rFonts w:hint="eastAsia" w:ascii="宋体" w:hAnsi="宋体" w:cs="宋体"/>
        </w:rPr>
        <w:t>②</w:t>
      </w:r>
      <w:r>
        <w:rPr>
          <w:rFonts w:cs="Times New Roman"/>
        </w:rPr>
        <w:t>电磁环境保护区</w:t>
      </w:r>
    </w:p>
    <w:p>
      <w:pPr>
        <w:ind w:firstLine="480"/>
        <w:rPr>
          <w:rFonts w:cs="Times New Roman"/>
        </w:rPr>
      </w:pPr>
      <w:r>
        <w:rPr>
          <w:rFonts w:cs="Times New Roman"/>
        </w:rPr>
        <w:t>根据《中华人民共和国无线电管理条例》规定，各地无线电管理机构应在射电天文台周围设置电磁环境保护区。所谓电磁环境保护区，就是为保护重要无线电台的业务，依法为无线台站划出的具有一定强制性和排他性的区域。</w:t>
      </w:r>
    </w:p>
    <w:p>
      <w:pPr>
        <w:ind w:firstLine="480"/>
        <w:rPr>
          <w:rFonts w:cs="Times New Roman"/>
        </w:rPr>
      </w:pPr>
      <w:r>
        <w:rPr>
          <w:rFonts w:cs="Times New Roman"/>
        </w:rPr>
        <w:t>电磁环境保护区的半径一般应大于射电天文台的视距范围，各地无线电管理机构应协调相关单位，结合当地地理地形等因素确定电磁环境保护区范围并对外发布。</w:t>
      </w:r>
    </w:p>
    <w:p>
      <w:pPr>
        <w:ind w:firstLine="480"/>
        <w:rPr>
          <w:rFonts w:cs="Times New Roman"/>
        </w:rPr>
      </w:pPr>
      <w:r>
        <w:rPr>
          <w:rFonts w:hint="eastAsia" w:ascii="宋体" w:hAnsi="宋体" w:cs="宋体"/>
        </w:rPr>
        <w:t>③</w:t>
      </w:r>
      <w:r>
        <w:rPr>
          <w:rFonts w:cs="Times New Roman"/>
        </w:rPr>
        <w:t>干扰缓解工程措施</w:t>
      </w:r>
    </w:p>
    <w:p>
      <w:pPr>
        <w:ind w:firstLine="480"/>
        <w:rPr>
          <w:rFonts w:cs="Times New Roman"/>
        </w:rPr>
      </w:pPr>
      <w:r>
        <w:rPr>
          <w:rFonts w:cs="Times New Roman"/>
        </w:rPr>
        <w:t>5G基站选址应严格遵守有关电磁环境保护区的技术要求和办法，在5G网络规划、基站建设和施工过程中，应采取必要的干扰规避措施，严格避免对已规划和在运行的射电天文台产生有害干扰。</w:t>
      </w:r>
    </w:p>
    <w:p>
      <w:pPr>
        <w:pStyle w:val="5"/>
        <w:rPr>
          <w:rFonts w:cs="Times New Roman"/>
        </w:rPr>
      </w:pPr>
      <w:bookmarkStart w:id="838" w:name="_Toc935"/>
      <w:bookmarkStart w:id="839" w:name="_Toc2868702"/>
      <w:r>
        <w:rPr>
          <w:rFonts w:cs="Times New Roman"/>
        </w:rPr>
        <w:t>5G NR与室内覆盖系统的干扰协调</w:t>
      </w:r>
      <w:bookmarkEnd w:id="838"/>
      <w:bookmarkEnd w:id="839"/>
    </w:p>
    <w:p>
      <w:pPr>
        <w:ind w:firstLine="480"/>
        <w:rPr>
          <w:rFonts w:cs="Times New Roman"/>
        </w:rPr>
      </w:pPr>
      <w:r>
        <w:rPr>
          <w:rFonts w:cs="Times New Roman"/>
        </w:rPr>
        <w:t>如果5G NR（2.6GHz）室内覆盖采用室内分布系统建设方式，合路器中5G与其他系统的隔离度要求如下表：</w:t>
      </w:r>
    </w:p>
    <w:p>
      <w:pPr>
        <w:pStyle w:val="603"/>
        <w:rPr>
          <w:rFonts w:cs="Times New Roman"/>
        </w:rPr>
      </w:pPr>
      <w:r>
        <w:rPr>
          <w:rFonts w:cs="Times New Roman"/>
        </w:rPr>
        <w:t>表12.5</w:t>
      </w:r>
      <w:r>
        <w:rPr>
          <w:rFonts w:cs="Times New Roman"/>
        </w:rPr>
        <w:noBreakHyphen/>
      </w:r>
      <w:r>
        <w:rPr>
          <w:rFonts w:cs="Times New Roman"/>
        </w:rPr>
        <w:t>1  5G NR（2.6GHz）与其他系统干扰隔离度要求（单位：dB）</w:t>
      </w:r>
    </w:p>
    <w:tbl>
      <w:tblPr>
        <w:tblStyle w:val="63"/>
        <w:tblW w:w="8062" w:type="dxa"/>
        <w:jc w:val="center"/>
        <w:tblLayout w:type="fixed"/>
        <w:tblCellMar>
          <w:top w:w="0" w:type="dxa"/>
          <w:left w:w="0" w:type="dxa"/>
          <w:bottom w:w="0" w:type="dxa"/>
          <w:right w:w="0" w:type="dxa"/>
        </w:tblCellMar>
      </w:tblPr>
      <w:tblGrid>
        <w:gridCol w:w="1747"/>
        <w:gridCol w:w="1384"/>
        <w:gridCol w:w="1687"/>
        <w:gridCol w:w="1140"/>
        <w:gridCol w:w="2104"/>
      </w:tblGrid>
      <w:tr>
        <w:tblPrEx>
          <w:tblCellMar>
            <w:top w:w="0" w:type="dxa"/>
            <w:left w:w="0" w:type="dxa"/>
            <w:bottom w:w="0" w:type="dxa"/>
            <w:right w:w="0" w:type="dxa"/>
          </w:tblCellMar>
        </w:tblPrEx>
        <w:trPr>
          <w:trHeight w:val="476"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制式及频段</w:t>
            </w:r>
          </w:p>
        </w:tc>
        <w:tc>
          <w:tcPr>
            <w:tcW w:w="138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CDMA/NB-IoT（800MHz）</w:t>
            </w:r>
          </w:p>
        </w:tc>
        <w:tc>
          <w:tcPr>
            <w:tcW w:w="168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GSM/NB-IoT/FDD LTE（900MHz）</w:t>
            </w:r>
          </w:p>
        </w:tc>
        <w:tc>
          <w:tcPr>
            <w:tcW w:w="1140"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DCS</w:t>
            </w:r>
          </w:p>
        </w:tc>
        <w:tc>
          <w:tcPr>
            <w:tcW w:w="210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FDD LTE 1.8GHz</w:t>
            </w:r>
          </w:p>
        </w:tc>
      </w:tr>
      <w:tr>
        <w:tblPrEx>
          <w:tblCellMar>
            <w:top w:w="0" w:type="dxa"/>
            <w:left w:w="0" w:type="dxa"/>
            <w:bottom w:w="0" w:type="dxa"/>
            <w:right w:w="0" w:type="dxa"/>
          </w:tblCellMar>
        </w:tblPrEx>
        <w:trPr>
          <w:trHeight w:val="476"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干扰隔离度</w:t>
            </w:r>
          </w:p>
        </w:tc>
        <w:tc>
          <w:tcPr>
            <w:tcW w:w="138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57</w:t>
            </w:r>
          </w:p>
        </w:tc>
        <w:tc>
          <w:tcPr>
            <w:tcW w:w="16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57</w:t>
            </w:r>
          </w:p>
        </w:tc>
        <w:tc>
          <w:tcPr>
            <w:tcW w:w="11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47</w:t>
            </w:r>
          </w:p>
        </w:tc>
        <w:tc>
          <w:tcPr>
            <w:tcW w:w="210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r>
      <w:tr>
        <w:tblPrEx>
          <w:tblCellMar>
            <w:top w:w="0" w:type="dxa"/>
            <w:left w:w="0" w:type="dxa"/>
            <w:bottom w:w="0" w:type="dxa"/>
            <w:right w:w="0" w:type="dxa"/>
          </w:tblCellMar>
        </w:tblPrEx>
        <w:trPr>
          <w:trHeight w:val="612"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制式及频段　</w:t>
            </w:r>
          </w:p>
        </w:tc>
        <w:tc>
          <w:tcPr>
            <w:tcW w:w="138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WCDMA/FDD LTE（2.1GHz）</w:t>
            </w:r>
          </w:p>
        </w:tc>
        <w:tc>
          <w:tcPr>
            <w:tcW w:w="1687"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TD-SCDMA（A频段）</w:t>
            </w:r>
          </w:p>
        </w:tc>
        <w:tc>
          <w:tcPr>
            <w:tcW w:w="1140"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TD-LTE（F）</w:t>
            </w:r>
          </w:p>
        </w:tc>
        <w:tc>
          <w:tcPr>
            <w:tcW w:w="2104" w:type="dxa"/>
            <w:tcBorders>
              <w:top w:val="single" w:color="000000" w:sz="4" w:space="0"/>
              <w:left w:val="single" w:color="000000" w:sz="4" w:space="0"/>
              <w:bottom w:val="single" w:color="000000" w:sz="4" w:space="0"/>
              <w:right w:val="single" w:color="000000" w:sz="4" w:space="0"/>
            </w:tcBorders>
            <w:shd w:val="clear" w:color="auto" w:fill="D8D8D8" w:themeFill="background1" w:themeFillShade="D9"/>
            <w:tcMar>
              <w:top w:w="15" w:type="dxa"/>
              <w:left w:w="15" w:type="dxa"/>
              <w:bottom w:w="0" w:type="dxa"/>
              <w:right w:w="15" w:type="dxa"/>
            </w:tcMar>
            <w:vAlign w:val="center"/>
          </w:tcPr>
          <w:p>
            <w:pPr>
              <w:pStyle w:val="290"/>
            </w:pPr>
            <w:r>
              <w:t>TD-LTE（D）</w:t>
            </w:r>
          </w:p>
        </w:tc>
      </w:tr>
      <w:tr>
        <w:tblPrEx>
          <w:tblCellMar>
            <w:top w:w="0" w:type="dxa"/>
            <w:left w:w="0" w:type="dxa"/>
            <w:bottom w:w="0" w:type="dxa"/>
            <w:right w:w="0" w:type="dxa"/>
          </w:tblCellMar>
        </w:tblPrEx>
        <w:trPr>
          <w:trHeight w:val="476" w:hRule="atLeast"/>
          <w:jc w:val="center"/>
        </w:trPr>
        <w:tc>
          <w:tcPr>
            <w:tcW w:w="174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干扰隔离度</w:t>
            </w:r>
          </w:p>
        </w:tc>
        <w:tc>
          <w:tcPr>
            <w:tcW w:w="138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c>
          <w:tcPr>
            <w:tcW w:w="1687"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c>
          <w:tcPr>
            <w:tcW w:w="114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39</w:t>
            </w:r>
          </w:p>
        </w:tc>
        <w:tc>
          <w:tcPr>
            <w:tcW w:w="210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0" w:type="dxa"/>
              <w:right w:w="15" w:type="dxa"/>
            </w:tcMar>
            <w:vAlign w:val="center"/>
          </w:tcPr>
          <w:p>
            <w:pPr>
              <w:pStyle w:val="290"/>
            </w:pPr>
            <w:r>
              <w:t>时隙对齐</w:t>
            </w:r>
          </w:p>
        </w:tc>
      </w:tr>
    </w:tbl>
    <w:p>
      <w:pPr>
        <w:ind w:firstLine="480"/>
        <w:rPr>
          <w:rFonts w:cs="Times New Roman"/>
          <w:kern w:val="0"/>
        </w:rPr>
      </w:pPr>
      <w:r>
        <w:rPr>
          <w:rFonts w:cs="Times New Roman"/>
        </w:rPr>
        <w:t>如果5G NR室内覆盖采用分布式小基站建设方式，5G NR（2.6GHz）天线点与DAS系统天线点的距离隔离1.5米以上；5G NR（4.9GHz）天线点与DAS系统天线点的距离隔离1米以上。</w:t>
      </w:r>
    </w:p>
    <w:p>
      <w:pPr>
        <w:pStyle w:val="4"/>
        <w:ind w:left="608" w:hanging="608"/>
        <w:rPr>
          <w:rFonts w:cs="Times New Roman"/>
        </w:rPr>
      </w:pPr>
      <w:bookmarkStart w:id="840" w:name="_Toc176345236"/>
      <w:bookmarkEnd w:id="840"/>
      <w:bookmarkStart w:id="841" w:name="_Toc176351843"/>
      <w:bookmarkEnd w:id="841"/>
      <w:bookmarkStart w:id="842" w:name="_Toc192398923"/>
      <w:bookmarkEnd w:id="842"/>
      <w:bookmarkStart w:id="843" w:name="_Toc176351753"/>
      <w:bookmarkEnd w:id="843"/>
      <w:bookmarkStart w:id="844" w:name="_Toc192392055"/>
      <w:bookmarkEnd w:id="844"/>
      <w:bookmarkStart w:id="845" w:name="_Toc207437824"/>
      <w:bookmarkEnd w:id="845"/>
      <w:bookmarkStart w:id="846" w:name="_Toc176345509"/>
      <w:bookmarkEnd w:id="846"/>
      <w:bookmarkStart w:id="847" w:name="_Toc176345311"/>
      <w:bookmarkEnd w:id="847"/>
      <w:bookmarkStart w:id="848" w:name="_Toc176352187"/>
      <w:bookmarkEnd w:id="848"/>
      <w:bookmarkStart w:id="849" w:name="_Toc176352025"/>
      <w:bookmarkEnd w:id="849"/>
      <w:bookmarkStart w:id="850" w:name="_Toc177882012"/>
      <w:bookmarkEnd w:id="850"/>
      <w:bookmarkStart w:id="851" w:name="_Toc176345400"/>
      <w:bookmarkEnd w:id="851"/>
      <w:bookmarkStart w:id="852" w:name="_Toc2868703"/>
      <w:bookmarkStart w:id="853" w:name="_Toc452131627"/>
      <w:bookmarkStart w:id="854" w:name="_Toc7755"/>
      <w:bookmarkStart w:id="855" w:name="_Toc447202508"/>
      <w:bookmarkStart w:id="856" w:name="_Toc447204557"/>
      <w:bookmarkStart w:id="857" w:name="_Toc162879732"/>
      <w:bookmarkStart w:id="858" w:name="_Toc66517210"/>
      <w:bookmarkStart w:id="859" w:name="_Toc176345510"/>
      <w:r>
        <w:rPr>
          <w:rFonts w:cs="Times New Roman"/>
        </w:rPr>
        <w:t>设备选型</w:t>
      </w:r>
      <w:bookmarkEnd w:id="852"/>
      <w:bookmarkEnd w:id="853"/>
      <w:bookmarkEnd w:id="854"/>
      <w:bookmarkEnd w:id="855"/>
      <w:bookmarkEnd w:id="856"/>
    </w:p>
    <w:p>
      <w:pPr>
        <w:pStyle w:val="5"/>
        <w:rPr>
          <w:rFonts w:cs="Times New Roman"/>
        </w:rPr>
      </w:pPr>
      <w:bookmarkStart w:id="860" w:name="_Toc21110"/>
      <w:bookmarkStart w:id="861" w:name="_Toc391033150"/>
      <w:bookmarkStart w:id="862" w:name="_Toc447204561"/>
      <w:bookmarkStart w:id="863" w:name="_Toc424051610"/>
      <w:bookmarkStart w:id="864" w:name="_Toc447202512"/>
      <w:bookmarkStart w:id="865" w:name="_Toc2868706"/>
      <w:bookmarkStart w:id="866" w:name="_Toc452131631"/>
      <w:bookmarkStart w:id="867" w:name="_Toc422225694"/>
      <w:r>
        <w:rPr>
          <w:rFonts w:cs="Times New Roman"/>
        </w:rPr>
        <w:t>gNB</w:t>
      </w:r>
      <w:bookmarkEnd w:id="860"/>
    </w:p>
    <w:p>
      <w:pPr>
        <w:ind w:firstLine="480"/>
        <w:rPr>
          <w:rFonts w:cs="Times New Roman"/>
        </w:rPr>
      </w:pPr>
      <w:r>
        <w:rPr>
          <w:rFonts w:cs="Times New Roman"/>
        </w:rPr>
        <w:t>目前5G基站系统主要设备类型为基带拉远型（包括BBU＋AAU、BBU＋RRU和BBU＋HUB＋pRRU）基站，基带拉远型设备（BBU+AAU）能适合各类使用场景。其中AAU为RRU和天线一体化产品。</w:t>
      </w:r>
    </w:p>
    <w:p>
      <w:pPr>
        <w:ind w:firstLine="480"/>
        <w:rPr>
          <w:rFonts w:cs="Times New Roman"/>
        </w:rPr>
      </w:pPr>
      <w:r>
        <w:rPr>
          <w:rFonts w:cs="Times New Roman"/>
        </w:rPr>
        <w:t>本工程gNB设备选用华为、爱立信产品。</w:t>
      </w:r>
    </w:p>
    <w:p>
      <w:pPr>
        <w:ind w:firstLine="480"/>
        <w:rPr>
          <w:rFonts w:cs="Times New Roman"/>
        </w:rPr>
      </w:pPr>
      <w:r>
        <w:rPr>
          <w:rFonts w:cs="Times New Roman"/>
        </w:rPr>
        <w:t>各厂商无线产品基本情况见下表：</w:t>
      </w:r>
    </w:p>
    <w:p>
      <w:pPr>
        <w:ind w:firstLine="199" w:firstLineChars="83"/>
        <w:rPr>
          <w:rFonts w:cs="Times New Roman"/>
        </w:rPr>
      </w:pPr>
      <w:r>
        <w:rPr>
          <w:rFonts w:cs="Times New Roman"/>
        </w:rPr>
        <w:t>（1）BBU设备</w:t>
      </w:r>
    </w:p>
    <w:p>
      <w:pPr>
        <w:pStyle w:val="603"/>
        <w:rPr>
          <w:rFonts w:cs="Times New Roman"/>
        </w:rPr>
      </w:pPr>
      <w:r>
        <w:rPr>
          <w:rFonts w:cs="Times New Roman"/>
        </w:rPr>
        <w:t>表13.1-1  BBU设备信息表</w:t>
      </w:r>
    </w:p>
    <w:tbl>
      <w:tblPr>
        <w:tblStyle w:val="63"/>
        <w:tblW w:w="8600" w:type="dxa"/>
        <w:tblInd w:w="113" w:type="dxa"/>
        <w:tblLayout w:type="fixed"/>
        <w:tblCellMar>
          <w:top w:w="0" w:type="dxa"/>
          <w:left w:w="108" w:type="dxa"/>
          <w:bottom w:w="0" w:type="dxa"/>
          <w:right w:w="108" w:type="dxa"/>
        </w:tblCellMar>
      </w:tblPr>
      <w:tblGrid>
        <w:gridCol w:w="1040"/>
        <w:gridCol w:w="1420"/>
        <w:gridCol w:w="1960"/>
        <w:gridCol w:w="1040"/>
        <w:gridCol w:w="1040"/>
        <w:gridCol w:w="1040"/>
        <w:gridCol w:w="1060"/>
      </w:tblGrid>
      <w:tr>
        <w:tblPrEx>
          <w:tblCellMar>
            <w:top w:w="0" w:type="dxa"/>
            <w:left w:w="108" w:type="dxa"/>
            <w:bottom w:w="0" w:type="dxa"/>
            <w:right w:w="108" w:type="dxa"/>
          </w:tblCellMar>
        </w:tblPrEx>
        <w:trPr>
          <w:trHeight w:val="840" w:hRule="atLeast"/>
          <w:tblHeader/>
        </w:trPr>
        <w:tc>
          <w:tcPr>
            <w:tcW w:w="1040" w:type="dxa"/>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厂家</w:t>
            </w:r>
          </w:p>
        </w:tc>
        <w:tc>
          <w:tcPr>
            <w:tcW w:w="142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BBU型号</w:t>
            </w:r>
          </w:p>
        </w:tc>
        <w:tc>
          <w:tcPr>
            <w:tcW w:w="196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尺寸（宽×高×深）（mm）</w:t>
            </w:r>
          </w:p>
        </w:tc>
        <w:tc>
          <w:tcPr>
            <w:tcW w:w="104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高度(U)</w:t>
            </w:r>
          </w:p>
        </w:tc>
        <w:tc>
          <w:tcPr>
            <w:tcW w:w="104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满配重量（Kg）</w:t>
            </w:r>
          </w:p>
        </w:tc>
        <w:tc>
          <w:tcPr>
            <w:tcW w:w="104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供电方式</w:t>
            </w:r>
          </w:p>
        </w:tc>
        <w:tc>
          <w:tcPr>
            <w:tcW w:w="1060" w:type="dxa"/>
            <w:tcBorders>
              <w:top w:val="single" w:color="auto" w:sz="4" w:space="0"/>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功耗（W）</w:t>
            </w:r>
          </w:p>
        </w:tc>
      </w:tr>
      <w:tr>
        <w:tblPrEx>
          <w:tblCellMar>
            <w:top w:w="0" w:type="dxa"/>
            <w:left w:w="108" w:type="dxa"/>
            <w:bottom w:w="0" w:type="dxa"/>
            <w:right w:w="108" w:type="dxa"/>
          </w:tblCellMar>
        </w:tblPrEx>
        <w:trPr>
          <w:trHeight w:val="290" w:hRule="atLeast"/>
        </w:trPr>
        <w:tc>
          <w:tcPr>
            <w:tcW w:w="1040" w:type="dxa"/>
            <w:tcBorders>
              <w:top w:val="nil"/>
              <w:left w:val="single" w:color="auto" w:sz="4" w:space="0"/>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华为</w:t>
            </w: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BBU5900</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446×88×310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18</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2000W</w:t>
            </w:r>
          </w:p>
        </w:tc>
      </w:tr>
      <w:tr>
        <w:tblPrEx>
          <w:tblCellMar>
            <w:top w:w="0" w:type="dxa"/>
            <w:left w:w="108" w:type="dxa"/>
            <w:bottom w:w="0" w:type="dxa"/>
            <w:right w:w="108" w:type="dxa"/>
          </w:tblCellMar>
        </w:tblPrEx>
        <w:trPr>
          <w:trHeight w:val="300" w:hRule="atLeast"/>
        </w:trPr>
        <w:tc>
          <w:tcPr>
            <w:tcW w:w="1040" w:type="dxa"/>
            <w:vMerge w:val="restart"/>
            <w:tcBorders>
              <w:top w:val="nil"/>
              <w:left w:val="single" w:color="auto" w:sz="4" w:space="0"/>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爱立信</w:t>
            </w: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 6630 v2</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483×133.5×350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6.5</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540W</w:t>
            </w:r>
          </w:p>
        </w:tc>
      </w:tr>
      <w:tr>
        <w:tblPrEx>
          <w:tblCellMar>
            <w:top w:w="0" w:type="dxa"/>
            <w:left w:w="108" w:type="dxa"/>
            <w:bottom w:w="0" w:type="dxa"/>
            <w:right w:w="108" w:type="dxa"/>
          </w:tblCellMar>
        </w:tblPrEx>
        <w:trPr>
          <w:trHeight w:val="300" w:hRule="atLeast"/>
        </w:trPr>
        <w:tc>
          <w:tcPr>
            <w:tcW w:w="10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 6648</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483×133.5×350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7.5</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1350W</w:t>
            </w:r>
          </w:p>
        </w:tc>
      </w:tr>
      <w:tr>
        <w:tblPrEx>
          <w:tblCellMar>
            <w:top w:w="0" w:type="dxa"/>
            <w:left w:w="108" w:type="dxa"/>
            <w:bottom w:w="0" w:type="dxa"/>
            <w:right w:w="108" w:type="dxa"/>
          </w:tblCellMar>
        </w:tblPrEx>
        <w:trPr>
          <w:trHeight w:val="300" w:hRule="atLeast"/>
        </w:trPr>
        <w:tc>
          <w:tcPr>
            <w:tcW w:w="104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142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BB 6630c</w:t>
            </w:r>
          </w:p>
        </w:tc>
        <w:tc>
          <w:tcPr>
            <w:tcW w:w="19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483×133.5×350</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3U</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6.5</w:t>
            </w:r>
          </w:p>
        </w:tc>
        <w:tc>
          <w:tcPr>
            <w:tcW w:w="104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直流</w:t>
            </w:r>
          </w:p>
        </w:tc>
        <w:tc>
          <w:tcPr>
            <w:tcW w:w="1060" w:type="dxa"/>
            <w:tcBorders>
              <w:top w:val="nil"/>
              <w:left w:val="nil"/>
              <w:bottom w:val="single" w:color="auto" w:sz="4" w:space="0"/>
              <w:right w:val="single" w:color="auto" w:sz="4" w:space="0"/>
            </w:tcBorders>
            <w:shd w:val="clear" w:color="auto" w:fill="auto"/>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510W</w:t>
            </w:r>
          </w:p>
        </w:tc>
      </w:tr>
    </w:tbl>
    <w:p>
      <w:pPr>
        <w:pStyle w:val="603"/>
        <w:rPr>
          <w:rFonts w:cs="Times New Roman"/>
        </w:rPr>
      </w:pPr>
    </w:p>
    <w:p>
      <w:pPr>
        <w:ind w:firstLine="199" w:firstLineChars="83"/>
        <w:rPr>
          <w:rFonts w:cs="Times New Roman"/>
        </w:rPr>
      </w:pPr>
      <w:r>
        <w:rPr>
          <w:rFonts w:cs="Times New Roman"/>
        </w:rPr>
        <w:t>（2）射频设备</w:t>
      </w:r>
    </w:p>
    <w:p>
      <w:pPr>
        <w:pStyle w:val="603"/>
        <w:rPr>
          <w:rFonts w:cs="Times New Roman"/>
        </w:rPr>
      </w:pPr>
      <w:r>
        <w:rPr>
          <w:rFonts w:cs="Times New Roman" w:eastAsiaTheme="minorEastAsia"/>
        </w:rPr>
        <w:t xml:space="preserve">表13.1-2  </w:t>
      </w:r>
      <w:r>
        <w:rPr>
          <w:rFonts w:cs="Times New Roman"/>
        </w:rPr>
        <w:t>设备信息表</w:t>
      </w:r>
    </w:p>
    <w:tbl>
      <w:tblPr>
        <w:tblStyle w:val="63"/>
        <w:tblW w:w="11090" w:type="dxa"/>
        <w:jc w:val="center"/>
        <w:tblLayout w:type="fixed"/>
        <w:tblCellMar>
          <w:top w:w="0" w:type="dxa"/>
          <w:left w:w="108" w:type="dxa"/>
          <w:bottom w:w="0" w:type="dxa"/>
          <w:right w:w="108" w:type="dxa"/>
        </w:tblCellMar>
      </w:tblPr>
      <w:tblGrid>
        <w:gridCol w:w="1041"/>
        <w:gridCol w:w="426"/>
        <w:gridCol w:w="1696"/>
        <w:gridCol w:w="841"/>
        <w:gridCol w:w="2492"/>
        <w:gridCol w:w="800"/>
        <w:gridCol w:w="893"/>
        <w:gridCol w:w="963"/>
        <w:gridCol w:w="835"/>
        <w:gridCol w:w="1103"/>
      </w:tblGrid>
      <w:tr>
        <w:tblPrEx>
          <w:tblCellMar>
            <w:top w:w="0" w:type="dxa"/>
            <w:left w:w="108" w:type="dxa"/>
            <w:bottom w:w="0" w:type="dxa"/>
            <w:right w:w="108" w:type="dxa"/>
          </w:tblCellMar>
        </w:tblPrEx>
        <w:trPr>
          <w:trHeight w:val="300" w:hRule="atLeast"/>
          <w:tblHeader/>
          <w:jc w:val="center"/>
        </w:trPr>
        <w:tc>
          <w:tcPr>
            <w:tcW w:w="1041"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厂家</w:t>
            </w:r>
          </w:p>
        </w:tc>
        <w:tc>
          <w:tcPr>
            <w:tcW w:w="426"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序号</w:t>
            </w:r>
          </w:p>
        </w:tc>
        <w:tc>
          <w:tcPr>
            <w:tcW w:w="1696"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频段</w:t>
            </w:r>
          </w:p>
        </w:tc>
        <w:tc>
          <w:tcPr>
            <w:tcW w:w="84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通道</w:t>
            </w:r>
          </w:p>
        </w:tc>
        <w:tc>
          <w:tcPr>
            <w:tcW w:w="2492"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设备型号</w:t>
            </w:r>
          </w:p>
        </w:tc>
        <w:tc>
          <w:tcPr>
            <w:tcW w:w="80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尺寸（L）</w:t>
            </w:r>
          </w:p>
        </w:tc>
        <w:tc>
          <w:tcPr>
            <w:tcW w:w="89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重量（Kg）</w:t>
            </w:r>
          </w:p>
        </w:tc>
        <w:tc>
          <w:tcPr>
            <w:tcW w:w="96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供电方式</w:t>
            </w:r>
          </w:p>
        </w:tc>
        <w:tc>
          <w:tcPr>
            <w:tcW w:w="835"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功耗（W）</w:t>
            </w:r>
          </w:p>
        </w:tc>
        <w:tc>
          <w:tcPr>
            <w:tcW w:w="110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发射功率</w:t>
            </w:r>
          </w:p>
        </w:tc>
      </w:tr>
      <w:tr>
        <w:tblPrEx>
          <w:tblCellMar>
            <w:top w:w="0" w:type="dxa"/>
            <w:left w:w="108" w:type="dxa"/>
            <w:bottom w:w="0" w:type="dxa"/>
            <w:right w:w="108" w:type="dxa"/>
          </w:tblCellMar>
        </w:tblPrEx>
        <w:trPr>
          <w:trHeight w:val="300" w:hRule="atLeast"/>
          <w:jc w:val="center"/>
        </w:trPr>
        <w:tc>
          <w:tcPr>
            <w:tcW w:w="1041"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华为</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AAU5636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AAU5639</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240W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4.9G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AAU5613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37</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200W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AAU5336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34</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RRU5250</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1130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8*40W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RRU5813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1130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8*40W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7</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RRU5150-d</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2*100W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RRU5268-d</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900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2*160W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AAU5243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20</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20</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30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RRU5266E</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1.8+2.3+2.6</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pRRU5961G/pRRU5961H</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pRRU5962G/pRRU5962H</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pRRU5963/pRRU5963H</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1.8/2.5</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DC/POE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pRRU5930/pRRU5930L</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pRRU5960/pRRU5960L</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2*400mW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16</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pRRU5933/pRRU5933L</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2*400mW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1.8G+2.3G+2.6G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R8149 M182326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70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4*400mW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R9105E S26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350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R9115 M1826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370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A9155 M1826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17</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16</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370</w:t>
            </w:r>
          </w:p>
        </w:tc>
        <w:tc>
          <w:tcPr>
            <w:tcW w:w="110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320" w:hRule="atLeast"/>
          <w:jc w:val="center"/>
        </w:trPr>
        <w:tc>
          <w:tcPr>
            <w:tcW w:w="1041"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爱立信</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6454</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83</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44</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1070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64*3.75W</w:t>
            </w:r>
          </w:p>
        </w:tc>
      </w:tr>
      <w:tr>
        <w:tblPrEx>
          <w:tblCellMar>
            <w:top w:w="0" w:type="dxa"/>
            <w:left w:w="108" w:type="dxa"/>
            <w:bottom w:w="0" w:type="dxa"/>
            <w:right w:w="108" w:type="dxa"/>
          </w:tblCellMar>
        </w:tblPrEx>
        <w:trPr>
          <w:trHeight w:val="3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6449</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93</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1250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64*5W</w:t>
            </w:r>
          </w:p>
        </w:tc>
      </w:tr>
      <w:tr>
        <w:tblPrEx>
          <w:tblCellMar>
            <w:top w:w="0" w:type="dxa"/>
            <w:left w:w="108" w:type="dxa"/>
            <w:bottom w:w="0" w:type="dxa"/>
            <w:right w:w="108" w:type="dxa"/>
          </w:tblCellMar>
        </w:tblPrEx>
        <w:trPr>
          <w:trHeight w:val="3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3236</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1060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32*10W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Radio 8863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21</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~800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8*40W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Radio 2228</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17</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直流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2*100W</w:t>
            </w:r>
          </w:p>
        </w:tc>
      </w:tr>
      <w:tr>
        <w:tblPrEx>
          <w:tblCellMar>
            <w:top w:w="0" w:type="dxa"/>
            <w:left w:w="108" w:type="dxa"/>
            <w:bottom w:w="0" w:type="dxa"/>
            <w:right w:w="108" w:type="dxa"/>
          </w:tblCellMar>
        </w:tblPrEx>
        <w:trPr>
          <w:trHeight w:val="3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6</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44 v1</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~300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52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7</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Air 44 v2</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16</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交流</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~400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4*20W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8</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DoT44 2.6G 100M v1</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35</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9</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DoT44 2.6G 100M v2</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45</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10</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1.8G+2.3G+2.6G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2.6G：4</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DoT44 2.6G 100M v3</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55</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4x250mW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DoT22 2.6G 100M v1</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1.5</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1.1</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30</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2x250mW</w:t>
            </w:r>
          </w:p>
        </w:tc>
      </w:tr>
      <w:tr>
        <w:tblPrEx>
          <w:tblCellMar>
            <w:top w:w="0" w:type="dxa"/>
            <w:left w:w="108" w:type="dxa"/>
            <w:bottom w:w="0" w:type="dxa"/>
            <w:right w:w="108" w:type="dxa"/>
          </w:tblCellMar>
        </w:tblPrEx>
        <w:trPr>
          <w:trHeight w:val="780" w:hRule="atLeast"/>
          <w:jc w:val="center"/>
        </w:trPr>
        <w:tc>
          <w:tcPr>
            <w:tcW w:w="1041"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eastAsiaTheme="minorEastAsia"/>
                <w:kern w:val="0"/>
                <w:sz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12</w:t>
            </w:r>
          </w:p>
        </w:tc>
        <w:tc>
          <w:tcPr>
            <w:tcW w:w="1696"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1.8G+2.6G</w:t>
            </w:r>
          </w:p>
        </w:tc>
        <w:tc>
          <w:tcPr>
            <w:tcW w:w="841"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2.6G：2</w:t>
            </w:r>
          </w:p>
        </w:tc>
        <w:tc>
          <w:tcPr>
            <w:tcW w:w="2492"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DoT22 2.6G 100M v2</w:t>
            </w:r>
          </w:p>
        </w:tc>
        <w:tc>
          <w:tcPr>
            <w:tcW w:w="8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89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2</w:t>
            </w:r>
          </w:p>
        </w:tc>
        <w:tc>
          <w:tcPr>
            <w:tcW w:w="963"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POE</w:t>
            </w:r>
          </w:p>
        </w:tc>
        <w:tc>
          <w:tcPr>
            <w:tcW w:w="835"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Times New Roman" w:eastAsiaTheme="minorEastAsia"/>
                <w:kern w:val="0"/>
                <w:sz w:val="21"/>
              </w:rPr>
            </w:pPr>
            <w:r>
              <w:rPr>
                <w:rFonts w:cs="Times New Roman" w:eastAsiaTheme="minorEastAsia"/>
                <w:kern w:val="0"/>
                <w:sz w:val="21"/>
              </w:rPr>
              <w:t>33</w:t>
            </w:r>
          </w:p>
        </w:tc>
        <w:tc>
          <w:tcPr>
            <w:tcW w:w="1103" w:type="dxa"/>
            <w:tcBorders>
              <w:top w:val="nil"/>
              <w:left w:val="nil"/>
              <w:bottom w:val="single" w:color="auto" w:sz="4" w:space="0"/>
              <w:right w:val="single" w:color="auto" w:sz="4" w:space="0"/>
            </w:tcBorders>
            <w:shd w:val="clear" w:color="auto" w:fill="auto"/>
            <w:vAlign w:val="bottom"/>
          </w:tcPr>
          <w:p>
            <w:pPr>
              <w:widowControl/>
              <w:spacing w:line="240" w:lineRule="auto"/>
              <w:ind w:firstLine="0" w:firstLineChars="0"/>
              <w:jc w:val="left"/>
              <w:rPr>
                <w:rFonts w:cs="Times New Roman" w:eastAsiaTheme="minorEastAsia"/>
                <w:kern w:val="0"/>
                <w:sz w:val="21"/>
              </w:rPr>
            </w:pPr>
            <w:r>
              <w:rPr>
                <w:rFonts w:cs="Times New Roman" w:eastAsiaTheme="minorEastAsia"/>
                <w:kern w:val="0"/>
                <w:sz w:val="21"/>
              </w:rPr>
              <w:t>2x250mW</w:t>
            </w:r>
          </w:p>
        </w:tc>
      </w:tr>
    </w:tbl>
    <w:p>
      <w:pPr>
        <w:pStyle w:val="5"/>
        <w:rPr>
          <w:rFonts w:cs="Times New Roman"/>
        </w:rPr>
      </w:pPr>
      <w:bookmarkStart w:id="868" w:name="_Toc11166"/>
      <w:bookmarkStart w:id="869" w:name="_Toc2868705"/>
      <w:r>
        <w:rPr>
          <w:rFonts w:cs="Times New Roman"/>
        </w:rPr>
        <w:t>OMC-R</w:t>
      </w:r>
      <w:bookmarkEnd w:id="868"/>
      <w:bookmarkEnd w:id="869"/>
    </w:p>
    <w:p>
      <w:pPr>
        <w:ind w:firstLine="480"/>
        <w:rPr>
          <w:rFonts w:cs="Times New Roman"/>
        </w:rPr>
      </w:pPr>
      <w:r>
        <w:rPr>
          <w:rFonts w:cs="Times New Roman"/>
        </w:rPr>
        <w:t>本工程选用华为、爱立信的产品，对应OMC-R设备情况如下表。</w:t>
      </w:r>
    </w:p>
    <w:p>
      <w:pPr>
        <w:pStyle w:val="603"/>
        <w:rPr>
          <w:rFonts w:cs="Times New Roman"/>
        </w:rPr>
      </w:pPr>
      <w:r>
        <w:rPr>
          <w:rFonts w:cs="Times New Roman" w:eastAsiaTheme="minorEastAsia"/>
        </w:rPr>
        <w:t xml:space="preserve">表13.2-1  </w:t>
      </w:r>
      <w:r>
        <w:rPr>
          <w:rFonts w:cs="Times New Roman"/>
        </w:rPr>
        <w:t>OMC-R设备信息表</w:t>
      </w:r>
    </w:p>
    <w:tbl>
      <w:tblPr>
        <w:tblStyle w:val="63"/>
        <w:tblW w:w="8217"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2010"/>
        <w:gridCol w:w="1646"/>
        <w:gridCol w:w="1627"/>
        <w:gridCol w:w="1134"/>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949"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厂家</w:t>
            </w:r>
          </w:p>
        </w:tc>
        <w:tc>
          <w:tcPr>
            <w:tcW w:w="2010"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型号</w:t>
            </w:r>
          </w:p>
        </w:tc>
        <w:tc>
          <w:tcPr>
            <w:tcW w:w="1646"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单机架尺寸（高×宽×深）（mm）</w:t>
            </w:r>
          </w:p>
        </w:tc>
        <w:tc>
          <w:tcPr>
            <w:tcW w:w="1627"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该配置下设备总功耗（Kw）</w:t>
            </w:r>
          </w:p>
        </w:tc>
        <w:tc>
          <w:tcPr>
            <w:tcW w:w="1134"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该配置下设备总重量（Kg）</w:t>
            </w:r>
          </w:p>
        </w:tc>
        <w:tc>
          <w:tcPr>
            <w:tcW w:w="851" w:type="dxa"/>
            <w:shd w:val="clear" w:color="auto" w:fill="auto"/>
            <w:vAlign w:val="center"/>
          </w:tcPr>
          <w:p>
            <w:pPr>
              <w:widowControl/>
              <w:spacing w:line="240" w:lineRule="auto"/>
              <w:ind w:firstLine="0" w:firstLineChars="0"/>
              <w:jc w:val="left"/>
              <w:rPr>
                <w:rFonts w:cs="Times New Roman"/>
                <w:kern w:val="0"/>
                <w:sz w:val="22"/>
                <w:szCs w:val="22"/>
              </w:rPr>
            </w:pPr>
            <w:r>
              <w:rPr>
                <w:rFonts w:cs="Times New Roman"/>
                <w:kern w:val="0"/>
                <w:sz w:val="22"/>
                <w:szCs w:val="22"/>
              </w:rPr>
              <w:t>供电方式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949"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华为</w:t>
            </w:r>
          </w:p>
        </w:tc>
        <w:tc>
          <w:tcPr>
            <w:tcW w:w="2010"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泰山</w:t>
            </w:r>
          </w:p>
        </w:tc>
        <w:tc>
          <w:tcPr>
            <w:tcW w:w="1646"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2200*600*1000</w:t>
            </w:r>
          </w:p>
        </w:tc>
        <w:tc>
          <w:tcPr>
            <w:tcW w:w="1627"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7.8</w:t>
            </w:r>
          </w:p>
        </w:tc>
        <w:tc>
          <w:tcPr>
            <w:tcW w:w="1134"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600</w:t>
            </w:r>
          </w:p>
        </w:tc>
        <w:tc>
          <w:tcPr>
            <w:tcW w:w="851" w:type="dxa"/>
            <w:shd w:val="clear" w:color="auto" w:fill="auto"/>
            <w:vAlign w:val="center"/>
          </w:tcPr>
          <w:p>
            <w:pPr>
              <w:widowControl/>
              <w:spacing w:line="240" w:lineRule="auto"/>
              <w:ind w:firstLine="0" w:firstLineChars="0"/>
              <w:jc w:val="center"/>
              <w:rPr>
                <w:rFonts w:cs="Times New Roman"/>
                <w:kern w:val="0"/>
                <w:sz w:val="22"/>
                <w:szCs w:val="22"/>
              </w:rPr>
            </w:pPr>
            <w:r>
              <w:rPr>
                <w:rFonts w:cs="Times New Roman"/>
                <w:kern w:val="0"/>
                <w:sz w:val="22"/>
                <w:szCs w:val="22"/>
              </w:rPr>
              <w: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9" w:type="dxa"/>
            <w:shd w:val="clear" w:color="auto" w:fill="auto"/>
            <w:vAlign w:val="bottom"/>
          </w:tcPr>
          <w:p>
            <w:pPr>
              <w:widowControl/>
              <w:spacing w:line="240" w:lineRule="auto"/>
              <w:ind w:firstLine="0" w:firstLineChars="0"/>
              <w:jc w:val="left"/>
              <w:rPr>
                <w:rFonts w:cs="Times New Roman"/>
                <w:kern w:val="0"/>
                <w:sz w:val="22"/>
                <w:szCs w:val="22"/>
              </w:rPr>
            </w:pPr>
            <w:r>
              <w:rPr>
                <w:rFonts w:cs="Times New Roman"/>
                <w:kern w:val="0"/>
                <w:sz w:val="22"/>
                <w:szCs w:val="22"/>
              </w:rPr>
              <w:t>爱立信</w:t>
            </w:r>
          </w:p>
        </w:tc>
        <w:tc>
          <w:tcPr>
            <w:tcW w:w="2010"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OSS 17/19 CP01</w:t>
            </w:r>
          </w:p>
        </w:tc>
        <w:tc>
          <w:tcPr>
            <w:tcW w:w="1646"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2000*1075*600</w:t>
            </w:r>
          </w:p>
        </w:tc>
        <w:tc>
          <w:tcPr>
            <w:tcW w:w="1627"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20</w:t>
            </w:r>
          </w:p>
        </w:tc>
        <w:tc>
          <w:tcPr>
            <w:tcW w:w="1134"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1500</w:t>
            </w:r>
          </w:p>
        </w:tc>
        <w:tc>
          <w:tcPr>
            <w:tcW w:w="851" w:type="dxa"/>
            <w:shd w:val="clear" w:color="auto" w:fill="auto"/>
            <w:vAlign w:val="bottom"/>
          </w:tcPr>
          <w:p>
            <w:pPr>
              <w:widowControl/>
              <w:spacing w:line="240" w:lineRule="auto"/>
              <w:ind w:firstLine="0" w:firstLineChars="0"/>
              <w:jc w:val="center"/>
              <w:rPr>
                <w:rFonts w:cs="Times New Roman"/>
                <w:kern w:val="0"/>
                <w:sz w:val="22"/>
                <w:szCs w:val="22"/>
              </w:rPr>
            </w:pPr>
            <w:r>
              <w:rPr>
                <w:rFonts w:cs="Times New Roman"/>
                <w:kern w:val="0"/>
                <w:sz w:val="22"/>
                <w:szCs w:val="22"/>
              </w:rPr>
              <w:t>AC</w:t>
            </w:r>
          </w:p>
        </w:tc>
      </w:tr>
    </w:tbl>
    <w:p>
      <w:pPr>
        <w:pStyle w:val="5"/>
        <w:rPr>
          <w:rFonts w:cs="Times New Roman"/>
        </w:rPr>
      </w:pPr>
      <w:bookmarkStart w:id="870" w:name="_Toc31067"/>
      <w:r>
        <w:rPr>
          <w:rFonts w:cs="Times New Roman"/>
        </w:rPr>
        <w:t>设备抗地震性能要求</w:t>
      </w:r>
      <w:bookmarkEnd w:id="861"/>
      <w:bookmarkEnd w:id="862"/>
      <w:bookmarkEnd w:id="863"/>
      <w:bookmarkEnd w:id="864"/>
      <w:bookmarkEnd w:id="865"/>
      <w:bookmarkEnd w:id="866"/>
      <w:bookmarkEnd w:id="867"/>
      <w:bookmarkEnd w:id="870"/>
    </w:p>
    <w:p>
      <w:pPr>
        <w:ind w:firstLine="480"/>
        <w:rPr>
          <w:rFonts w:cs="Times New Roman"/>
        </w:rPr>
      </w:pPr>
      <w:r>
        <w:rPr>
          <w:rFonts w:cs="Times New Roman"/>
        </w:rPr>
        <w:t>根据YD 5083-2005《电信设备抗地震性能检测规范》第1.0.2条要求，在我国抗震设防烈度7烈度（含7度）地区公共电信网上使用的交换、传输、移动基站、通信电源等主要电信设备应取得电信设备抗震性能检测合格证，未取得电信设备抗震性能检测合格证的电信设备，不得在抗震设防烈度7度以上（含7度）地区的公共电信网上使用。</w:t>
      </w:r>
    </w:p>
    <w:p>
      <w:pPr>
        <w:pStyle w:val="5"/>
        <w:rPr>
          <w:rFonts w:cs="Times New Roman"/>
        </w:rPr>
      </w:pPr>
      <w:bookmarkStart w:id="871" w:name="_Toc5620"/>
      <w:bookmarkStart w:id="872" w:name="_Toc447204562"/>
      <w:bookmarkStart w:id="873" w:name="_Toc2868707"/>
      <w:bookmarkStart w:id="874" w:name="_Toc452131632"/>
      <w:bookmarkStart w:id="875" w:name="_Toc447202513"/>
      <w:r>
        <w:rPr>
          <w:rFonts w:cs="Times New Roman"/>
        </w:rPr>
        <w:t>基站主设备电力电缆要求</w:t>
      </w:r>
      <w:bookmarkEnd w:id="871"/>
      <w:bookmarkEnd w:id="872"/>
      <w:bookmarkEnd w:id="873"/>
      <w:bookmarkEnd w:id="874"/>
      <w:bookmarkEnd w:id="875"/>
    </w:p>
    <w:p>
      <w:pPr>
        <w:ind w:firstLine="199" w:firstLineChars="83"/>
        <w:rPr>
          <w:rFonts w:cs="Times New Roman"/>
        </w:rPr>
      </w:pPr>
      <w:r>
        <w:rPr>
          <w:rFonts w:cs="Times New Roman"/>
        </w:rPr>
        <w:t>（1）电源线外皮颜色要求</w:t>
      </w:r>
    </w:p>
    <w:p>
      <w:pPr>
        <w:ind w:firstLine="480"/>
        <w:rPr>
          <w:rFonts w:cs="Times New Roman"/>
        </w:rPr>
      </w:pPr>
      <w:r>
        <w:rPr>
          <w:rFonts w:cs="Times New Roman"/>
        </w:rPr>
        <w:t>电源线外皮颜色应符合表13.4-1的规定：</w:t>
      </w:r>
    </w:p>
    <w:p>
      <w:pPr>
        <w:pStyle w:val="603"/>
        <w:rPr>
          <w:rFonts w:cs="Times New Roman"/>
        </w:rPr>
      </w:pPr>
      <w:r>
        <w:rPr>
          <w:rFonts w:cs="Times New Roman"/>
        </w:rPr>
        <w:t>表13.4-1  电源线外皮颜色</w:t>
      </w:r>
    </w:p>
    <w:tbl>
      <w:tblPr>
        <w:tblStyle w:val="63"/>
        <w:tblW w:w="4880" w:type="dxa"/>
        <w:jc w:val="center"/>
        <w:tblLayout w:type="fixed"/>
        <w:tblCellMar>
          <w:top w:w="0" w:type="dxa"/>
          <w:left w:w="108" w:type="dxa"/>
          <w:bottom w:w="0" w:type="dxa"/>
          <w:right w:w="108" w:type="dxa"/>
        </w:tblCellMar>
      </w:tblPr>
      <w:tblGrid>
        <w:gridCol w:w="1080"/>
        <w:gridCol w:w="1080"/>
        <w:gridCol w:w="1656"/>
        <w:gridCol w:w="1064"/>
      </w:tblGrid>
      <w:tr>
        <w:tblPrEx>
          <w:tblCellMar>
            <w:top w:w="0" w:type="dxa"/>
            <w:left w:w="108" w:type="dxa"/>
            <w:bottom w:w="0" w:type="dxa"/>
            <w:right w:w="108" w:type="dxa"/>
          </w:tblCellMar>
        </w:tblPrEx>
        <w:trPr>
          <w:trHeight w:val="270" w:hRule="atLeast"/>
          <w:jc w:val="center"/>
        </w:trPr>
        <w:tc>
          <w:tcPr>
            <w:tcW w:w="2160" w:type="dxa"/>
            <w:gridSpan w:val="2"/>
            <w:tcBorders>
              <w:top w:val="single" w:color="auto" w:sz="4" w:space="0"/>
              <w:left w:val="single" w:color="auto" w:sz="4" w:space="0"/>
              <w:bottom w:val="single" w:color="auto" w:sz="4" w:space="0"/>
              <w:right w:val="single" w:color="000000" w:sz="4" w:space="0"/>
            </w:tcBorders>
            <w:shd w:val="clear" w:color="auto" w:fill="auto"/>
            <w:vAlign w:val="center"/>
          </w:tcPr>
          <w:p>
            <w:pPr>
              <w:pStyle w:val="290"/>
            </w:pPr>
            <w:r>
              <w:t>直流电源</w:t>
            </w:r>
          </w:p>
        </w:tc>
        <w:tc>
          <w:tcPr>
            <w:tcW w:w="2720" w:type="dxa"/>
            <w:gridSpan w:val="2"/>
            <w:tcBorders>
              <w:top w:val="single" w:color="auto" w:sz="4" w:space="0"/>
              <w:left w:val="nil"/>
              <w:bottom w:val="single" w:color="auto" w:sz="4" w:space="0"/>
              <w:right w:val="single" w:color="000000" w:sz="4" w:space="0"/>
            </w:tcBorders>
            <w:shd w:val="clear" w:color="auto" w:fill="auto"/>
            <w:vAlign w:val="center"/>
          </w:tcPr>
          <w:p>
            <w:pPr>
              <w:pStyle w:val="290"/>
            </w:pPr>
            <w:r>
              <w:t>交流电源</w:t>
            </w:r>
          </w:p>
        </w:tc>
      </w:tr>
      <w:tr>
        <w:tblPrEx>
          <w:tblCellMar>
            <w:top w:w="0" w:type="dxa"/>
            <w:left w:w="108" w:type="dxa"/>
            <w:bottom w:w="0" w:type="dxa"/>
            <w:right w:w="108" w:type="dxa"/>
          </w:tblCellMar>
        </w:tblPrEx>
        <w:trPr>
          <w:trHeight w:val="270" w:hRule="atLeast"/>
          <w:jc w:val="center"/>
        </w:trPr>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正极</w:t>
            </w:r>
          </w:p>
        </w:tc>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红色</w:t>
            </w:r>
          </w:p>
        </w:tc>
        <w:tc>
          <w:tcPr>
            <w:tcW w:w="1656" w:type="dxa"/>
            <w:tcBorders>
              <w:top w:val="nil"/>
              <w:left w:val="nil"/>
              <w:bottom w:val="single" w:color="auto" w:sz="4" w:space="0"/>
              <w:right w:val="single" w:color="auto" w:sz="4" w:space="0"/>
            </w:tcBorders>
            <w:shd w:val="clear" w:color="auto" w:fill="auto"/>
            <w:vAlign w:val="center"/>
          </w:tcPr>
          <w:p>
            <w:pPr>
              <w:pStyle w:val="290"/>
            </w:pPr>
            <w:r>
              <w:t>L1相</w:t>
            </w:r>
          </w:p>
        </w:tc>
        <w:tc>
          <w:tcPr>
            <w:tcW w:w="1064" w:type="dxa"/>
            <w:tcBorders>
              <w:top w:val="nil"/>
              <w:left w:val="nil"/>
              <w:bottom w:val="single" w:color="auto" w:sz="4" w:space="0"/>
              <w:right w:val="single" w:color="auto" w:sz="4" w:space="0"/>
            </w:tcBorders>
            <w:shd w:val="clear" w:color="auto" w:fill="auto"/>
            <w:vAlign w:val="center"/>
          </w:tcPr>
          <w:p>
            <w:pPr>
              <w:pStyle w:val="290"/>
            </w:pPr>
            <w:r>
              <w:t>黄色</w:t>
            </w:r>
          </w:p>
        </w:tc>
      </w:tr>
      <w:tr>
        <w:tblPrEx>
          <w:tblCellMar>
            <w:top w:w="0" w:type="dxa"/>
            <w:left w:w="108" w:type="dxa"/>
            <w:bottom w:w="0" w:type="dxa"/>
            <w:right w:w="108" w:type="dxa"/>
          </w:tblCellMar>
        </w:tblPrEx>
        <w:trPr>
          <w:trHeight w:val="27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656" w:type="dxa"/>
            <w:tcBorders>
              <w:top w:val="nil"/>
              <w:left w:val="nil"/>
              <w:bottom w:val="single" w:color="auto" w:sz="4" w:space="0"/>
              <w:right w:val="single" w:color="auto" w:sz="4" w:space="0"/>
            </w:tcBorders>
            <w:shd w:val="clear" w:color="auto" w:fill="auto"/>
            <w:vAlign w:val="center"/>
          </w:tcPr>
          <w:p>
            <w:pPr>
              <w:pStyle w:val="290"/>
            </w:pPr>
            <w:r>
              <w:t>L2相</w:t>
            </w:r>
          </w:p>
        </w:tc>
        <w:tc>
          <w:tcPr>
            <w:tcW w:w="1064" w:type="dxa"/>
            <w:tcBorders>
              <w:top w:val="nil"/>
              <w:left w:val="nil"/>
              <w:bottom w:val="single" w:color="auto" w:sz="4" w:space="0"/>
              <w:right w:val="single" w:color="auto" w:sz="4" w:space="0"/>
            </w:tcBorders>
            <w:shd w:val="clear" w:color="auto" w:fill="auto"/>
            <w:vAlign w:val="center"/>
          </w:tcPr>
          <w:p>
            <w:pPr>
              <w:pStyle w:val="290"/>
            </w:pPr>
            <w:r>
              <w:t>绿色</w:t>
            </w:r>
          </w:p>
        </w:tc>
      </w:tr>
      <w:tr>
        <w:tblPrEx>
          <w:tblCellMar>
            <w:top w:w="0" w:type="dxa"/>
            <w:left w:w="108" w:type="dxa"/>
            <w:bottom w:w="0" w:type="dxa"/>
            <w:right w:w="108" w:type="dxa"/>
          </w:tblCellMar>
        </w:tblPrEx>
        <w:trPr>
          <w:trHeight w:val="270" w:hRule="atLeast"/>
          <w:jc w:val="center"/>
        </w:trPr>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负极</w:t>
            </w:r>
          </w:p>
        </w:tc>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蓝色</w:t>
            </w:r>
          </w:p>
        </w:tc>
        <w:tc>
          <w:tcPr>
            <w:tcW w:w="1656" w:type="dxa"/>
            <w:tcBorders>
              <w:top w:val="nil"/>
              <w:left w:val="nil"/>
              <w:bottom w:val="single" w:color="auto" w:sz="4" w:space="0"/>
              <w:right w:val="single" w:color="auto" w:sz="4" w:space="0"/>
            </w:tcBorders>
            <w:shd w:val="clear" w:color="auto" w:fill="auto"/>
            <w:vAlign w:val="center"/>
          </w:tcPr>
          <w:p>
            <w:pPr>
              <w:pStyle w:val="290"/>
            </w:pPr>
            <w:r>
              <w:t>L3相</w:t>
            </w:r>
          </w:p>
        </w:tc>
        <w:tc>
          <w:tcPr>
            <w:tcW w:w="1064" w:type="dxa"/>
            <w:tcBorders>
              <w:top w:val="nil"/>
              <w:left w:val="nil"/>
              <w:bottom w:val="single" w:color="auto" w:sz="4" w:space="0"/>
              <w:right w:val="single" w:color="auto" w:sz="4" w:space="0"/>
            </w:tcBorders>
            <w:shd w:val="clear" w:color="auto" w:fill="auto"/>
            <w:vAlign w:val="center"/>
          </w:tcPr>
          <w:p>
            <w:pPr>
              <w:pStyle w:val="290"/>
            </w:pPr>
            <w:r>
              <w:t>红色</w:t>
            </w:r>
          </w:p>
        </w:tc>
      </w:tr>
      <w:tr>
        <w:tblPrEx>
          <w:tblCellMar>
            <w:top w:w="0" w:type="dxa"/>
            <w:left w:w="108" w:type="dxa"/>
            <w:bottom w:w="0" w:type="dxa"/>
            <w:right w:w="108" w:type="dxa"/>
          </w:tblCellMar>
        </w:tblPrEx>
        <w:trPr>
          <w:trHeight w:val="27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656" w:type="dxa"/>
            <w:tcBorders>
              <w:top w:val="nil"/>
              <w:left w:val="nil"/>
              <w:bottom w:val="single" w:color="auto" w:sz="4" w:space="0"/>
              <w:right w:val="single" w:color="auto" w:sz="4" w:space="0"/>
            </w:tcBorders>
            <w:shd w:val="clear" w:color="auto" w:fill="auto"/>
            <w:vAlign w:val="center"/>
          </w:tcPr>
          <w:p>
            <w:pPr>
              <w:pStyle w:val="290"/>
            </w:pPr>
            <w:r>
              <w:t>中性线</w:t>
            </w:r>
          </w:p>
        </w:tc>
        <w:tc>
          <w:tcPr>
            <w:tcW w:w="1064" w:type="dxa"/>
            <w:tcBorders>
              <w:top w:val="nil"/>
              <w:left w:val="nil"/>
              <w:bottom w:val="single" w:color="auto" w:sz="4" w:space="0"/>
              <w:right w:val="single" w:color="auto" w:sz="4" w:space="0"/>
            </w:tcBorders>
            <w:shd w:val="clear" w:color="auto" w:fill="auto"/>
            <w:vAlign w:val="center"/>
          </w:tcPr>
          <w:p>
            <w:pPr>
              <w:pStyle w:val="290"/>
            </w:pPr>
            <w:r>
              <w:t>浅蓝色</w:t>
            </w:r>
          </w:p>
        </w:tc>
      </w:tr>
      <w:tr>
        <w:tblPrEx>
          <w:tblCellMar>
            <w:top w:w="0" w:type="dxa"/>
            <w:left w:w="108" w:type="dxa"/>
            <w:bottom w:w="0" w:type="dxa"/>
            <w:right w:w="108" w:type="dxa"/>
          </w:tblCellMar>
        </w:tblPrEx>
        <w:trPr>
          <w:trHeight w:val="270" w:hRule="atLeast"/>
          <w:jc w:val="center"/>
        </w:trPr>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080" w:type="dxa"/>
            <w:vMerge w:val="continue"/>
            <w:tcBorders>
              <w:top w:val="nil"/>
              <w:left w:val="single" w:color="auto" w:sz="4" w:space="0"/>
              <w:bottom w:val="single" w:color="000000" w:sz="4" w:space="0"/>
              <w:right w:val="single" w:color="auto" w:sz="4" w:space="0"/>
            </w:tcBorders>
            <w:vAlign w:val="center"/>
          </w:tcPr>
          <w:p>
            <w:pPr>
              <w:pStyle w:val="290"/>
            </w:pPr>
          </w:p>
        </w:tc>
        <w:tc>
          <w:tcPr>
            <w:tcW w:w="1656" w:type="dxa"/>
            <w:tcBorders>
              <w:top w:val="nil"/>
              <w:left w:val="nil"/>
              <w:bottom w:val="single" w:color="auto" w:sz="4" w:space="0"/>
              <w:right w:val="single" w:color="auto" w:sz="4" w:space="0"/>
            </w:tcBorders>
            <w:shd w:val="clear" w:color="auto" w:fill="auto"/>
            <w:vAlign w:val="center"/>
          </w:tcPr>
          <w:p>
            <w:pPr>
              <w:pStyle w:val="290"/>
            </w:pPr>
            <w:r>
              <w:t>保护接地线</w:t>
            </w:r>
          </w:p>
        </w:tc>
        <w:tc>
          <w:tcPr>
            <w:tcW w:w="1064" w:type="dxa"/>
            <w:tcBorders>
              <w:top w:val="nil"/>
              <w:left w:val="nil"/>
              <w:bottom w:val="single" w:color="auto" w:sz="4" w:space="0"/>
              <w:right w:val="single" w:color="auto" w:sz="4" w:space="0"/>
            </w:tcBorders>
            <w:shd w:val="clear" w:color="auto" w:fill="auto"/>
            <w:vAlign w:val="center"/>
          </w:tcPr>
          <w:p>
            <w:pPr>
              <w:pStyle w:val="290"/>
            </w:pPr>
            <w:r>
              <w:t>黄绿色</w:t>
            </w:r>
          </w:p>
        </w:tc>
      </w:tr>
    </w:tbl>
    <w:p>
      <w:pPr>
        <w:ind w:firstLine="199" w:firstLineChars="83"/>
        <w:rPr>
          <w:rFonts w:cs="Times New Roman"/>
        </w:rPr>
      </w:pPr>
      <w:bookmarkStart w:id="876" w:name="_Toc447202514"/>
      <w:bookmarkStart w:id="877" w:name="_Toc447204563"/>
      <w:bookmarkStart w:id="878" w:name="_Toc452131633"/>
      <w:r>
        <w:rPr>
          <w:rFonts w:cs="Times New Roman"/>
        </w:rPr>
        <w:t>（2）导线防火要求</w:t>
      </w:r>
    </w:p>
    <w:p>
      <w:pPr>
        <w:ind w:firstLine="480"/>
        <w:rPr>
          <w:rFonts w:cs="Times New Roman"/>
        </w:rPr>
      </w:pPr>
      <w:r>
        <w:rPr>
          <w:rFonts w:cs="Times New Roman"/>
        </w:rPr>
        <w:t>机房内的导线应采用阻燃电缆或耐火电缆。</w:t>
      </w:r>
    </w:p>
    <w:p>
      <w:pPr>
        <w:pStyle w:val="4"/>
        <w:tabs>
          <w:tab w:val="left" w:pos="4820"/>
        </w:tabs>
        <w:ind w:left="608" w:hanging="608"/>
        <w:rPr>
          <w:rFonts w:cs="Times New Roman"/>
        </w:rPr>
      </w:pPr>
      <w:bookmarkStart w:id="879" w:name="_Toc14957"/>
      <w:bookmarkStart w:id="880" w:name="_Toc2868708"/>
      <w:r>
        <w:rPr>
          <w:rFonts w:cs="Times New Roman"/>
        </w:rPr>
        <w:t>设备安装及抗震加固</w:t>
      </w:r>
      <w:bookmarkEnd w:id="876"/>
      <w:bookmarkEnd w:id="877"/>
      <w:bookmarkEnd w:id="878"/>
      <w:bookmarkEnd w:id="879"/>
      <w:bookmarkEnd w:id="880"/>
    </w:p>
    <w:p>
      <w:pPr>
        <w:pStyle w:val="5"/>
        <w:rPr>
          <w:rFonts w:cs="Times New Roman"/>
        </w:rPr>
      </w:pPr>
      <w:bookmarkStart w:id="881" w:name="_Toc2868709"/>
      <w:bookmarkStart w:id="882" w:name="_Toc452131634"/>
      <w:bookmarkStart w:id="883" w:name="_Toc447202515"/>
      <w:bookmarkStart w:id="884" w:name="_Toc31529"/>
      <w:bookmarkStart w:id="885" w:name="_Toc447204564"/>
      <w:bookmarkStart w:id="886" w:name="_Toc452131638"/>
      <w:bookmarkStart w:id="887" w:name="_Toc447202519"/>
      <w:bookmarkStart w:id="888" w:name="_Toc2868713"/>
      <w:bookmarkStart w:id="889" w:name="_Toc447204568"/>
      <w:r>
        <w:rPr>
          <w:rFonts w:cs="Times New Roman"/>
        </w:rPr>
        <w:t>基站设备平面布置及安装</w:t>
      </w:r>
      <w:bookmarkEnd w:id="881"/>
      <w:bookmarkEnd w:id="882"/>
      <w:bookmarkEnd w:id="883"/>
      <w:bookmarkEnd w:id="884"/>
      <w:bookmarkEnd w:id="885"/>
    </w:p>
    <w:p>
      <w:pPr>
        <w:ind w:firstLine="480"/>
        <w:rPr>
          <w:rFonts w:cs="Times New Roman"/>
        </w:rPr>
      </w:pPr>
      <w:r>
        <w:rPr>
          <w:rFonts w:cs="Times New Roman"/>
        </w:rPr>
        <w:t>各基站机房内设备布置应连线合理、整齐美观，以维护方便、操作安全、便于施工为原则，并应预留出扩容设备的位置。</w:t>
      </w:r>
    </w:p>
    <w:p>
      <w:pPr>
        <w:ind w:firstLine="480"/>
        <w:rPr>
          <w:rFonts w:cs="Times New Roman"/>
        </w:rPr>
      </w:pPr>
      <w:r>
        <w:rPr>
          <w:rFonts w:cs="Times New Roman"/>
        </w:rPr>
        <w:t>基站无线设备的平面布置见分册设计文件附图。</w:t>
      </w:r>
    </w:p>
    <w:p>
      <w:pPr>
        <w:ind w:firstLine="480"/>
        <w:rPr>
          <w:rFonts w:cs="Times New Roman"/>
        </w:rPr>
      </w:pPr>
      <w:r>
        <w:rPr>
          <w:rFonts w:cs="Times New Roman"/>
        </w:rPr>
        <w:t>抗震加固要求参见14.</w:t>
      </w:r>
      <w:r>
        <w:rPr>
          <w:rFonts w:hint="eastAsia" w:cs="Times New Roman"/>
        </w:rPr>
        <w:t>5</w:t>
      </w:r>
      <w:r>
        <w:rPr>
          <w:rFonts w:cs="Times New Roman"/>
        </w:rPr>
        <w:t>节内容。</w:t>
      </w:r>
    </w:p>
    <w:p>
      <w:pPr>
        <w:pStyle w:val="5"/>
        <w:rPr>
          <w:rFonts w:cs="Times New Roman"/>
        </w:rPr>
      </w:pPr>
      <w:bookmarkStart w:id="890" w:name="_Toc447204565"/>
      <w:bookmarkStart w:id="891" w:name="_Toc6059"/>
      <w:bookmarkStart w:id="892" w:name="_Toc447202516"/>
      <w:bookmarkStart w:id="893" w:name="_Toc452131635"/>
      <w:bookmarkStart w:id="894" w:name="_Toc2868710"/>
      <w:r>
        <w:rPr>
          <w:rFonts w:cs="Times New Roman"/>
        </w:rPr>
        <w:t>基站走线架平面布置及安装</w:t>
      </w:r>
      <w:bookmarkEnd w:id="890"/>
      <w:bookmarkEnd w:id="891"/>
      <w:bookmarkEnd w:id="892"/>
      <w:bookmarkEnd w:id="893"/>
      <w:bookmarkEnd w:id="894"/>
    </w:p>
    <w:p>
      <w:pPr>
        <w:ind w:firstLine="480"/>
        <w:rPr>
          <w:rFonts w:cs="Times New Roman"/>
        </w:rPr>
      </w:pPr>
      <w:r>
        <w:rPr>
          <w:rFonts w:cs="Times New Roman"/>
        </w:rPr>
        <w:t>基站无线机架要求为上走线。无线机架除与地面加固和架间相连外，还应与走线架加固连接。同时要遵照厂商要求进行安装及调测。基站走线架平面布置及安装详见配套工程。</w:t>
      </w:r>
    </w:p>
    <w:p>
      <w:pPr>
        <w:ind w:firstLine="480"/>
        <w:rPr>
          <w:rFonts w:cs="Times New Roman"/>
        </w:rPr>
      </w:pPr>
      <w:r>
        <w:rPr>
          <w:rFonts w:cs="Times New Roman"/>
        </w:rPr>
        <w:t>室内走线架一般采用400mm宽的标准定型产品，安装在机架上方，上沿距机房地面高度一般为2200－2600mm，如果是在原有走线架上方再新增一层走线架，新增走线架与原有走线架之间须间隔200mm以上。走线架采用顶棚吊挂、侧边支撑及终端与墙加固等方式加固。安装室内走线架时，要求保证其整体不晃动，牢固可靠，同时走线架均要敷设接地线，与机房室内接地排连接。</w:t>
      </w:r>
    </w:p>
    <w:p>
      <w:pPr>
        <w:ind w:firstLine="480"/>
        <w:rPr>
          <w:rFonts w:cs="Times New Roman"/>
        </w:rPr>
      </w:pPr>
      <w:r>
        <w:rPr>
          <w:rFonts w:cs="Times New Roman"/>
        </w:rPr>
        <w:t>室外走线架要求采用400mm宽、50×50×5角钢和40×4扁钢制成，表面涂灰色防锈漆。一般每隔2.5米左右加固一次，在拐弯或终端需增设加固点。水平走线架可采用支撑加固，终端靠近女儿墙可加固在女儿墙上；垂直走线架可采用加固件或角钢用膨胀螺栓加固在楼房外墙壁上。</w:t>
      </w:r>
    </w:p>
    <w:p>
      <w:pPr>
        <w:pStyle w:val="5"/>
        <w:rPr>
          <w:rFonts w:cs="Times New Roman"/>
        </w:rPr>
      </w:pPr>
      <w:bookmarkStart w:id="895" w:name="_Toc2868711"/>
      <w:bookmarkStart w:id="896" w:name="_Toc10866"/>
      <w:bookmarkStart w:id="897" w:name="_Toc447204566"/>
      <w:bookmarkStart w:id="898" w:name="_Toc452131636"/>
      <w:bookmarkStart w:id="899" w:name="_Toc447202517"/>
      <w:r>
        <w:rPr>
          <w:rFonts w:cs="Times New Roman"/>
        </w:rPr>
        <w:t>基站天馈</w:t>
      </w:r>
      <w:r>
        <w:rPr>
          <w:rFonts w:hint="eastAsia" w:cs="Times New Roman"/>
        </w:rPr>
        <w:t>设备</w:t>
      </w:r>
      <w:r>
        <w:rPr>
          <w:rFonts w:cs="Times New Roman"/>
        </w:rPr>
        <w:t>布置及安装</w:t>
      </w:r>
      <w:bookmarkEnd w:id="895"/>
      <w:bookmarkEnd w:id="896"/>
      <w:bookmarkEnd w:id="897"/>
      <w:bookmarkEnd w:id="898"/>
      <w:bookmarkEnd w:id="899"/>
    </w:p>
    <w:p>
      <w:pPr>
        <w:ind w:firstLine="199" w:firstLineChars="83"/>
        <w:rPr>
          <w:rFonts w:cs="Times New Roman"/>
        </w:rPr>
      </w:pPr>
      <w:r>
        <w:rPr>
          <w:rFonts w:cs="Times New Roman"/>
        </w:rPr>
        <w:t>（1）基站天馈</w:t>
      </w:r>
      <w:r>
        <w:rPr>
          <w:rFonts w:hint="eastAsia" w:cs="Times New Roman"/>
        </w:rPr>
        <w:t>设备</w:t>
      </w:r>
      <w:r>
        <w:rPr>
          <w:rFonts w:cs="Times New Roman"/>
        </w:rPr>
        <w:t>布置及安装</w:t>
      </w:r>
    </w:p>
    <w:p>
      <w:pPr>
        <w:ind w:firstLine="480"/>
        <w:rPr>
          <w:rFonts w:cs="Times New Roman"/>
        </w:rPr>
      </w:pPr>
      <w:r>
        <w:rPr>
          <w:rFonts w:cs="Times New Roman"/>
        </w:rPr>
        <w:t>5G天线抱杆安装加固的具体要求见土建配套工程。</w:t>
      </w:r>
    </w:p>
    <w:p>
      <w:pPr>
        <w:ind w:firstLine="480"/>
        <w:rPr>
          <w:rFonts w:cs="Times New Roman"/>
        </w:rPr>
      </w:pPr>
      <w:r>
        <w:rPr>
          <w:rFonts w:cs="Times New Roman"/>
        </w:rPr>
        <w:t>天线安装高度应满足规划要求并考虑周围环境和建筑物平均高度。天线安装位置及方向角的设置应当满足小区覆盖需求。基站附近天线正前方不得有高的建筑物和地物遮挡，天线照射方向上不能被同址建筑物上的构件、广告牌、其他系统天线及抱杆等设施遮挡。</w:t>
      </w:r>
    </w:p>
    <w:p>
      <w:pPr>
        <w:ind w:firstLine="480"/>
        <w:rPr>
          <w:rFonts w:cs="Times New Roman"/>
        </w:rPr>
      </w:pPr>
      <w:r>
        <w:rPr>
          <w:rFonts w:cs="Times New Roman"/>
        </w:rPr>
        <w:t>当天线安装在楼顶平台时，应综合考虑楼面长度及女儿墙高度、天线垂直半功率角、以及未来网优调整天线方向可能达到的最大下倾角度，核算适当的天线挂高，使得天线覆盖主方向不为近处的物体（如楼面、女儿墙等）所遮挡。如下图所示：</w:t>
      </w:r>
    </w:p>
    <w:p>
      <w:pPr>
        <w:ind w:left="-2" w:leftChars="-1" w:firstLine="480"/>
        <w:jc w:val="center"/>
        <w:rPr>
          <w:rFonts w:cs="Times New Roman"/>
        </w:rPr>
      </w:pPr>
      <w:r>
        <w:rPr>
          <w:rFonts w:cs="Times New Roman"/>
        </w:rPr>
        <w:drawing>
          <wp:inline distT="0" distB="0" distL="0" distR="0">
            <wp:extent cx="3623310" cy="3044825"/>
            <wp:effectExtent l="19050" t="0" r="0" b="0"/>
            <wp:docPr id="2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35"/>
                    <pic:cNvPicPr>
                      <a:picLocks noChangeAspect="1" noChangeArrowheads="1"/>
                    </pic:cNvPicPr>
                  </pic:nvPicPr>
                  <pic:blipFill>
                    <a:blip r:embed="rId53" cstate="print"/>
                    <a:srcRect/>
                    <a:stretch>
                      <a:fillRect/>
                    </a:stretch>
                  </pic:blipFill>
                  <pic:spPr>
                    <a:xfrm>
                      <a:off x="0" y="0"/>
                      <a:ext cx="3623310" cy="3044825"/>
                    </a:xfrm>
                    <a:prstGeom prst="rect">
                      <a:avLst/>
                    </a:prstGeom>
                    <a:noFill/>
                    <a:ln w="9525">
                      <a:noFill/>
                      <a:miter lim="800000"/>
                      <a:headEnd/>
                      <a:tailEnd/>
                    </a:ln>
                  </pic:spPr>
                </pic:pic>
              </a:graphicData>
            </a:graphic>
          </wp:inline>
        </w:drawing>
      </w:r>
    </w:p>
    <w:p>
      <w:pPr>
        <w:pStyle w:val="603"/>
        <w:rPr>
          <w:rFonts w:cs="Times New Roman"/>
        </w:rPr>
      </w:pPr>
      <w:r>
        <w:rPr>
          <w:rFonts w:cs="Times New Roman"/>
        </w:rPr>
        <w:t>图14.3-1  天线安装在楼顶平台时距楼边缘位置/高度间关系示意图</w:t>
      </w:r>
    </w:p>
    <w:p>
      <w:pPr>
        <w:ind w:firstLine="480"/>
        <w:rPr>
          <w:rFonts w:cs="Times New Roman"/>
        </w:rPr>
      </w:pPr>
      <w:r>
        <w:rPr>
          <w:rFonts w:cs="Times New Roman"/>
        </w:rPr>
        <w:t>天馈线系统的电压驻波比不应大于1.5。</w:t>
      </w:r>
    </w:p>
    <w:p>
      <w:pPr>
        <w:ind w:firstLine="199" w:firstLineChars="83"/>
        <w:rPr>
          <w:rFonts w:cs="Times New Roman"/>
        </w:rPr>
      </w:pPr>
      <w:r>
        <w:rPr>
          <w:rFonts w:cs="Times New Roman"/>
        </w:rPr>
        <w:t>（2）北斗/GPS天</w:t>
      </w:r>
      <w:r>
        <w:rPr>
          <w:rFonts w:hint="eastAsia" w:cs="Times New Roman"/>
        </w:rPr>
        <w:t>线</w:t>
      </w:r>
      <w:r>
        <w:rPr>
          <w:rFonts w:cs="Times New Roman"/>
        </w:rPr>
        <w:t>布置及安装</w:t>
      </w:r>
    </w:p>
    <w:p>
      <w:pPr>
        <w:adjustRightInd w:val="0"/>
        <w:snapToGrid w:val="0"/>
        <w:ind w:firstLine="424" w:firstLineChars="177"/>
        <w:rPr>
          <w:rFonts w:cs="Times New Roman"/>
        </w:rPr>
      </w:pPr>
      <w:r>
        <w:rPr>
          <w:rFonts w:cs="Times New Roman"/>
        </w:rPr>
        <w:t>中国移动5G基站同步要求支持北斗和GPS双模工作，具备自动切换功能。对于5G和TD-LTE共址基站，若5G与TD-LTE设备同厂家共BBU设置，且当前卫星接收天线支持北斗/GPS双模，5G可直接利用现有同步信号；若5G 与TD-LTE设备同厂家分BBU设置，且当前卫星接收天线支持北斗/GPS双模，在满足北斗/GPS信号接收灵敏度的前提下，优先通过北斗/GPS信号分路方式为5G提供基站同步信号。否则新建北斗/GPS卫星接收天线。</w:t>
      </w:r>
    </w:p>
    <w:p>
      <w:pPr>
        <w:ind w:firstLine="480"/>
        <w:rPr>
          <w:rFonts w:cs="Times New Roman"/>
        </w:rPr>
      </w:pPr>
      <w:r>
        <w:rPr>
          <w:rFonts w:cs="Times New Roman"/>
        </w:rPr>
        <w:t>如采用新建北斗/GPS系统方式，北斗/GPS天线尽量安装在建筑物南侧。北斗/GPS天线上方90度范围内应无建筑物遮挡并在避雷针保护范围内；为避免反射波的影响，北斗/GPS天线安装位置距离其附近金属物1.5米以上，条件许可时大于2米；北斗/GPS天线避免放置于基站射频天线主瓣的近距离辐射区域，不要位于微波天线主瓣方向的下方、高压电缆的下方以及电视发射塔的强辐射下；两个或多个北斗/GPS天线安装时要保持2m以上的间距，建议将多个北斗/GPS天线安装在不同地点，防止同时受到干扰。</w:t>
      </w:r>
    </w:p>
    <w:p>
      <w:pPr>
        <w:ind w:firstLine="480"/>
        <w:rPr>
          <w:rFonts w:cs="Times New Roman"/>
        </w:rPr>
      </w:pPr>
      <w:r>
        <w:rPr>
          <w:rFonts w:cs="Times New Roman"/>
        </w:rPr>
        <w:t>新建北斗/GPS和共用北斗/GPS场景，主要厂商支持的最大馈线长度如下表：</w:t>
      </w:r>
    </w:p>
    <w:p>
      <w:pPr>
        <w:pStyle w:val="603"/>
        <w:rPr>
          <w:rFonts w:cs="Times New Roman"/>
        </w:rPr>
      </w:pPr>
      <w:r>
        <w:rPr>
          <w:rFonts w:cs="Times New Roman"/>
        </w:rPr>
        <w:t>表14.3-1  各厂商不同设置场景下北斗/GPS最大馈线长度</w:t>
      </w:r>
    </w:p>
    <w:tbl>
      <w:tblPr>
        <w:tblStyle w:val="63"/>
        <w:tblW w:w="8534" w:type="dxa"/>
        <w:tblInd w:w="0" w:type="dxa"/>
        <w:tblLayout w:type="fixed"/>
        <w:tblCellMar>
          <w:top w:w="0" w:type="dxa"/>
          <w:left w:w="108" w:type="dxa"/>
          <w:bottom w:w="0" w:type="dxa"/>
          <w:right w:w="108" w:type="dxa"/>
        </w:tblCellMar>
      </w:tblPr>
      <w:tblGrid>
        <w:gridCol w:w="568"/>
        <w:gridCol w:w="992"/>
        <w:gridCol w:w="1417"/>
        <w:gridCol w:w="4140"/>
        <w:gridCol w:w="1417"/>
      </w:tblGrid>
      <w:tr>
        <w:tblPrEx>
          <w:tblCellMar>
            <w:top w:w="0" w:type="dxa"/>
            <w:left w:w="108" w:type="dxa"/>
            <w:bottom w:w="0" w:type="dxa"/>
            <w:right w:w="108" w:type="dxa"/>
          </w:tblCellMar>
        </w:tblPrEx>
        <w:trPr>
          <w:trHeight w:val="699" w:hRule="atLeast"/>
          <w:tblHeader/>
        </w:trPr>
        <w:tc>
          <w:tcPr>
            <w:tcW w:w="568"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厂商</w:t>
            </w:r>
          </w:p>
        </w:tc>
        <w:tc>
          <w:tcPr>
            <w:tcW w:w="992" w:type="dxa"/>
            <w:tcBorders>
              <w:top w:val="single" w:color="auto" w:sz="4" w:space="0"/>
              <w:left w:val="nil"/>
              <w:bottom w:val="single" w:color="auto" w:sz="4" w:space="0"/>
              <w:right w:val="single" w:color="auto" w:sz="4" w:space="0"/>
            </w:tcBorders>
            <w:shd w:val="clear" w:color="auto" w:fill="auto"/>
            <w:vAlign w:val="center"/>
          </w:tcPr>
          <w:p>
            <w:pPr>
              <w:pStyle w:val="290"/>
            </w:pPr>
            <w:r>
              <w:t>馈线类型</w:t>
            </w:r>
          </w:p>
        </w:tc>
        <w:tc>
          <w:tcPr>
            <w:tcW w:w="5557" w:type="dxa"/>
            <w:gridSpan w:val="2"/>
            <w:tcBorders>
              <w:top w:val="single" w:color="auto" w:sz="4" w:space="0"/>
              <w:left w:val="nil"/>
              <w:bottom w:val="single" w:color="auto" w:sz="4" w:space="0"/>
              <w:right w:val="single" w:color="auto" w:sz="4" w:space="0"/>
            </w:tcBorders>
            <w:shd w:val="clear" w:color="auto" w:fill="auto"/>
            <w:vAlign w:val="center"/>
          </w:tcPr>
          <w:p>
            <w:pPr>
              <w:pStyle w:val="290"/>
            </w:pPr>
            <w:r>
              <w:t>北斗/GPS应用场景</w:t>
            </w:r>
          </w:p>
        </w:tc>
        <w:tc>
          <w:tcPr>
            <w:tcW w:w="1417" w:type="dxa"/>
            <w:tcBorders>
              <w:top w:val="single" w:color="auto" w:sz="4" w:space="0"/>
              <w:left w:val="nil"/>
              <w:bottom w:val="single" w:color="auto" w:sz="4" w:space="0"/>
              <w:right w:val="single" w:color="auto" w:sz="4" w:space="0"/>
            </w:tcBorders>
            <w:shd w:val="clear" w:color="auto" w:fill="auto"/>
            <w:vAlign w:val="center"/>
          </w:tcPr>
          <w:p>
            <w:pPr>
              <w:pStyle w:val="290"/>
            </w:pPr>
            <w:r>
              <w:t>允许最大馈线长度(m)</w:t>
            </w:r>
          </w:p>
        </w:tc>
      </w:tr>
      <w:tr>
        <w:tblPrEx>
          <w:tblCellMar>
            <w:top w:w="0" w:type="dxa"/>
            <w:left w:w="108" w:type="dxa"/>
            <w:bottom w:w="0" w:type="dxa"/>
            <w:right w:w="108" w:type="dxa"/>
          </w:tblCellMar>
        </w:tblPrEx>
        <w:trPr>
          <w:trHeight w:val="270" w:hRule="atLeast"/>
        </w:trPr>
        <w:tc>
          <w:tcPr>
            <w:tcW w:w="568"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中兴</w:t>
            </w: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1/4馈线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1/4馈线</w:t>
            </w:r>
          </w:p>
        </w:tc>
        <w:tc>
          <w:tcPr>
            <w:tcW w:w="1417" w:type="dxa"/>
            <w:tcBorders>
              <w:top w:val="nil"/>
              <w:left w:val="nil"/>
              <w:bottom w:val="single" w:color="auto" w:sz="4" w:space="0"/>
              <w:right w:val="single" w:color="auto" w:sz="4" w:space="0"/>
            </w:tcBorders>
            <w:shd w:val="clear" w:color="auto" w:fill="auto"/>
            <w:vAlign w:val="center"/>
          </w:tcPr>
          <w:p>
            <w:pPr>
              <w:pStyle w:val="290"/>
            </w:pPr>
            <w:r>
              <w:t>120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1/4馈线+1个中继放大器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230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1/4馈线+一个二功分器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85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1/4馈线+1个中继放大器+一个二功分器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195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1/4馈线+一个四功分器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1/4馈线+1个中继放大器+一个四功分器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180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1/2馈线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1/2馈线</w:t>
            </w:r>
          </w:p>
        </w:tc>
        <w:tc>
          <w:tcPr>
            <w:tcW w:w="1417" w:type="dxa"/>
            <w:tcBorders>
              <w:top w:val="nil"/>
              <w:left w:val="nil"/>
              <w:bottom w:val="single" w:color="auto" w:sz="4" w:space="0"/>
              <w:right w:val="single" w:color="auto" w:sz="4" w:space="0"/>
            </w:tcBorders>
            <w:shd w:val="clear" w:color="auto" w:fill="auto"/>
            <w:vAlign w:val="center"/>
          </w:tcPr>
          <w:p>
            <w:pPr>
              <w:pStyle w:val="290"/>
            </w:pPr>
            <w:r>
              <w:t>210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1/2馈线+1个中继放大器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430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1/2馈线+一个二功分器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1/2馈线+1个中继放大器+一个二功分器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1/2馈线+一个四功分器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120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1/2馈线+1个中继放大器+一个四功分器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340</w:t>
            </w:r>
          </w:p>
        </w:tc>
      </w:tr>
      <w:tr>
        <w:tblPrEx>
          <w:tblCellMar>
            <w:top w:w="0" w:type="dxa"/>
            <w:left w:w="108" w:type="dxa"/>
            <w:bottom w:w="0" w:type="dxa"/>
            <w:right w:w="108" w:type="dxa"/>
          </w:tblCellMar>
        </w:tblPrEx>
        <w:trPr>
          <w:trHeight w:val="270" w:hRule="atLeast"/>
        </w:trPr>
        <w:tc>
          <w:tcPr>
            <w:tcW w:w="568"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大唐</w:t>
            </w: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400dB馈线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w:t>
            </w:r>
          </w:p>
        </w:tc>
        <w:tc>
          <w:tcPr>
            <w:tcW w:w="1417" w:type="dxa"/>
            <w:tcBorders>
              <w:top w:val="nil"/>
              <w:left w:val="nil"/>
              <w:bottom w:val="single" w:color="auto" w:sz="4" w:space="0"/>
              <w:right w:val="single" w:color="auto" w:sz="4" w:space="0"/>
            </w:tcBorders>
            <w:shd w:val="clear" w:color="auto" w:fill="auto"/>
            <w:vAlign w:val="center"/>
          </w:tcPr>
          <w:p>
            <w:pPr>
              <w:pStyle w:val="290"/>
            </w:pPr>
            <w:r>
              <w:t>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200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195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400dB馈线+1个中继放大器+一个四功分器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180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600dB馈线</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w:t>
            </w:r>
          </w:p>
        </w:tc>
        <w:tc>
          <w:tcPr>
            <w:tcW w:w="1417" w:type="dxa"/>
            <w:tcBorders>
              <w:top w:val="nil"/>
              <w:left w:val="nil"/>
              <w:bottom w:val="single" w:color="auto" w:sz="4" w:space="0"/>
              <w:right w:val="single" w:color="auto" w:sz="4" w:space="0"/>
            </w:tcBorders>
            <w:shd w:val="clear" w:color="auto" w:fill="auto"/>
            <w:vAlign w:val="center"/>
          </w:tcPr>
          <w:p>
            <w:pPr>
              <w:pStyle w:val="290"/>
            </w:pPr>
            <w:r>
              <w:t>110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300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75</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300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600dB馈线+1个中继放大器+一个四功分器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270</w:t>
            </w:r>
          </w:p>
        </w:tc>
      </w:tr>
      <w:tr>
        <w:tblPrEx>
          <w:tblCellMar>
            <w:top w:w="0" w:type="dxa"/>
            <w:left w:w="108" w:type="dxa"/>
            <w:bottom w:w="0" w:type="dxa"/>
            <w:right w:w="108" w:type="dxa"/>
          </w:tblCellMar>
        </w:tblPrEx>
        <w:trPr>
          <w:trHeight w:val="270" w:hRule="atLeast"/>
        </w:trPr>
        <w:tc>
          <w:tcPr>
            <w:tcW w:w="568"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华为</w:t>
            </w:r>
          </w:p>
        </w:tc>
        <w:tc>
          <w:tcPr>
            <w:tcW w:w="992"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RG8U</w:t>
            </w: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新建北斗/GPS</w:t>
            </w:r>
          </w:p>
        </w:tc>
        <w:tc>
          <w:tcPr>
            <w:tcW w:w="4140" w:type="dxa"/>
            <w:tcBorders>
              <w:top w:val="nil"/>
              <w:left w:val="nil"/>
              <w:bottom w:val="single" w:color="auto" w:sz="4" w:space="0"/>
              <w:right w:val="single" w:color="auto" w:sz="4" w:space="0"/>
            </w:tcBorders>
            <w:shd w:val="clear" w:color="auto" w:fill="auto"/>
            <w:vAlign w:val="center"/>
          </w:tcPr>
          <w:p>
            <w:pPr>
              <w:pStyle w:val="290"/>
            </w:pPr>
            <w:r>
              <w:t>RG8U馈线</w:t>
            </w:r>
          </w:p>
        </w:tc>
        <w:tc>
          <w:tcPr>
            <w:tcW w:w="1417" w:type="dxa"/>
            <w:tcBorders>
              <w:top w:val="nil"/>
              <w:left w:val="nil"/>
              <w:bottom w:val="single" w:color="auto" w:sz="4" w:space="0"/>
              <w:right w:val="single" w:color="auto" w:sz="4" w:space="0"/>
            </w:tcBorders>
            <w:shd w:val="clear" w:color="auto" w:fill="auto"/>
            <w:vAlign w:val="center"/>
          </w:tcPr>
          <w:p>
            <w:pPr>
              <w:pStyle w:val="290"/>
            </w:pPr>
            <w:r>
              <w:t>150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RG8U馈线+1个中继放大器</w:t>
            </w:r>
          </w:p>
        </w:tc>
        <w:tc>
          <w:tcPr>
            <w:tcW w:w="1417" w:type="dxa"/>
            <w:tcBorders>
              <w:top w:val="nil"/>
              <w:left w:val="nil"/>
              <w:bottom w:val="single" w:color="auto" w:sz="4" w:space="0"/>
              <w:right w:val="single" w:color="auto" w:sz="4" w:space="0"/>
            </w:tcBorders>
            <w:shd w:val="clear" w:color="auto" w:fill="auto"/>
            <w:vAlign w:val="center"/>
          </w:tcPr>
          <w:p>
            <w:pPr>
              <w:pStyle w:val="290"/>
            </w:pPr>
            <w:r>
              <w:t>270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(二功分)</w:t>
            </w:r>
          </w:p>
        </w:tc>
        <w:tc>
          <w:tcPr>
            <w:tcW w:w="4140" w:type="dxa"/>
            <w:tcBorders>
              <w:top w:val="nil"/>
              <w:left w:val="nil"/>
              <w:bottom w:val="single" w:color="auto" w:sz="4" w:space="0"/>
              <w:right w:val="single" w:color="auto" w:sz="4" w:space="0"/>
            </w:tcBorders>
            <w:shd w:val="clear" w:color="auto" w:fill="auto"/>
            <w:vAlign w:val="center"/>
          </w:tcPr>
          <w:p>
            <w:pPr>
              <w:pStyle w:val="290"/>
            </w:pPr>
            <w:r>
              <w:t>RG8U馈线+一个二功分器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RG8U馈线+1个中继放大器+一个二功分器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250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restart"/>
            <w:tcBorders>
              <w:top w:val="nil"/>
              <w:left w:val="single" w:color="auto" w:sz="4" w:space="0"/>
              <w:bottom w:val="single" w:color="000000" w:sz="4" w:space="0"/>
              <w:right w:val="single" w:color="auto" w:sz="4" w:space="0"/>
            </w:tcBorders>
            <w:shd w:val="clear" w:color="auto" w:fill="auto"/>
            <w:vAlign w:val="center"/>
          </w:tcPr>
          <w:p>
            <w:pPr>
              <w:pStyle w:val="290"/>
            </w:pPr>
            <w:r>
              <w:t>共用北斗/GPS</w:t>
            </w:r>
          </w:p>
          <w:p>
            <w:pPr>
              <w:pStyle w:val="290"/>
            </w:pPr>
            <w:r>
              <w:t>(四功分)</w:t>
            </w:r>
          </w:p>
        </w:tc>
        <w:tc>
          <w:tcPr>
            <w:tcW w:w="4140" w:type="dxa"/>
            <w:tcBorders>
              <w:top w:val="nil"/>
              <w:left w:val="nil"/>
              <w:bottom w:val="single" w:color="auto" w:sz="4" w:space="0"/>
              <w:right w:val="single" w:color="auto" w:sz="4" w:space="0"/>
            </w:tcBorders>
            <w:shd w:val="clear" w:color="auto" w:fill="auto"/>
            <w:vAlign w:val="center"/>
          </w:tcPr>
          <w:p>
            <w:pPr>
              <w:pStyle w:val="290"/>
            </w:pPr>
            <w:r>
              <w:t>RG8U馈线+一个四功分器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100</w:t>
            </w:r>
          </w:p>
        </w:tc>
      </w:tr>
      <w:tr>
        <w:tblPrEx>
          <w:tblCellMar>
            <w:top w:w="0" w:type="dxa"/>
            <w:left w:w="108" w:type="dxa"/>
            <w:bottom w:w="0" w:type="dxa"/>
            <w:right w:w="108" w:type="dxa"/>
          </w:tblCellMar>
        </w:tblPrEx>
        <w:trPr>
          <w:trHeight w:val="270" w:hRule="atLeast"/>
        </w:trPr>
        <w:tc>
          <w:tcPr>
            <w:tcW w:w="568" w:type="dxa"/>
            <w:vMerge w:val="continue"/>
            <w:tcBorders>
              <w:top w:val="nil"/>
              <w:left w:val="single" w:color="auto" w:sz="4" w:space="0"/>
              <w:bottom w:val="single" w:color="auto" w:sz="4" w:space="0"/>
              <w:right w:val="single" w:color="auto" w:sz="4" w:space="0"/>
            </w:tcBorders>
            <w:vAlign w:val="center"/>
          </w:tcPr>
          <w:p>
            <w:pPr>
              <w:pStyle w:val="290"/>
            </w:pPr>
          </w:p>
        </w:tc>
        <w:tc>
          <w:tcPr>
            <w:tcW w:w="992" w:type="dxa"/>
            <w:vMerge w:val="continue"/>
            <w:tcBorders>
              <w:top w:val="nil"/>
              <w:left w:val="single" w:color="auto" w:sz="4" w:space="0"/>
              <w:bottom w:val="single" w:color="auto" w:sz="4" w:space="0"/>
              <w:right w:val="single" w:color="auto" w:sz="4" w:space="0"/>
            </w:tcBorders>
            <w:vAlign w:val="center"/>
          </w:tcPr>
          <w:p>
            <w:pPr>
              <w:pStyle w:val="290"/>
            </w:pPr>
          </w:p>
        </w:tc>
        <w:tc>
          <w:tcPr>
            <w:tcW w:w="1417" w:type="dxa"/>
            <w:vMerge w:val="continue"/>
            <w:tcBorders>
              <w:top w:val="nil"/>
              <w:left w:val="single" w:color="auto" w:sz="4" w:space="0"/>
              <w:bottom w:val="single" w:color="000000" w:sz="4" w:space="0"/>
              <w:right w:val="single" w:color="auto" w:sz="4" w:space="0"/>
            </w:tcBorders>
            <w:vAlign w:val="center"/>
          </w:tcPr>
          <w:p>
            <w:pPr>
              <w:pStyle w:val="290"/>
            </w:pPr>
          </w:p>
        </w:tc>
        <w:tc>
          <w:tcPr>
            <w:tcW w:w="4140" w:type="dxa"/>
            <w:tcBorders>
              <w:top w:val="nil"/>
              <w:left w:val="nil"/>
              <w:bottom w:val="single" w:color="auto" w:sz="4" w:space="0"/>
              <w:right w:val="single" w:color="auto" w:sz="4" w:space="0"/>
            </w:tcBorders>
            <w:shd w:val="clear" w:color="auto" w:fill="auto"/>
            <w:vAlign w:val="center"/>
          </w:tcPr>
          <w:p>
            <w:pPr>
              <w:pStyle w:val="290"/>
            </w:pPr>
            <w:r>
              <w:t>RG8U馈线+1个中继放大器+一个四功分器</w:t>
            </w:r>
          </w:p>
        </w:tc>
        <w:tc>
          <w:tcPr>
            <w:tcW w:w="1417" w:type="dxa"/>
            <w:tcBorders>
              <w:top w:val="nil"/>
              <w:left w:val="nil"/>
              <w:bottom w:val="single" w:color="auto" w:sz="4" w:space="0"/>
              <w:right w:val="single" w:color="auto" w:sz="4" w:space="0"/>
            </w:tcBorders>
            <w:shd w:val="clear" w:color="auto" w:fill="auto"/>
            <w:vAlign w:val="center"/>
          </w:tcPr>
          <w:p>
            <w:pPr>
              <w:pStyle w:val="290"/>
            </w:pPr>
            <w:r>
              <w:t>240</w:t>
            </w:r>
          </w:p>
        </w:tc>
      </w:tr>
    </w:tbl>
    <w:p>
      <w:pPr>
        <w:ind w:firstLine="199" w:firstLineChars="83"/>
        <w:rPr>
          <w:rFonts w:cs="Times New Roman"/>
        </w:rPr>
      </w:pPr>
    </w:p>
    <w:p>
      <w:pPr>
        <w:pStyle w:val="5"/>
        <w:rPr>
          <w:rFonts w:cs="Times New Roman"/>
        </w:rPr>
      </w:pPr>
      <w:bookmarkStart w:id="900" w:name="_Toc27622"/>
      <w:r>
        <w:rPr>
          <w:rFonts w:cs="Times New Roman"/>
        </w:rPr>
        <w:t>基站</w:t>
      </w:r>
      <w:r>
        <w:rPr>
          <w:rFonts w:hint="eastAsia" w:cs="Times New Roman"/>
        </w:rPr>
        <w:t>线缆布放</w:t>
      </w:r>
      <w:bookmarkEnd w:id="900"/>
    </w:p>
    <w:p>
      <w:pPr>
        <w:ind w:firstLine="480"/>
        <w:rPr>
          <w:rFonts w:cs="Times New Roman"/>
          <w:color w:val="FF0000"/>
        </w:rPr>
      </w:pPr>
      <w:r>
        <w:rPr>
          <w:rFonts w:cs="Times New Roman"/>
        </w:rPr>
        <w:t>5G系统室外需要安装AAU设备，通常AAU通过光纤与BBU设备相连。</w:t>
      </w:r>
      <w:r>
        <w:rPr>
          <w:rFonts w:hint="eastAsia" w:cs="Times New Roman"/>
        </w:rPr>
        <w:t>无锡</w:t>
      </w:r>
      <w:r>
        <w:rPr>
          <w:rFonts w:cs="Times New Roman"/>
        </w:rPr>
        <w:t>设备提供商</w:t>
      </w:r>
      <w:r>
        <w:rPr>
          <w:rFonts w:hint="eastAsia" w:cs="Times New Roman"/>
        </w:rPr>
        <w:t>所供</w:t>
      </w:r>
      <w:r>
        <w:rPr>
          <w:rFonts w:cs="Times New Roman"/>
        </w:rPr>
        <w:t>线缆包括BBU与</w:t>
      </w:r>
      <w:r>
        <w:rPr>
          <w:rFonts w:hint="eastAsia" w:cs="Times New Roman"/>
        </w:rPr>
        <w:t>电源设备的</w:t>
      </w:r>
      <w:r>
        <w:rPr>
          <w:rFonts w:cs="Times New Roman"/>
        </w:rPr>
        <w:t>连接线缆</w:t>
      </w:r>
      <w:r>
        <w:rPr>
          <w:rFonts w:hint="eastAsia" w:cs="Times New Roman"/>
        </w:rPr>
        <w:t>、</w:t>
      </w:r>
      <w:r>
        <w:rPr>
          <w:rFonts w:cs="Times New Roman"/>
        </w:rPr>
        <w:t>BBU与AAU的连接线缆</w:t>
      </w:r>
      <w:r>
        <w:rPr>
          <w:rFonts w:hint="eastAsia" w:cs="Times New Roman"/>
        </w:rPr>
        <w:t>、</w:t>
      </w:r>
      <w:r>
        <w:rPr>
          <w:rFonts w:cs="Times New Roman"/>
        </w:rPr>
        <w:t>北斗/GPS馈线等。</w:t>
      </w:r>
    </w:p>
    <w:p>
      <w:pPr>
        <w:ind w:firstLine="480"/>
        <w:rPr>
          <w:rFonts w:cs="Times New Roman"/>
        </w:rPr>
      </w:pPr>
      <w:r>
        <w:rPr>
          <w:rFonts w:cs="Times New Roman"/>
        </w:rPr>
        <w:t>基站设备的各种线缆宜通过走线架、线槽、保护管等进行布放</w:t>
      </w:r>
      <w:r>
        <w:rPr>
          <w:rFonts w:hint="eastAsia" w:cs="Times New Roman"/>
        </w:rPr>
        <w:t>，不交叉、不飞线，牢固安装，实现信号电缆和电力电缆的必要隔离。</w:t>
      </w:r>
    </w:p>
    <w:p>
      <w:pPr>
        <w:ind w:firstLine="480"/>
        <w:rPr>
          <w:rFonts w:cs="Times New Roman"/>
        </w:rPr>
      </w:pPr>
      <w:r>
        <w:rPr>
          <w:rFonts w:hint="eastAsia" w:cs="Times New Roman"/>
        </w:rPr>
        <w:t>线缆布放应当满足各类线缆转弯</w:t>
      </w:r>
      <w:r>
        <w:rPr>
          <w:rFonts w:cs="Times New Roman"/>
        </w:rPr>
        <w:t>半径</w:t>
      </w:r>
      <w:r>
        <w:rPr>
          <w:rFonts w:hint="eastAsia" w:cs="Times New Roman"/>
        </w:rPr>
        <w:t>要求，</w:t>
      </w:r>
      <w:r>
        <w:rPr>
          <w:rFonts w:cs="Times New Roman"/>
        </w:rPr>
        <w:t>保证其正常性能指标</w:t>
      </w:r>
      <w:r>
        <w:rPr>
          <w:rFonts w:hint="eastAsia" w:cs="Times New Roman"/>
        </w:rPr>
        <w:t>。</w:t>
      </w:r>
    </w:p>
    <w:p>
      <w:pPr>
        <w:ind w:firstLine="480"/>
        <w:rPr>
          <w:rFonts w:cs="Times New Roman"/>
        </w:rPr>
      </w:pPr>
      <w:r>
        <w:rPr>
          <w:rFonts w:cs="Times New Roman"/>
        </w:rPr>
        <w:t>根据国家标准GB</w:t>
      </w:r>
      <w:r>
        <w:rPr>
          <w:rFonts w:hint="eastAsia" w:cs="Times New Roman"/>
        </w:rPr>
        <w:t xml:space="preserve"> </w:t>
      </w:r>
      <w:r>
        <w:rPr>
          <w:rFonts w:cs="Times New Roman"/>
        </w:rPr>
        <w:t>5</w:t>
      </w:r>
      <w:r>
        <w:rPr>
          <w:rFonts w:hint="eastAsia" w:cs="Times New Roman"/>
        </w:rPr>
        <w:t>1199</w:t>
      </w:r>
      <w:r>
        <w:rPr>
          <w:rFonts w:cs="Times New Roman"/>
        </w:rPr>
        <w:t>-201</w:t>
      </w:r>
      <w:r>
        <w:rPr>
          <w:rFonts w:hint="eastAsia" w:cs="Times New Roman"/>
        </w:rPr>
        <w:t>6</w:t>
      </w:r>
      <w:r>
        <w:rPr>
          <w:rFonts w:cs="Times New Roman"/>
        </w:rPr>
        <w:t>《通信电源设备安装工程验收规范》第3.</w:t>
      </w:r>
      <w:r>
        <w:rPr>
          <w:rFonts w:hint="eastAsia" w:cs="Times New Roman"/>
        </w:rPr>
        <w:t>3</w:t>
      </w:r>
      <w:r>
        <w:rPr>
          <w:rFonts w:cs="Times New Roman"/>
        </w:rPr>
        <w:t>.</w:t>
      </w:r>
      <w:r>
        <w:rPr>
          <w:rFonts w:hint="eastAsia" w:cs="Times New Roman"/>
        </w:rPr>
        <w:t>5</w:t>
      </w:r>
      <w:r>
        <w:rPr>
          <w:rFonts w:cs="Times New Roman"/>
        </w:rPr>
        <w:t>条的要求，</w:t>
      </w:r>
      <w:r>
        <w:rPr>
          <w:rFonts w:hint="eastAsia" w:cs="Times New Roman"/>
        </w:rPr>
        <w:t>电源线中间严禁有接头。</w:t>
      </w:r>
    </w:p>
    <w:p>
      <w:pPr>
        <w:ind w:firstLine="480"/>
        <w:rPr>
          <w:rFonts w:cs="Times New Roman"/>
        </w:rPr>
      </w:pPr>
      <w:r>
        <w:rPr>
          <w:rFonts w:cs="Times New Roman"/>
        </w:rPr>
        <w:t>根据国家标准GB</w:t>
      </w:r>
      <w:r>
        <w:rPr>
          <w:rFonts w:hint="eastAsia" w:cs="Times New Roman"/>
        </w:rPr>
        <w:t xml:space="preserve"> </w:t>
      </w:r>
      <w:r>
        <w:rPr>
          <w:rFonts w:cs="Times New Roman"/>
        </w:rPr>
        <w:t>5</w:t>
      </w:r>
      <w:r>
        <w:rPr>
          <w:rFonts w:hint="eastAsia" w:cs="Times New Roman"/>
        </w:rPr>
        <w:t>1199</w:t>
      </w:r>
      <w:r>
        <w:rPr>
          <w:rFonts w:cs="Times New Roman"/>
        </w:rPr>
        <w:t>-201</w:t>
      </w:r>
      <w:r>
        <w:rPr>
          <w:rFonts w:hint="eastAsia" w:cs="Times New Roman"/>
        </w:rPr>
        <w:t>6</w:t>
      </w:r>
      <w:r>
        <w:rPr>
          <w:rFonts w:cs="Times New Roman"/>
        </w:rPr>
        <w:t>《通信电源设备安装工程验收规范》第3.</w:t>
      </w:r>
      <w:r>
        <w:rPr>
          <w:rFonts w:hint="eastAsia" w:cs="Times New Roman"/>
        </w:rPr>
        <w:t>3</w:t>
      </w:r>
      <w:r>
        <w:rPr>
          <w:rFonts w:cs="Times New Roman"/>
        </w:rPr>
        <w:t>.</w:t>
      </w:r>
      <w:r>
        <w:rPr>
          <w:rFonts w:hint="eastAsia" w:cs="Times New Roman"/>
        </w:rPr>
        <w:t>14</w:t>
      </w:r>
      <w:r>
        <w:rPr>
          <w:rFonts w:cs="Times New Roman"/>
        </w:rPr>
        <w:t>条的要求，</w:t>
      </w:r>
      <w:r>
        <w:rPr>
          <w:rFonts w:hint="eastAsia" w:cs="Times New Roman"/>
        </w:rPr>
        <w:t>铠装电力电缆的敷设弯曲半径不得小于外径的20倍，塑包电缆敷设弯曲半径不得小于其外径的6倍。</w:t>
      </w:r>
    </w:p>
    <w:p>
      <w:pPr>
        <w:ind w:firstLine="480"/>
        <w:rPr>
          <w:rFonts w:cs="Times New Roman"/>
          <w:kern w:val="24"/>
        </w:rPr>
      </w:pPr>
      <w:r>
        <w:rPr>
          <w:rFonts w:cs="Times New Roman"/>
        </w:rPr>
        <w:t>室外线缆进机房前要设置“流水弯”。线缆布放完毕后，馈线窗需做好密封。</w:t>
      </w:r>
    </w:p>
    <w:p>
      <w:pPr>
        <w:pStyle w:val="5"/>
        <w:rPr>
          <w:rFonts w:cs="Times New Roman"/>
        </w:rPr>
      </w:pPr>
      <w:bookmarkStart w:id="901" w:name="_Toc447202518"/>
      <w:bookmarkStart w:id="902" w:name="_Toc438739872"/>
      <w:bookmarkStart w:id="903" w:name="_Toc25118"/>
      <w:bookmarkStart w:id="904" w:name="_Toc162879734"/>
      <w:bookmarkStart w:id="905" w:name="_Toc390688219"/>
      <w:bookmarkStart w:id="906" w:name="_Toc176345513"/>
      <w:bookmarkStart w:id="907" w:name="_Toc2868712"/>
      <w:bookmarkStart w:id="908" w:name="_Toc447204567"/>
      <w:bookmarkStart w:id="909" w:name="_Toc452131637"/>
      <w:r>
        <w:rPr>
          <w:rFonts w:cs="Times New Roman"/>
        </w:rPr>
        <w:t>抗震加固要求</w:t>
      </w:r>
      <w:bookmarkEnd w:id="901"/>
      <w:bookmarkEnd w:id="902"/>
      <w:bookmarkEnd w:id="903"/>
      <w:bookmarkEnd w:id="904"/>
      <w:bookmarkEnd w:id="905"/>
      <w:bookmarkEnd w:id="906"/>
      <w:bookmarkEnd w:id="907"/>
      <w:bookmarkEnd w:id="908"/>
      <w:bookmarkEnd w:id="909"/>
    </w:p>
    <w:p>
      <w:pPr>
        <w:ind w:firstLine="480"/>
        <w:rPr>
          <w:rFonts w:cs="Times New Roman"/>
        </w:rPr>
      </w:pPr>
      <w:r>
        <w:rPr>
          <w:rFonts w:cs="Times New Roman"/>
        </w:rPr>
        <w:t>根据YD 5059-2005《电信设备安装抗震设计规范》的要求，设备安装须考虑抗震加固。电信设备安装设计的抗震设防烈度，应与安装设备的电信房屋的抗震设防烈度相同。一般情况可采用基本烈度，各类电信房屋设防类别应执行YD 5054-2010《通信建筑抗震设防分类标准》的有关规定。</w:t>
      </w:r>
    </w:p>
    <w:p>
      <w:pPr>
        <w:ind w:firstLine="480"/>
        <w:rPr>
          <w:rFonts w:cs="Times New Roman"/>
        </w:rPr>
      </w:pPr>
      <w:r>
        <w:rPr>
          <w:rFonts w:cs="Times New Roman"/>
        </w:rPr>
        <w:t>根据GB 50011-2010《建筑抗震设计规范（2016年版）》第1.0.2款的要求，抗震设防烈度为6度及以上地区的建筑，必须进行抗震设计。</w:t>
      </w:r>
    </w:p>
    <w:p>
      <w:pPr>
        <w:pStyle w:val="6"/>
        <w:rPr>
          <w:rFonts w:cs="Times New Roman"/>
        </w:rPr>
      </w:pPr>
      <w:r>
        <w:rPr>
          <w:rFonts w:cs="Times New Roman"/>
        </w:rPr>
        <w:t>抗震设防类别及烈度</w:t>
      </w:r>
    </w:p>
    <w:p>
      <w:pPr>
        <w:ind w:firstLine="480"/>
        <w:rPr>
          <w:rFonts w:cs="Times New Roman"/>
        </w:rPr>
      </w:pPr>
      <w:r>
        <w:rPr>
          <w:rFonts w:cs="Times New Roman"/>
        </w:rPr>
        <w:t>根据GB 50011-2010《建筑抗震设计规范（2016年版）》，本期工程所属</w:t>
      </w:r>
      <w:r>
        <w:rPr>
          <w:rFonts w:hint="eastAsia" w:cs="Times New Roman"/>
        </w:rPr>
        <w:t>无锡市</w:t>
      </w:r>
      <w:r>
        <w:rPr>
          <w:rFonts w:cs="Times New Roman"/>
        </w:rPr>
        <w:t>属于抗震设防区，各设备安装地点抗震设防烈度如下表所示：</w:t>
      </w:r>
    </w:p>
    <w:p>
      <w:pPr>
        <w:pStyle w:val="603"/>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-1  </w:t>
      </w:r>
      <w:r>
        <w:rPr>
          <w:rFonts w:cs="Times New Roman"/>
          <w:shd w:val="clear" w:color="auto" w:fill="FFFFFF"/>
        </w:rPr>
        <w:t>本期工程抗震设防烈度表</w:t>
      </w:r>
    </w:p>
    <w:tbl>
      <w:tblPr>
        <w:tblStyle w:val="63"/>
        <w:tblW w:w="8398" w:type="dxa"/>
        <w:tblInd w:w="0" w:type="dxa"/>
        <w:tblLayout w:type="fixed"/>
        <w:tblCellMar>
          <w:top w:w="0" w:type="dxa"/>
          <w:left w:w="108" w:type="dxa"/>
          <w:bottom w:w="0" w:type="dxa"/>
          <w:right w:w="108" w:type="dxa"/>
        </w:tblCellMar>
      </w:tblPr>
      <w:tblGrid>
        <w:gridCol w:w="816"/>
        <w:gridCol w:w="4132"/>
        <w:gridCol w:w="3450"/>
      </w:tblGrid>
      <w:tr>
        <w:tblPrEx>
          <w:tblCellMar>
            <w:top w:w="0" w:type="dxa"/>
            <w:left w:w="108" w:type="dxa"/>
            <w:bottom w:w="0" w:type="dxa"/>
            <w:right w:w="108" w:type="dxa"/>
          </w:tblCellMar>
        </w:tblPrEx>
        <w:trPr>
          <w:trHeight w:val="270" w:hRule="atLeast"/>
          <w:tblHeader/>
        </w:trPr>
        <w:tc>
          <w:tcPr>
            <w:tcW w:w="8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4132" w:type="dxa"/>
            <w:tcBorders>
              <w:top w:val="single" w:color="auto" w:sz="4" w:space="0"/>
              <w:left w:val="nil"/>
              <w:bottom w:val="single" w:color="auto" w:sz="4" w:space="0"/>
              <w:right w:val="single" w:color="auto" w:sz="4" w:space="0"/>
            </w:tcBorders>
            <w:shd w:val="clear" w:color="auto" w:fill="auto"/>
            <w:vAlign w:val="center"/>
          </w:tcPr>
          <w:p>
            <w:pPr>
              <w:pStyle w:val="290"/>
            </w:pPr>
            <w:r>
              <w:t>本期抗震措施采用的抗震设防烈度</w:t>
            </w:r>
          </w:p>
        </w:tc>
        <w:tc>
          <w:tcPr>
            <w:tcW w:w="3450" w:type="dxa"/>
            <w:tcBorders>
              <w:top w:val="single" w:color="auto" w:sz="4" w:space="0"/>
              <w:left w:val="nil"/>
              <w:bottom w:val="single" w:color="auto" w:sz="4" w:space="0"/>
              <w:right w:val="single" w:color="auto" w:sz="4" w:space="0"/>
            </w:tcBorders>
            <w:shd w:val="clear" w:color="auto" w:fill="auto"/>
            <w:vAlign w:val="center"/>
          </w:tcPr>
          <w:p>
            <w:pPr>
              <w:pStyle w:val="290"/>
            </w:pPr>
            <w:r>
              <w:t>安装地点</w:t>
            </w:r>
          </w:p>
        </w:tc>
      </w:tr>
      <w:tr>
        <w:tblPrEx>
          <w:tblCellMar>
            <w:top w:w="0" w:type="dxa"/>
            <w:left w:w="108" w:type="dxa"/>
            <w:bottom w:w="0" w:type="dxa"/>
            <w:right w:w="108" w:type="dxa"/>
          </w:tblCellMar>
        </w:tblPrEx>
        <w:trPr>
          <w:trHeight w:val="780" w:hRule="atLeast"/>
        </w:trPr>
        <w:tc>
          <w:tcPr>
            <w:tcW w:w="816" w:type="dxa"/>
            <w:tcBorders>
              <w:top w:val="nil"/>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1</w:t>
            </w:r>
          </w:p>
        </w:tc>
        <w:tc>
          <w:tcPr>
            <w:tcW w:w="4132" w:type="dxa"/>
            <w:tcBorders>
              <w:top w:val="nil"/>
              <w:left w:val="nil"/>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rFonts w:hint="eastAsia"/>
                <w:color w:val="FF0000"/>
                <w:sz w:val="21"/>
              </w:rPr>
              <w:t>抗震设防烈度</w:t>
            </w:r>
            <w:r>
              <w:rPr>
                <w:color w:val="FF0000"/>
                <w:sz w:val="21"/>
              </w:rPr>
              <w:t>为7度，设计基本地震加速度值为0.10g</w:t>
            </w:r>
          </w:p>
        </w:tc>
        <w:tc>
          <w:tcPr>
            <w:tcW w:w="3450" w:type="dxa"/>
            <w:tcBorders>
              <w:top w:val="nil"/>
              <w:left w:val="nil"/>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第</w:t>
            </w:r>
            <w:r>
              <w:rPr>
                <w:rFonts w:hint="eastAsia"/>
                <w:color w:val="FF0000"/>
                <w:sz w:val="21"/>
              </w:rPr>
              <w:t>一</w:t>
            </w:r>
            <w:r>
              <w:rPr>
                <w:color w:val="FF0000"/>
                <w:sz w:val="21"/>
              </w:rPr>
              <w:t>组：</w:t>
            </w:r>
            <w:r>
              <w:rPr>
                <w:rFonts w:hint="eastAsia"/>
                <w:color w:val="FF0000"/>
                <w:sz w:val="21"/>
              </w:rPr>
              <w:t>梁溪区、新吴区、锡山区、滨湖区、惠山区</w:t>
            </w:r>
            <w:r>
              <w:rPr>
                <w:color w:val="FF0000"/>
                <w:sz w:val="21"/>
              </w:rPr>
              <w:t>、</w:t>
            </w:r>
            <w:r>
              <w:rPr>
                <w:rFonts w:hint="eastAsia"/>
                <w:color w:val="FF0000"/>
                <w:sz w:val="21"/>
              </w:rPr>
              <w:t>宜兴市</w:t>
            </w:r>
          </w:p>
        </w:tc>
      </w:tr>
      <w:tr>
        <w:tblPrEx>
          <w:tblCellMar>
            <w:top w:w="0" w:type="dxa"/>
            <w:left w:w="108" w:type="dxa"/>
            <w:bottom w:w="0" w:type="dxa"/>
            <w:right w:w="108" w:type="dxa"/>
          </w:tblCellMar>
        </w:tblPrEx>
        <w:trPr>
          <w:trHeight w:val="270" w:hRule="atLeast"/>
        </w:trPr>
        <w:tc>
          <w:tcPr>
            <w:tcW w:w="816"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rFonts w:hint="eastAsia"/>
                <w:color w:val="FF0000"/>
                <w:sz w:val="21"/>
              </w:rPr>
              <w:t>2</w:t>
            </w:r>
          </w:p>
        </w:tc>
        <w:tc>
          <w:tcPr>
            <w:tcW w:w="4132"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420"/>
              <w:jc w:val="center"/>
              <w:rPr>
                <w:color w:val="FF0000"/>
              </w:rPr>
            </w:pPr>
            <w:r>
              <w:rPr>
                <w:rFonts w:hint="eastAsia"/>
                <w:color w:val="FF0000"/>
                <w:sz w:val="21"/>
              </w:rPr>
              <w:t>抗震设防烈度</w:t>
            </w:r>
            <w:r>
              <w:rPr>
                <w:color w:val="FF0000"/>
                <w:sz w:val="21"/>
              </w:rPr>
              <w:t>为</w:t>
            </w:r>
            <w:r>
              <w:rPr>
                <w:rFonts w:hint="eastAsia"/>
                <w:color w:val="FF0000"/>
                <w:sz w:val="21"/>
              </w:rPr>
              <w:t>6</w:t>
            </w:r>
            <w:r>
              <w:rPr>
                <w:color w:val="FF0000"/>
                <w:sz w:val="21"/>
              </w:rPr>
              <w:t>度，设计基本地震加速度值为0.</w:t>
            </w:r>
            <w:r>
              <w:rPr>
                <w:rFonts w:hint="eastAsia"/>
                <w:color w:val="FF0000"/>
                <w:sz w:val="21"/>
              </w:rPr>
              <w:t>05</w:t>
            </w:r>
            <w:r>
              <w:rPr>
                <w:color w:val="FF0000"/>
                <w:sz w:val="21"/>
              </w:rPr>
              <w:t>g</w:t>
            </w:r>
          </w:p>
        </w:tc>
        <w:tc>
          <w:tcPr>
            <w:tcW w:w="3450"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第二组：</w:t>
            </w:r>
            <w:r>
              <w:rPr>
                <w:rFonts w:hint="eastAsia"/>
                <w:color w:val="FF0000"/>
                <w:sz w:val="21"/>
              </w:rPr>
              <w:t>江阴市</w:t>
            </w:r>
          </w:p>
        </w:tc>
      </w:tr>
    </w:tbl>
    <w:p>
      <w:pPr>
        <w:ind w:firstLine="480"/>
        <w:rPr>
          <w:rFonts w:cs="Times New Roman"/>
        </w:rPr>
      </w:pPr>
    </w:p>
    <w:p>
      <w:pPr>
        <w:ind w:firstLine="480"/>
        <w:rPr>
          <w:rFonts w:cs="Times New Roman"/>
        </w:rPr>
      </w:pPr>
      <w:r>
        <w:rPr>
          <w:rFonts w:cs="Times New Roman"/>
        </w:rPr>
        <w:t>根据YD 5054-2010《通信建筑抗震设防分类标准》第1.0.3条要求，抗震设防区的所有通信建筑工程应确定其抗震设防类别。新建、改建、扩建的通信建筑工程，其抗震设防类别不应低于本标准的规定。</w:t>
      </w:r>
    </w:p>
    <w:p>
      <w:pPr>
        <w:ind w:firstLine="480"/>
        <w:rPr>
          <w:rFonts w:cs="Times New Roman"/>
        </w:rPr>
      </w:pPr>
      <w:r>
        <w:rPr>
          <w:rFonts w:cs="Times New Roman"/>
        </w:rPr>
        <w:t>根据YD 5054-2010《通信建筑抗震设防分类标准》第3.0.1条要求，通信建筑工程应分为以下三个抗震设防类别：</w:t>
      </w:r>
    </w:p>
    <w:p>
      <w:pPr>
        <w:ind w:firstLine="480"/>
        <w:rPr>
          <w:rFonts w:cs="Times New Roman"/>
        </w:rPr>
      </w:pPr>
      <w:r>
        <w:rPr>
          <w:rFonts w:cs="Times New Roman"/>
        </w:rPr>
        <w:t>1.特殊设防类：指使用上有特殊设施，涉及国家公共安全的重大通信建筑工程和地震时使用功能不能中断，可能发生严重次生灾害等特别重灾害后果，需要进行特殊设防的通信建筑。简称甲类。</w:t>
      </w:r>
    </w:p>
    <w:p>
      <w:pPr>
        <w:ind w:firstLine="480"/>
        <w:rPr>
          <w:rFonts w:cs="Times New Roman"/>
        </w:rPr>
      </w:pPr>
      <w:r>
        <w:rPr>
          <w:rFonts w:cs="Times New Roman"/>
        </w:rPr>
        <w:t>2.重点设防类：指地震时使用功能不能中断或需尽快恢复的通信建筑，以及地震时可能导致大量人员伤亡等重大灾害后果，需要提高设防标准的通信建筑。简称乙类。</w:t>
      </w:r>
    </w:p>
    <w:p>
      <w:pPr>
        <w:ind w:firstLine="480"/>
        <w:rPr>
          <w:rFonts w:cs="Times New Roman"/>
        </w:rPr>
      </w:pPr>
      <w:r>
        <w:rPr>
          <w:rFonts w:cs="Times New Roman"/>
        </w:rPr>
        <w:t>3.标准设防类：指除1、2类以外按标准要求进行设防的通信建筑。简称丙类。</w:t>
      </w:r>
    </w:p>
    <w:p>
      <w:pPr>
        <w:ind w:firstLine="480"/>
        <w:rPr>
          <w:rFonts w:cs="Times New Roman"/>
        </w:rPr>
      </w:pPr>
      <w:r>
        <w:rPr>
          <w:rFonts w:cs="Times New Roman"/>
        </w:rPr>
        <w:t>根据YD 5054-2010《通信建筑抗震设防分类标准》第3.0.2条要求，通信建筑的抗震设防类别，应符合下表的规定。</w:t>
      </w:r>
    </w:p>
    <w:p>
      <w:pPr>
        <w:pStyle w:val="603"/>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-2  </w:t>
      </w:r>
      <w:r>
        <w:rPr>
          <w:rFonts w:cs="Times New Roman"/>
          <w:shd w:val="clear" w:color="auto" w:fill="FFFFFF"/>
        </w:rPr>
        <w:t>通信建筑抗震设防类别</w:t>
      </w:r>
    </w:p>
    <w:tbl>
      <w:tblPr>
        <w:tblStyle w:val="63"/>
        <w:tblW w:w="8036" w:type="dxa"/>
        <w:jc w:val="center"/>
        <w:tblLayout w:type="fixed"/>
        <w:tblCellMar>
          <w:top w:w="0" w:type="dxa"/>
          <w:left w:w="0" w:type="dxa"/>
          <w:bottom w:w="0" w:type="dxa"/>
          <w:right w:w="0" w:type="dxa"/>
        </w:tblCellMar>
      </w:tblPr>
      <w:tblGrid>
        <w:gridCol w:w="2699"/>
        <w:gridCol w:w="5337"/>
      </w:tblGrid>
      <w:tr>
        <w:tblPrEx>
          <w:tblCellMar>
            <w:top w:w="0" w:type="dxa"/>
            <w:left w:w="0" w:type="dxa"/>
            <w:bottom w:w="0" w:type="dxa"/>
            <w:right w:w="0" w:type="dxa"/>
          </w:tblCellMar>
        </w:tblPrEx>
        <w:trPr>
          <w:trHeight w:val="135" w:hRule="atLeast"/>
          <w:tblHeader/>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类别</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通信建筑</w:t>
            </w:r>
          </w:p>
        </w:tc>
      </w:tr>
      <w:tr>
        <w:tblPrEx>
          <w:tblCellMar>
            <w:top w:w="0" w:type="dxa"/>
            <w:left w:w="0" w:type="dxa"/>
            <w:bottom w:w="0" w:type="dxa"/>
            <w:right w:w="0" w:type="dxa"/>
          </w:tblCellMar>
        </w:tblPrEx>
        <w:trPr>
          <w:trHeight w:val="755" w:hRule="atLeast"/>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vAlign w:val="center"/>
          </w:tcPr>
          <w:p>
            <w:pPr>
              <w:pStyle w:val="290"/>
            </w:pPr>
            <w:r>
              <w:t>特殊设防类（甲类）</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国际出入口局、国际无线电台</w:t>
            </w:r>
          </w:p>
          <w:p>
            <w:pPr>
              <w:pStyle w:val="290"/>
            </w:pPr>
            <w:r>
              <w:t>国际卫星通信地球站</w:t>
            </w:r>
          </w:p>
          <w:p>
            <w:pPr>
              <w:pStyle w:val="290"/>
            </w:pPr>
            <w:r>
              <w:t>国际海缆登陆站</w:t>
            </w:r>
          </w:p>
        </w:tc>
      </w:tr>
      <w:tr>
        <w:tblPrEx>
          <w:tblCellMar>
            <w:top w:w="0" w:type="dxa"/>
            <w:left w:w="0" w:type="dxa"/>
            <w:bottom w:w="0" w:type="dxa"/>
            <w:right w:w="0" w:type="dxa"/>
          </w:tblCellMar>
        </w:tblPrEx>
        <w:trPr>
          <w:trHeight w:val="2156" w:hRule="atLeast"/>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vAlign w:val="center"/>
          </w:tcPr>
          <w:p>
            <w:pPr>
              <w:pStyle w:val="290"/>
            </w:pPr>
            <w:r>
              <w:t>重点设防类（乙类）</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省中心及省中心以上通信枢纽楼</w:t>
            </w:r>
          </w:p>
          <w:p>
            <w:pPr>
              <w:pStyle w:val="290"/>
            </w:pPr>
            <w:r>
              <w:t>长途传输干线局站</w:t>
            </w:r>
          </w:p>
          <w:p>
            <w:pPr>
              <w:pStyle w:val="290"/>
            </w:pPr>
            <w:r>
              <w:t>国内卫星通信地球站</w:t>
            </w:r>
          </w:p>
          <w:p>
            <w:pPr>
              <w:pStyle w:val="290"/>
            </w:pPr>
            <w:r>
              <w:t>本地网通信枢纽楼及通信生产楼</w:t>
            </w:r>
          </w:p>
          <w:p>
            <w:pPr>
              <w:pStyle w:val="290"/>
            </w:pPr>
            <w:r>
              <w:t>应急通信用房</w:t>
            </w:r>
          </w:p>
          <w:p>
            <w:pPr>
              <w:pStyle w:val="290"/>
            </w:pPr>
            <w:r>
              <w:t>承担特殊重要任务的通信局</w:t>
            </w:r>
          </w:p>
          <w:p>
            <w:pPr>
              <w:pStyle w:val="290"/>
            </w:pPr>
            <w:r>
              <w:t>客户服务中心</w:t>
            </w:r>
          </w:p>
        </w:tc>
      </w:tr>
      <w:tr>
        <w:tblPrEx>
          <w:tblCellMar>
            <w:top w:w="0" w:type="dxa"/>
            <w:left w:w="0" w:type="dxa"/>
            <w:bottom w:w="0" w:type="dxa"/>
            <w:right w:w="0" w:type="dxa"/>
          </w:tblCellMar>
        </w:tblPrEx>
        <w:trPr>
          <w:trHeight w:val="18" w:hRule="atLeast"/>
          <w:jc w:val="center"/>
        </w:trPr>
        <w:tc>
          <w:tcPr>
            <w:tcW w:w="2699"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标准设防类（丙类）</w:t>
            </w:r>
          </w:p>
        </w:tc>
        <w:tc>
          <w:tcPr>
            <w:tcW w:w="5337" w:type="dxa"/>
            <w:tcBorders>
              <w:top w:val="single" w:color="000000" w:sz="8" w:space="0"/>
              <w:left w:val="single" w:color="000000" w:sz="8" w:space="0"/>
              <w:bottom w:val="single" w:color="000000" w:sz="8" w:space="0"/>
              <w:right w:val="single" w:color="000000" w:sz="8" w:space="0"/>
            </w:tcBorders>
            <w:tcMar>
              <w:top w:w="72" w:type="dxa"/>
              <w:left w:w="144" w:type="dxa"/>
              <w:bottom w:w="72" w:type="dxa"/>
              <w:right w:w="144" w:type="dxa"/>
            </w:tcMar>
          </w:tcPr>
          <w:p>
            <w:pPr>
              <w:pStyle w:val="290"/>
            </w:pPr>
            <w:r>
              <w:t>甲、乙类以外的通信生产用房</w:t>
            </w:r>
          </w:p>
        </w:tc>
      </w:tr>
    </w:tbl>
    <w:p>
      <w:pPr>
        <w:ind w:firstLine="480"/>
        <w:rPr>
          <w:rFonts w:cs="Times New Roman"/>
        </w:rPr>
      </w:pPr>
    </w:p>
    <w:p>
      <w:pPr>
        <w:ind w:firstLine="480"/>
        <w:rPr>
          <w:rFonts w:cs="Times New Roman"/>
        </w:rPr>
      </w:pPr>
      <w:r>
        <w:rPr>
          <w:rFonts w:cs="Times New Roman"/>
        </w:rPr>
        <w:t>根据YD 5054-2010《通信建筑抗震设防分类标准》第3.0.3条要求，通信建筑的辅助生产用房，应与生产用房的抗震设防类别相同。</w:t>
      </w:r>
    </w:p>
    <w:p>
      <w:pPr>
        <w:ind w:firstLine="480"/>
        <w:rPr>
          <w:rFonts w:cs="Times New Roman"/>
        </w:rPr>
      </w:pPr>
      <w:r>
        <w:rPr>
          <w:rFonts w:cs="Times New Roman"/>
        </w:rPr>
        <w:t>根据YD 5054-2010《通信建筑抗震设防分类标准》第4.0.1条要求，各抗震设防类别通信建筑的抗震设防标准，应符合下列要求：</w:t>
      </w:r>
    </w:p>
    <w:p>
      <w:pPr>
        <w:ind w:firstLine="480"/>
        <w:rPr>
          <w:rFonts w:cs="Times New Roman"/>
        </w:rPr>
      </w:pPr>
      <w:r>
        <w:rPr>
          <w:rFonts w:cs="Times New Roman"/>
        </w:rPr>
        <w:t>1.标准设防类，应按本地区抗震设防烈度确定其抗震措施和地震作用，达到在遭遇高于当地抗震设防烈度预估的罕遇地震影响时不致倒塌或发生危及生命安全的严重破坏的抗震设防目标。</w:t>
      </w:r>
    </w:p>
    <w:p>
      <w:pPr>
        <w:ind w:firstLine="480"/>
        <w:rPr>
          <w:rFonts w:cs="Times New Roman"/>
        </w:rPr>
      </w:pPr>
      <w:r>
        <w:rPr>
          <w:rFonts w:cs="Times New Roman"/>
        </w:rPr>
        <w:t>2.重点设防类，应按高于本地区抗震设防烈度一度的要求加强其抗震措施；但抗震设防烈度为9度时应按比9度更高的要求采取抗震措施；地基基础的抗震措施应符合有关规定。同时，应按本地区抗震设防烈度确定其地震作用。划为重点设防类而规模很小的通信建筑，当改用抗震性能较好的材料且符合抗震设计规范对结构体系的要求时，允许按标准设防类设防。</w:t>
      </w:r>
    </w:p>
    <w:p>
      <w:pPr>
        <w:ind w:firstLine="480"/>
        <w:rPr>
          <w:rFonts w:cs="Times New Roman"/>
        </w:rPr>
      </w:pPr>
      <w:r>
        <w:rPr>
          <w:rFonts w:cs="Times New Roman"/>
        </w:rPr>
        <w:t>3.特殊设防类，应按高于本地区抗震设防烈度提高一度的要求加强其抗震措施；但抗震设防烈度为9度时应按比9度更高的要求采取抗震措施。同时，应按批准的地震安全性评价的结果且高于本地区抗震设防烈度的要求确定其地震作用。</w:t>
      </w:r>
    </w:p>
    <w:p>
      <w:pPr>
        <w:ind w:firstLine="480"/>
        <w:rPr>
          <w:rFonts w:cs="Times New Roman"/>
        </w:rPr>
      </w:pPr>
      <w:r>
        <w:rPr>
          <w:rFonts w:cs="Times New Roman"/>
        </w:rPr>
        <w:t>遵照上述各项规定，本期设备机房按照规范YD5054-2010《通信建筑抗震设防分类标准》采用标准设防类（丙类）设防要求。</w:t>
      </w:r>
    </w:p>
    <w:p>
      <w:pPr>
        <w:ind w:firstLine="480"/>
        <w:rPr>
          <w:rFonts w:cs="Times New Roman"/>
        </w:rPr>
      </w:pPr>
      <w:r>
        <w:rPr>
          <w:rFonts w:cs="Times New Roman"/>
        </w:rPr>
        <w:t>本期通信设备的抗震设防措施根据下表“本期工程抗震措施抗震设防烈度表”所示确定抗震设防烈度：</w:t>
      </w:r>
    </w:p>
    <w:p>
      <w:pPr>
        <w:pStyle w:val="603"/>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-3  </w:t>
      </w:r>
      <w:r>
        <w:rPr>
          <w:rFonts w:cs="Times New Roman"/>
          <w:shd w:val="clear" w:color="auto" w:fill="FFFFFF"/>
        </w:rPr>
        <w:t>本期工程抗震措施抗震设防烈度表</w:t>
      </w:r>
    </w:p>
    <w:p>
      <w:pPr>
        <w:ind w:firstLine="480"/>
        <w:rPr>
          <w:rFonts w:cs="Times New Roman"/>
        </w:rPr>
      </w:pPr>
      <w:r>
        <w:rPr>
          <w:rFonts w:cs="Times New Roman"/>
          <w:highlight w:val="yellow"/>
        </w:rPr>
        <w:t>（具体项目需按照项目实施区域参照下表形式具体列出）</w:t>
      </w:r>
    </w:p>
    <w:tbl>
      <w:tblPr>
        <w:tblStyle w:val="63"/>
        <w:tblW w:w="8522" w:type="dxa"/>
        <w:tblInd w:w="0" w:type="dxa"/>
        <w:tblLayout w:type="fixed"/>
        <w:tblCellMar>
          <w:top w:w="0" w:type="dxa"/>
          <w:left w:w="108" w:type="dxa"/>
          <w:bottom w:w="0" w:type="dxa"/>
          <w:right w:w="108" w:type="dxa"/>
        </w:tblCellMar>
      </w:tblPr>
      <w:tblGrid>
        <w:gridCol w:w="669"/>
        <w:gridCol w:w="2441"/>
        <w:gridCol w:w="2441"/>
        <w:gridCol w:w="2971"/>
      </w:tblGrid>
      <w:tr>
        <w:tblPrEx>
          <w:tblCellMar>
            <w:top w:w="0" w:type="dxa"/>
            <w:left w:w="108" w:type="dxa"/>
            <w:bottom w:w="0" w:type="dxa"/>
            <w:right w:w="108" w:type="dxa"/>
          </w:tblCellMar>
        </w:tblPrEx>
        <w:trPr>
          <w:trHeight w:val="270" w:hRule="atLeast"/>
          <w:tblHeader/>
        </w:trPr>
        <w:tc>
          <w:tcPr>
            <w:tcW w:w="66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2441" w:type="dxa"/>
            <w:tcBorders>
              <w:top w:val="single" w:color="auto" w:sz="4" w:space="0"/>
              <w:left w:val="single" w:color="auto" w:sz="4" w:space="0"/>
              <w:bottom w:val="single" w:color="auto" w:sz="4" w:space="0"/>
              <w:right w:val="single" w:color="auto" w:sz="4" w:space="0"/>
            </w:tcBorders>
            <w:vAlign w:val="center"/>
          </w:tcPr>
          <w:p>
            <w:pPr>
              <w:pStyle w:val="290"/>
            </w:pPr>
            <w:r>
              <w:t>设备安装地点</w:t>
            </w:r>
          </w:p>
        </w:tc>
        <w:tc>
          <w:tcPr>
            <w:tcW w:w="2441"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该地点抗震设防烈度</w:t>
            </w:r>
          </w:p>
        </w:tc>
        <w:tc>
          <w:tcPr>
            <w:tcW w:w="2971" w:type="dxa"/>
            <w:tcBorders>
              <w:top w:val="single" w:color="auto" w:sz="4" w:space="0"/>
              <w:left w:val="nil"/>
              <w:bottom w:val="single" w:color="auto" w:sz="4" w:space="0"/>
              <w:right w:val="single" w:color="auto" w:sz="4" w:space="0"/>
            </w:tcBorders>
            <w:shd w:val="clear" w:color="auto" w:fill="auto"/>
            <w:vAlign w:val="center"/>
          </w:tcPr>
          <w:p>
            <w:pPr>
              <w:pStyle w:val="290"/>
            </w:pPr>
            <w:r>
              <w:t>本期抗震措施采用的抗震设防烈度</w:t>
            </w:r>
          </w:p>
        </w:tc>
      </w:tr>
      <w:tr>
        <w:tblPrEx>
          <w:tblCellMar>
            <w:top w:w="0" w:type="dxa"/>
            <w:left w:w="108" w:type="dxa"/>
            <w:bottom w:w="0" w:type="dxa"/>
            <w:right w:w="108" w:type="dxa"/>
          </w:tblCellMar>
        </w:tblPrEx>
        <w:trPr>
          <w:trHeight w:val="464" w:hRule="atLeast"/>
        </w:trPr>
        <w:tc>
          <w:tcPr>
            <w:tcW w:w="669"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color w:val="FF0000"/>
                <w:sz w:val="21"/>
              </w:rPr>
              <w:t>1</w:t>
            </w:r>
          </w:p>
        </w:tc>
        <w:tc>
          <w:tcPr>
            <w:tcW w:w="2441"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color w:val="FF0000"/>
              </w:rPr>
            </w:pPr>
            <w:r>
              <w:rPr>
                <w:rFonts w:hint="eastAsia"/>
                <w:color w:val="FF0000"/>
                <w:sz w:val="21"/>
              </w:rPr>
              <w:t>梁溪区、新吴区、锡山区、滨湖区、惠山区</w:t>
            </w:r>
            <w:r>
              <w:rPr>
                <w:color w:val="FF0000"/>
                <w:sz w:val="21"/>
              </w:rPr>
              <w:t>、</w:t>
            </w:r>
            <w:r>
              <w:rPr>
                <w:rFonts w:hint="eastAsia"/>
                <w:color w:val="FF0000"/>
                <w:sz w:val="21"/>
              </w:rPr>
              <w:t>宜兴市</w:t>
            </w:r>
          </w:p>
        </w:tc>
        <w:tc>
          <w:tcPr>
            <w:tcW w:w="244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420"/>
              <w:jc w:val="center"/>
              <w:rPr>
                <w:color w:val="FF0000"/>
              </w:rPr>
            </w:pPr>
            <w:r>
              <w:rPr>
                <w:color w:val="FF0000"/>
                <w:sz w:val="21"/>
              </w:rPr>
              <w:t>7度</w:t>
            </w:r>
          </w:p>
        </w:tc>
        <w:tc>
          <w:tcPr>
            <w:tcW w:w="2971" w:type="dxa"/>
            <w:tcBorders>
              <w:top w:val="nil"/>
              <w:left w:val="nil"/>
              <w:bottom w:val="single" w:color="auto" w:sz="4" w:space="0"/>
              <w:right w:val="single" w:color="auto" w:sz="4" w:space="0"/>
            </w:tcBorders>
            <w:shd w:val="clear" w:color="auto" w:fill="auto"/>
            <w:vAlign w:val="center"/>
          </w:tcPr>
          <w:p>
            <w:pPr>
              <w:spacing w:line="240" w:lineRule="auto"/>
              <w:ind w:firstLine="420"/>
              <w:jc w:val="center"/>
              <w:rPr>
                <w:color w:val="FF0000"/>
              </w:rPr>
            </w:pPr>
            <w:r>
              <w:rPr>
                <w:rFonts w:hint="eastAsia"/>
                <w:color w:val="FF0000"/>
                <w:sz w:val="21"/>
              </w:rPr>
              <w:t>7度</w:t>
            </w:r>
          </w:p>
        </w:tc>
      </w:tr>
      <w:tr>
        <w:tblPrEx>
          <w:tblCellMar>
            <w:top w:w="0" w:type="dxa"/>
            <w:left w:w="108" w:type="dxa"/>
            <w:bottom w:w="0" w:type="dxa"/>
            <w:right w:w="108" w:type="dxa"/>
          </w:tblCellMar>
        </w:tblPrEx>
        <w:trPr>
          <w:trHeight w:val="270" w:hRule="atLeast"/>
        </w:trPr>
        <w:tc>
          <w:tcPr>
            <w:tcW w:w="669"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0" w:firstLineChars="0"/>
              <w:jc w:val="center"/>
              <w:rPr>
                <w:color w:val="FF0000"/>
              </w:rPr>
            </w:pPr>
            <w:r>
              <w:rPr>
                <w:rFonts w:hint="eastAsia"/>
                <w:color w:val="FF0000"/>
                <w:sz w:val="21"/>
              </w:rPr>
              <w:t>2</w:t>
            </w:r>
          </w:p>
        </w:tc>
        <w:tc>
          <w:tcPr>
            <w:tcW w:w="2441"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color w:val="FF0000"/>
              </w:rPr>
            </w:pPr>
            <w:r>
              <w:rPr>
                <w:rFonts w:hint="eastAsia"/>
                <w:color w:val="FF0000"/>
                <w:sz w:val="21"/>
              </w:rPr>
              <w:t>江阴市</w:t>
            </w:r>
          </w:p>
        </w:tc>
        <w:tc>
          <w:tcPr>
            <w:tcW w:w="244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40" w:lineRule="auto"/>
              <w:ind w:firstLine="420"/>
              <w:jc w:val="center"/>
              <w:rPr>
                <w:color w:val="FF0000"/>
              </w:rPr>
            </w:pPr>
            <w:r>
              <w:rPr>
                <w:rFonts w:hint="eastAsia"/>
                <w:color w:val="FF0000"/>
                <w:sz w:val="21"/>
              </w:rPr>
              <w:t>6</w:t>
            </w:r>
            <w:r>
              <w:rPr>
                <w:color w:val="FF0000"/>
                <w:sz w:val="21"/>
              </w:rPr>
              <w:t>度</w:t>
            </w:r>
          </w:p>
        </w:tc>
        <w:tc>
          <w:tcPr>
            <w:tcW w:w="2971" w:type="dxa"/>
            <w:tcBorders>
              <w:top w:val="single" w:color="auto" w:sz="4" w:space="0"/>
              <w:left w:val="nil"/>
              <w:bottom w:val="single" w:color="auto" w:sz="4" w:space="0"/>
              <w:right w:val="single" w:color="auto" w:sz="4" w:space="0"/>
            </w:tcBorders>
            <w:shd w:val="clear" w:color="auto" w:fill="auto"/>
            <w:vAlign w:val="center"/>
          </w:tcPr>
          <w:p>
            <w:pPr>
              <w:spacing w:line="240" w:lineRule="auto"/>
              <w:ind w:firstLine="420"/>
              <w:jc w:val="center"/>
              <w:rPr>
                <w:color w:val="FF0000"/>
              </w:rPr>
            </w:pPr>
            <w:r>
              <w:rPr>
                <w:color w:val="FF0000"/>
                <w:sz w:val="21"/>
              </w:rPr>
              <w:t>6</w:t>
            </w:r>
            <w:r>
              <w:rPr>
                <w:rFonts w:hint="eastAsia"/>
                <w:color w:val="FF0000"/>
                <w:sz w:val="21"/>
              </w:rPr>
              <w:t>度</w:t>
            </w:r>
          </w:p>
        </w:tc>
      </w:tr>
    </w:tbl>
    <w:p>
      <w:pPr>
        <w:ind w:firstLine="400" w:firstLineChars="167"/>
        <w:rPr>
          <w:rFonts w:cs="Times New Roman"/>
        </w:rPr>
      </w:pPr>
    </w:p>
    <w:p>
      <w:pPr>
        <w:pStyle w:val="6"/>
        <w:rPr>
          <w:rFonts w:cs="Times New Roman"/>
        </w:rPr>
      </w:pPr>
      <w:bookmarkStart w:id="910" w:name="_Toc438650866"/>
      <w:r>
        <w:rPr>
          <w:rFonts w:cs="Times New Roman"/>
        </w:rPr>
        <w:t>抗震加固设计参数</w:t>
      </w:r>
    </w:p>
    <w:bookmarkEnd w:id="910"/>
    <w:p>
      <w:pPr>
        <w:ind w:firstLine="480"/>
        <w:rPr>
          <w:rFonts w:cs="Times New Roman"/>
        </w:rPr>
      </w:pPr>
      <w:bookmarkStart w:id="911" w:name="_Toc438650868"/>
      <w:r>
        <w:rPr>
          <w:rFonts w:cs="Times New Roman"/>
        </w:rPr>
        <w:t>设备重要度系数、设备对楼面的反应系数、水平地震影响系数等，按照规范YD 5059-2005《电信设备安装抗震设计规范》第4章公式 4.1.1-1 取用，具体如下表：</w:t>
      </w:r>
    </w:p>
    <w:p>
      <w:pPr>
        <w:pStyle w:val="603"/>
        <w:ind w:firstLine="36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-4  </w:t>
      </w:r>
      <w:r>
        <w:rPr>
          <w:rFonts w:cs="Times New Roman"/>
          <w:shd w:val="clear" w:color="auto" w:fill="FFFFFF"/>
        </w:rPr>
        <w:t>设备重要度系数</w:t>
      </w:r>
      <w:r>
        <w:rPr>
          <w:rFonts w:cs="Times New Roman"/>
          <w:shd w:val="clear" w:color="auto" w:fill="FFFFFF"/>
        </w:rPr>
        <w:object>
          <v:shape id="_x0000_i1039" o:spt="75" type="#_x0000_t75" style="height:10.5pt;width:10.5pt;" o:ole="t" filled="f" o:preferrelative="t" stroked="f" coordsize="21600,21600">
            <v:path/>
            <v:fill on="f" focussize="0,0"/>
            <v:stroke on="f" joinstyle="miter"/>
            <v:imagedata r:id="rId55" o:title=""/>
            <o:lock v:ext="edit" aspectratio="t"/>
            <w10:wrap type="none"/>
            <w10:anchorlock/>
          </v:shape>
          <o:OLEObject Type="Embed" ProgID="Equation.3" ShapeID="_x0000_i1039" DrawAspect="Content" ObjectID="_1468075739" r:id="rId54">
            <o:LockedField>false</o:LockedField>
          </o:OLEObject>
        </w:object>
      </w:r>
    </w:p>
    <w:tbl>
      <w:tblPr>
        <w:tblStyle w:val="6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2130" w:type="dxa"/>
            <w:tcBorders>
              <w:top w:val="single" w:color="auto" w:sz="4" w:space="0"/>
              <w:left w:val="single" w:color="auto" w:sz="4" w:space="0"/>
              <w:bottom w:val="single" w:color="auto" w:sz="4" w:space="0"/>
              <w:right w:val="single" w:color="auto" w:sz="4" w:space="0"/>
            </w:tcBorders>
          </w:tcPr>
          <w:p>
            <w:pPr>
              <w:pStyle w:val="290"/>
            </w:pPr>
            <w:r>
              <w:t>设备种类</w:t>
            </w:r>
          </w:p>
        </w:tc>
        <w:tc>
          <w:tcPr>
            <w:tcW w:w="2130" w:type="dxa"/>
            <w:tcBorders>
              <w:top w:val="single" w:color="auto" w:sz="4" w:space="0"/>
              <w:left w:val="single" w:color="auto" w:sz="4" w:space="0"/>
              <w:bottom w:val="single" w:color="auto" w:sz="4" w:space="0"/>
              <w:right w:val="single" w:color="auto" w:sz="4" w:space="0"/>
            </w:tcBorders>
            <w:vAlign w:val="center"/>
          </w:tcPr>
          <w:p>
            <w:pPr>
              <w:pStyle w:val="290"/>
            </w:pPr>
            <w:r>
              <w:t>省级中心及以上</w:t>
            </w:r>
          </w:p>
        </w:tc>
        <w:tc>
          <w:tcPr>
            <w:tcW w:w="2131" w:type="dxa"/>
            <w:tcBorders>
              <w:top w:val="single" w:color="auto" w:sz="4" w:space="0"/>
              <w:left w:val="single" w:color="auto" w:sz="4" w:space="0"/>
              <w:bottom w:val="single" w:color="auto" w:sz="4" w:space="0"/>
              <w:right w:val="single" w:color="auto" w:sz="4" w:space="0"/>
            </w:tcBorders>
            <w:vAlign w:val="center"/>
          </w:tcPr>
          <w:p>
            <w:pPr>
              <w:pStyle w:val="290"/>
            </w:pPr>
            <w:r>
              <w:t>地区级</w:t>
            </w:r>
          </w:p>
        </w:tc>
        <w:tc>
          <w:tcPr>
            <w:tcW w:w="2131" w:type="dxa"/>
            <w:tcBorders>
              <w:top w:val="single" w:color="auto" w:sz="4" w:space="0"/>
              <w:left w:val="single" w:color="auto" w:sz="4" w:space="0"/>
              <w:bottom w:val="single" w:color="auto" w:sz="4" w:space="0"/>
              <w:right w:val="single" w:color="auto" w:sz="4" w:space="0"/>
            </w:tcBorders>
            <w:vAlign w:val="center"/>
          </w:tcPr>
          <w:p>
            <w:pPr>
              <w:pStyle w:val="290"/>
            </w:pPr>
            <w:r>
              <w:t>县级及以下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30" w:type="dxa"/>
            <w:tcBorders>
              <w:top w:val="single" w:color="auto" w:sz="4" w:space="0"/>
              <w:left w:val="single" w:color="auto" w:sz="4" w:space="0"/>
              <w:bottom w:val="single" w:color="auto" w:sz="4" w:space="0"/>
              <w:right w:val="single" w:color="auto" w:sz="4" w:space="0"/>
            </w:tcBorders>
          </w:tcPr>
          <w:p>
            <w:pPr>
              <w:pStyle w:val="290"/>
            </w:pPr>
            <w:r>
              <w:t>通信设备</w:t>
            </w:r>
          </w:p>
        </w:tc>
        <w:tc>
          <w:tcPr>
            <w:tcW w:w="2130" w:type="dxa"/>
            <w:tcBorders>
              <w:top w:val="single" w:color="auto" w:sz="4" w:space="0"/>
              <w:left w:val="single" w:color="auto" w:sz="4" w:space="0"/>
              <w:bottom w:val="single" w:color="auto" w:sz="4" w:space="0"/>
              <w:right w:val="single" w:color="auto" w:sz="4" w:space="0"/>
            </w:tcBorders>
          </w:tcPr>
          <w:p>
            <w:pPr>
              <w:pStyle w:val="290"/>
            </w:pPr>
            <w:r>
              <w:t>1.1</w:t>
            </w:r>
          </w:p>
        </w:tc>
        <w:tc>
          <w:tcPr>
            <w:tcW w:w="2131" w:type="dxa"/>
            <w:tcBorders>
              <w:top w:val="single" w:color="auto" w:sz="4" w:space="0"/>
              <w:left w:val="single" w:color="auto" w:sz="4" w:space="0"/>
              <w:bottom w:val="single" w:color="auto" w:sz="4" w:space="0"/>
              <w:right w:val="single" w:color="auto" w:sz="4" w:space="0"/>
            </w:tcBorders>
          </w:tcPr>
          <w:p>
            <w:pPr>
              <w:pStyle w:val="290"/>
            </w:pPr>
            <w:r>
              <w:t>1.0</w:t>
            </w:r>
          </w:p>
        </w:tc>
        <w:tc>
          <w:tcPr>
            <w:tcW w:w="2131" w:type="dxa"/>
            <w:tcBorders>
              <w:top w:val="single" w:color="auto" w:sz="4" w:space="0"/>
              <w:left w:val="single" w:color="auto" w:sz="4" w:space="0"/>
              <w:bottom w:val="single" w:color="auto" w:sz="4" w:space="0"/>
              <w:right w:val="single" w:color="auto" w:sz="4" w:space="0"/>
            </w:tcBorders>
          </w:tcPr>
          <w:p>
            <w:pPr>
              <w:pStyle w:val="290"/>
            </w:pPr>
            <w:r>
              <w:t>1.0</w:t>
            </w:r>
          </w:p>
        </w:tc>
      </w:tr>
    </w:tbl>
    <w:p>
      <w:pPr>
        <w:ind w:firstLine="480"/>
        <w:rPr>
          <w:rFonts w:cs="Times New Roman"/>
        </w:rPr>
      </w:pPr>
    </w:p>
    <w:p>
      <w:pPr>
        <w:ind w:firstLine="480"/>
        <w:rPr>
          <w:rFonts w:cs="Times New Roman"/>
        </w:rPr>
      </w:pPr>
      <w:r>
        <w:rPr>
          <w:rFonts w:cs="Times New Roman"/>
        </w:rPr>
        <w:t>设备对楼面的反应系数</w:t>
      </w:r>
      <w:r>
        <w:rPr>
          <w:rFonts w:cs="Times New Roman"/>
        </w:rPr>
        <w:object>
          <v:shape id="_x0000_i1040" o:spt="75" type="#_x0000_t75" style="height:20.25pt;width:10.5pt;" o:ole="t" filled="f" o:preferrelative="t" stroked="f" coordsize="21600,21600">
            <v:path/>
            <v:fill on="f" focussize="0,0"/>
            <v:stroke on="f" joinstyle="miter"/>
            <v:imagedata r:id="rId57" o:title=""/>
            <o:lock v:ext="edit" aspectratio="t"/>
            <w10:wrap type="none"/>
            <w10:anchorlock/>
          </v:shape>
          <o:OLEObject Type="Embed" ProgID="Equation.3" ShapeID="_x0000_i1040" DrawAspect="Content" ObjectID="_1468075740" r:id="rId56">
            <o:LockedField>false</o:LockedField>
          </o:OLEObject>
        </w:object>
      </w:r>
      <w:r>
        <w:rPr>
          <w:rFonts w:cs="Times New Roman"/>
        </w:rPr>
        <w:t>取2.5</w:t>
      </w:r>
      <w:r>
        <w:rPr>
          <w:rFonts w:cs="Times New Roman"/>
          <w:vertAlign w:val="superscript"/>
        </w:rPr>
        <w:t>注</w:t>
      </w:r>
      <w:r>
        <w:rPr>
          <w:rFonts w:cs="Times New Roman"/>
        </w:rPr>
        <w:t>，当实际工程中设备自振频率对应的反应系数大于2.5时，应根据计算附表重新确定计算结果。</w:t>
      </w:r>
    </w:p>
    <w:p>
      <w:pPr>
        <w:pStyle w:val="597"/>
        <w:ind w:left="630" w:hanging="630"/>
      </w:pPr>
      <w:r>
        <w:t>注：经工信部保定泰尔研究所确认，</w:t>
      </w:r>
      <w:r>
        <w:object>
          <v:shape id="_x0000_i1041" o:spt="75" type="#_x0000_t75" style="height:20.25pt;width:10.5pt;" o:ole="t" filled="f" o:preferrelative="t" stroked="f" coordsize="21600,21600">
            <v:path/>
            <v:fill on="f" focussize="0,0"/>
            <v:stroke on="f" joinstyle="miter"/>
            <v:imagedata r:id="rId57" o:title=""/>
            <o:lock v:ext="edit" aspectratio="t"/>
            <w10:wrap type="none"/>
            <w10:anchorlock/>
          </v:shape>
          <o:OLEObject Type="Embed" ProgID="Equation.3" ShapeID="_x0000_i1041" DrawAspect="Content" ObjectID="_1468075741" r:id="rId58">
            <o:LockedField>false</o:LockedField>
          </o:OLEObject>
        </w:object>
      </w:r>
      <w:r>
        <w:t>在计算时取值取2.5，可满足95%以上设备需求。</w:t>
      </w:r>
    </w:p>
    <w:p>
      <w:pPr>
        <w:ind w:firstLine="480"/>
        <w:rPr>
          <w:rFonts w:cs="Times New Roman"/>
        </w:rPr>
      </w:pPr>
      <w:r>
        <w:rPr>
          <w:rFonts w:cs="Times New Roman"/>
        </w:rPr>
        <w:t>设备参数：本期项目各类设备基本参数如下表所示：</w:t>
      </w:r>
    </w:p>
    <w:p>
      <w:pPr>
        <w:pStyle w:val="603"/>
        <w:ind w:firstLine="36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-5  </w:t>
      </w:r>
      <w:r>
        <w:rPr>
          <w:rFonts w:cs="Times New Roman"/>
          <w:shd w:val="clear" w:color="auto" w:fill="FFFFFF"/>
        </w:rPr>
        <w:t>本期工程设备抗震性能需求表</w:t>
      </w:r>
    </w:p>
    <w:tbl>
      <w:tblPr>
        <w:tblStyle w:val="63"/>
        <w:tblW w:w="8473" w:type="dxa"/>
        <w:tblInd w:w="0" w:type="dxa"/>
        <w:tblLayout w:type="fixed"/>
        <w:tblCellMar>
          <w:top w:w="0" w:type="dxa"/>
          <w:left w:w="108" w:type="dxa"/>
          <w:bottom w:w="0" w:type="dxa"/>
          <w:right w:w="108" w:type="dxa"/>
        </w:tblCellMar>
      </w:tblPr>
      <w:tblGrid>
        <w:gridCol w:w="720"/>
        <w:gridCol w:w="1373"/>
        <w:gridCol w:w="1595"/>
        <w:gridCol w:w="1595"/>
        <w:gridCol w:w="1595"/>
        <w:gridCol w:w="1595"/>
      </w:tblGrid>
      <w:tr>
        <w:tblPrEx>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序号</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color w:val="FF0000"/>
              </w:rPr>
              <w:t>设备名称</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宽(mm)</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深(mm)</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高(mm)</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color w:val="FF0000"/>
              </w:rPr>
              <w:t>重量(kg)</w:t>
            </w:r>
          </w:p>
        </w:tc>
      </w:tr>
      <w:tr>
        <w:tblPrEx>
          <w:tblCellMar>
            <w:top w:w="0" w:type="dxa"/>
            <w:left w:w="108" w:type="dxa"/>
            <w:bottom w:w="0" w:type="dxa"/>
            <w:right w:w="108" w:type="dxa"/>
          </w:tblCellMar>
        </w:tblPrEx>
        <w:trPr>
          <w:trHeight w:val="73"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color w:val="FF0000"/>
              </w:rPr>
              <w:t>1</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BBU6630</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482.5</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cs="Times New Roman"/>
                <w:color w:val="FF0000"/>
                <w:kern w:val="0"/>
                <w:sz w:val="20"/>
                <w:szCs w:val="20"/>
              </w:rPr>
            </w:pPr>
            <w:r>
              <w:rPr>
                <w:rFonts w:hint="eastAsia" w:cs="Times New Roman"/>
                <w:color w:val="FF0000"/>
                <w:kern w:val="0"/>
                <w:sz w:val="20"/>
                <w:szCs w:val="20"/>
              </w:rPr>
              <w:t>350</w:t>
            </w:r>
          </w:p>
        </w:tc>
        <w:tc>
          <w:tcPr>
            <w:tcW w:w="1595" w:type="dxa"/>
            <w:tcBorders>
              <w:top w:val="nil"/>
              <w:left w:val="nil"/>
              <w:bottom w:val="single" w:color="auto" w:sz="4" w:space="0"/>
              <w:right w:val="single" w:color="auto" w:sz="4" w:space="0"/>
            </w:tcBorders>
            <w:vAlign w:val="center"/>
          </w:tcPr>
          <w:p>
            <w:pPr>
              <w:widowControl/>
              <w:spacing w:line="240" w:lineRule="auto"/>
              <w:ind w:firstLine="0" w:firstLineChars="0"/>
              <w:jc w:val="center"/>
              <w:rPr>
                <w:rFonts w:cs="Times New Roman"/>
                <w:color w:val="FF0000"/>
                <w:kern w:val="0"/>
                <w:sz w:val="20"/>
                <w:szCs w:val="20"/>
              </w:rPr>
            </w:pPr>
            <w:r>
              <w:rPr>
                <w:rFonts w:hint="eastAsia" w:cs="Times New Roman"/>
                <w:color w:val="FF0000"/>
                <w:kern w:val="0"/>
                <w:sz w:val="20"/>
                <w:szCs w:val="20"/>
              </w:rPr>
              <w:t>44.5</w:t>
            </w:r>
          </w:p>
        </w:tc>
        <w:tc>
          <w:tcPr>
            <w:tcW w:w="1595" w:type="dxa"/>
            <w:tcBorders>
              <w:top w:val="nil"/>
              <w:left w:val="nil"/>
              <w:bottom w:val="single" w:color="auto" w:sz="4" w:space="0"/>
              <w:right w:val="single" w:color="auto" w:sz="4" w:space="0"/>
            </w:tcBorders>
            <w:vAlign w:val="center"/>
          </w:tcPr>
          <w:p>
            <w:pPr>
              <w:pStyle w:val="290"/>
              <w:rPr>
                <w:color w:val="FF0000"/>
              </w:rPr>
            </w:pPr>
            <w:r>
              <w:rPr>
                <w:rFonts w:hint="eastAsia"/>
                <w:color w:val="FF0000"/>
              </w:rPr>
              <w:t>6.5</w:t>
            </w:r>
          </w:p>
        </w:tc>
      </w:tr>
      <w:tr>
        <w:tblPrEx>
          <w:tblCellMar>
            <w:top w:w="0" w:type="dxa"/>
            <w:left w:w="108" w:type="dxa"/>
            <w:bottom w:w="0" w:type="dxa"/>
            <w:right w:w="108" w:type="dxa"/>
          </w:tblCellMar>
        </w:tblPrEx>
        <w:trPr>
          <w:trHeight w:val="73"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2</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AAS6488</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520</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238</w:t>
            </w:r>
          </w:p>
        </w:tc>
        <w:tc>
          <w:tcPr>
            <w:tcW w:w="1595" w:type="dxa"/>
            <w:tcBorders>
              <w:top w:val="nil"/>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893</w:t>
            </w:r>
          </w:p>
        </w:tc>
        <w:tc>
          <w:tcPr>
            <w:tcW w:w="1595" w:type="dxa"/>
            <w:tcBorders>
              <w:top w:val="nil"/>
              <w:left w:val="nil"/>
              <w:bottom w:val="single" w:color="auto" w:sz="4" w:space="0"/>
              <w:right w:val="single" w:color="auto" w:sz="4" w:space="0"/>
            </w:tcBorders>
            <w:vAlign w:val="center"/>
          </w:tcPr>
          <w:p>
            <w:pPr>
              <w:pStyle w:val="290"/>
              <w:rPr>
                <w:color w:val="FF0000"/>
              </w:rPr>
            </w:pPr>
            <w:r>
              <w:rPr>
                <w:rFonts w:hint="eastAsia"/>
                <w:color w:val="FF0000"/>
              </w:rPr>
              <w:t>46</w:t>
            </w:r>
          </w:p>
        </w:tc>
      </w:tr>
      <w:tr>
        <w:tblPrEx>
          <w:tblCellMar>
            <w:top w:w="0" w:type="dxa"/>
            <w:left w:w="108" w:type="dxa"/>
            <w:bottom w:w="0" w:type="dxa"/>
            <w:right w:w="108" w:type="dxa"/>
          </w:tblCellMar>
        </w:tblPrEx>
        <w:trPr>
          <w:trHeight w:val="73"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3</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AAS6454</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543</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241</w:t>
            </w:r>
          </w:p>
        </w:tc>
        <w:tc>
          <w:tcPr>
            <w:tcW w:w="1595" w:type="dxa"/>
            <w:tcBorders>
              <w:top w:val="nil"/>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1008</w:t>
            </w:r>
          </w:p>
        </w:tc>
        <w:tc>
          <w:tcPr>
            <w:tcW w:w="1595" w:type="dxa"/>
            <w:tcBorders>
              <w:top w:val="nil"/>
              <w:left w:val="nil"/>
              <w:bottom w:val="single" w:color="auto" w:sz="4" w:space="0"/>
              <w:right w:val="single" w:color="auto" w:sz="4" w:space="0"/>
            </w:tcBorders>
            <w:vAlign w:val="center"/>
          </w:tcPr>
          <w:p>
            <w:pPr>
              <w:pStyle w:val="290"/>
              <w:rPr>
                <w:color w:val="FF0000"/>
              </w:rPr>
            </w:pPr>
            <w:r>
              <w:rPr>
                <w:rFonts w:hint="eastAsia"/>
                <w:color w:val="FF0000"/>
              </w:rPr>
              <w:t>47</w:t>
            </w:r>
          </w:p>
        </w:tc>
      </w:tr>
      <w:tr>
        <w:tblPrEx>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1</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BBU5900</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442</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310</w:t>
            </w:r>
          </w:p>
        </w:tc>
        <w:tc>
          <w:tcPr>
            <w:tcW w:w="1595" w:type="dxa"/>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86</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18</w:t>
            </w:r>
          </w:p>
        </w:tc>
      </w:tr>
      <w:tr>
        <w:tblPrEx>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2</w:t>
            </w:r>
          </w:p>
        </w:tc>
        <w:tc>
          <w:tcPr>
            <w:tcW w:w="1373" w:type="dxa"/>
            <w:tcBorders>
              <w:top w:val="single" w:color="auto" w:sz="4" w:space="0"/>
              <w:left w:val="single" w:color="auto" w:sz="4" w:space="0"/>
              <w:bottom w:val="single" w:color="auto" w:sz="4" w:space="0"/>
              <w:right w:val="single" w:color="auto" w:sz="4" w:space="0"/>
            </w:tcBorders>
          </w:tcPr>
          <w:p>
            <w:pPr>
              <w:pStyle w:val="290"/>
              <w:rPr>
                <w:color w:val="FF0000"/>
              </w:rPr>
            </w:pPr>
            <w:r>
              <w:rPr>
                <w:rFonts w:hint="eastAsia"/>
                <w:color w:val="FF0000"/>
              </w:rPr>
              <w:t>AAU5619</w:t>
            </w:r>
          </w:p>
        </w:tc>
        <w:tc>
          <w:tcPr>
            <w:tcW w:w="1595"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r>
              <w:rPr>
                <w:rFonts w:hint="eastAsia"/>
                <w:color w:val="FF0000"/>
              </w:rPr>
              <w:t>470</w:t>
            </w:r>
          </w:p>
        </w:tc>
        <w:tc>
          <w:tcPr>
            <w:tcW w:w="15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195</w:t>
            </w:r>
          </w:p>
        </w:tc>
        <w:tc>
          <w:tcPr>
            <w:tcW w:w="1595" w:type="dxa"/>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color w:val="FF0000"/>
                <w:kern w:val="0"/>
                <w:sz w:val="20"/>
                <w:szCs w:val="20"/>
              </w:rPr>
            </w:pPr>
            <w:r>
              <w:rPr>
                <w:rFonts w:hint="eastAsia" w:cs="Times New Roman"/>
                <w:color w:val="FF0000"/>
                <w:kern w:val="0"/>
                <w:sz w:val="20"/>
                <w:szCs w:val="20"/>
              </w:rPr>
              <w:t>965</w:t>
            </w:r>
          </w:p>
        </w:tc>
        <w:tc>
          <w:tcPr>
            <w:tcW w:w="1595" w:type="dxa"/>
            <w:tcBorders>
              <w:top w:val="single" w:color="auto" w:sz="4" w:space="0"/>
              <w:left w:val="nil"/>
              <w:bottom w:val="single" w:color="auto" w:sz="4" w:space="0"/>
              <w:right w:val="single" w:color="auto" w:sz="4" w:space="0"/>
            </w:tcBorders>
            <w:vAlign w:val="center"/>
          </w:tcPr>
          <w:p>
            <w:pPr>
              <w:pStyle w:val="290"/>
              <w:rPr>
                <w:color w:val="FF0000"/>
              </w:rPr>
            </w:pPr>
            <w:r>
              <w:rPr>
                <w:rFonts w:hint="eastAsia"/>
                <w:color w:val="FF0000"/>
              </w:rPr>
              <w:t>40</w:t>
            </w:r>
          </w:p>
        </w:tc>
      </w:tr>
    </w:tbl>
    <w:p>
      <w:pPr>
        <w:ind w:firstLine="480"/>
        <w:rPr>
          <w:rFonts w:cs="Times New Roman"/>
        </w:rPr>
      </w:pPr>
      <w:r>
        <w:rPr>
          <w:rFonts w:cs="Times New Roman"/>
        </w:rPr>
        <w:t>地震影响系数最大值</w:t>
      </w:r>
      <w:r>
        <w:rPr>
          <w:rFonts w:cs="Times New Roman"/>
        </w:rPr>
        <w:object>
          <v:shape id="_x0000_i1042" o:spt="75" type="#_x0000_t75" style="height:20.25pt;width:25.5pt;" o:ole="t" filled="f" o:preferrelative="t" stroked="f" coordsize="21600,21600">
            <v:path/>
            <v:fill on="f" focussize="0,0"/>
            <v:stroke on="f" joinstyle="miter"/>
            <v:imagedata r:id="rId60" o:title=""/>
            <o:lock v:ext="edit" aspectratio="t"/>
            <w10:wrap type="none"/>
            <w10:anchorlock/>
          </v:shape>
          <o:OLEObject Type="Embed" ProgID="Equation.3" ShapeID="_x0000_i1042" DrawAspect="Content" ObjectID="_1468075742" r:id="rId59">
            <o:LockedField>false</o:LockedField>
          </o:OLEObject>
        </w:object>
      </w:r>
      <w:r>
        <w:rPr>
          <w:rFonts w:cs="Times New Roman"/>
        </w:rPr>
        <w:t>，按下表取定。</w:t>
      </w:r>
    </w:p>
    <w:p>
      <w:pPr>
        <w:pStyle w:val="603"/>
        <w:ind w:firstLine="36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-6  </w:t>
      </w:r>
      <w:r>
        <w:rPr>
          <w:rFonts w:cs="Times New Roman"/>
          <w:shd w:val="clear" w:color="auto" w:fill="FFFFFF"/>
        </w:rPr>
        <w:t>水平地震影响系数最大值</w:t>
      </w:r>
      <w:r>
        <w:rPr>
          <w:rFonts w:cs="Times New Roman"/>
          <w:shd w:val="clear" w:color="auto" w:fill="FFFFFF"/>
        </w:rPr>
        <w:object>
          <v:shape id="_x0000_i1043" o:spt="75" type="#_x0000_t75" style="height:20.25pt;width:25.5pt;" o:ole="t" filled="f" o:preferrelative="t" stroked="f" coordsize="21600,21600">
            <v:path/>
            <v:fill on="f" focussize="0,0"/>
            <v:stroke on="f" joinstyle="miter"/>
            <v:imagedata r:id="rId60" o:title=""/>
            <o:lock v:ext="edit" aspectratio="t"/>
            <w10:wrap type="none"/>
            <w10:anchorlock/>
          </v:shape>
          <o:OLEObject Type="Embed" ProgID="Equation.3" ShapeID="_x0000_i1043" DrawAspect="Content" ObjectID="_1468075743" r:id="rId61">
            <o:LockedField>false</o:LockedField>
          </o:OLEObject>
        </w:object>
      </w:r>
    </w:p>
    <w:tbl>
      <w:tblPr>
        <w:tblStyle w:val="63"/>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50"/>
        <w:gridCol w:w="1115"/>
        <w:gridCol w:w="2221"/>
        <w:gridCol w:w="2221"/>
        <w:gridCol w:w="1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8" w:hRule="exact"/>
          <w:tblHeader/>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地震影响</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6度</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7度</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8度</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9度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7" w:hRule="exact"/>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多遇地震</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0.04</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0.08(0.12)</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0.16(0.24)</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3" w:hRule="exact"/>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设防地震</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0.12</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0.23(0.34)</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0.45(0.68)</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exact"/>
        </w:trPr>
        <w:tc>
          <w:tcPr>
            <w:tcW w:w="1850" w:type="dxa"/>
            <w:tcBorders>
              <w:top w:val="single" w:color="000000" w:sz="4" w:space="0"/>
              <w:left w:val="single" w:color="000000" w:sz="4" w:space="0"/>
              <w:bottom w:val="single" w:color="000000" w:sz="4" w:space="0"/>
              <w:right w:val="single" w:color="000000" w:sz="4" w:space="0"/>
            </w:tcBorders>
            <w:vAlign w:val="center"/>
          </w:tcPr>
          <w:p>
            <w:pPr>
              <w:pStyle w:val="290"/>
            </w:pPr>
            <w:r>
              <w:t>罕遇地震</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0.28</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0.5(0.72)</w:t>
            </w:r>
          </w:p>
        </w:tc>
        <w:tc>
          <w:tcPr>
            <w:tcW w:w="2221" w:type="dxa"/>
            <w:tcBorders>
              <w:top w:val="single" w:color="000000" w:sz="4" w:space="0"/>
              <w:left w:val="single" w:color="000000" w:sz="4" w:space="0"/>
              <w:bottom w:val="single" w:color="000000" w:sz="4" w:space="0"/>
              <w:right w:val="single" w:color="000000" w:sz="4" w:space="0"/>
            </w:tcBorders>
            <w:vAlign w:val="center"/>
          </w:tcPr>
          <w:p>
            <w:pPr>
              <w:pStyle w:val="290"/>
            </w:pPr>
            <w:r>
              <w:t>0.9(1.2)</w:t>
            </w:r>
          </w:p>
        </w:tc>
        <w:tc>
          <w:tcPr>
            <w:tcW w:w="1115" w:type="dxa"/>
            <w:tcBorders>
              <w:top w:val="single" w:color="000000" w:sz="4" w:space="0"/>
              <w:left w:val="single" w:color="000000" w:sz="4" w:space="0"/>
              <w:bottom w:val="single" w:color="000000" w:sz="4" w:space="0"/>
              <w:right w:val="single" w:color="000000" w:sz="4" w:space="0"/>
            </w:tcBorders>
            <w:vAlign w:val="center"/>
          </w:tcPr>
          <w:p>
            <w:pPr>
              <w:pStyle w:val="290"/>
            </w:pPr>
            <w:r>
              <w:t>1.4</w:t>
            </w:r>
          </w:p>
        </w:tc>
      </w:tr>
    </w:tbl>
    <w:p>
      <w:pPr>
        <w:ind w:firstLine="480"/>
        <w:rPr>
          <w:rFonts w:cs="Times New Roman"/>
        </w:rPr>
      </w:pPr>
      <w:r>
        <w:rPr>
          <w:rFonts w:cs="Times New Roman"/>
        </w:rPr>
        <w:t>设计中按照设防地震进行计算。</w:t>
      </w:r>
    </w:p>
    <w:p>
      <w:pPr>
        <w:ind w:firstLine="480"/>
        <w:rPr>
          <w:rFonts w:cs="Times New Roman"/>
        </w:rPr>
      </w:pPr>
      <w:r>
        <w:rPr>
          <w:rFonts w:cs="Times New Roman"/>
        </w:rPr>
        <w:t>锚栓受力，根据规范JGJ 145-2013《混凝土结构后锚固技术规程》第6.1节及6.2选取参数并计算。</w:t>
      </w:r>
    </w:p>
    <w:p>
      <w:pPr>
        <w:ind w:firstLine="480"/>
        <w:rPr>
          <w:rFonts w:cs="Times New Roman"/>
        </w:rPr>
      </w:pPr>
      <w:r>
        <w:rPr>
          <w:rFonts w:cs="Times New Roman"/>
        </w:rPr>
        <w:t>基材受力，根据JGJ 145-2013《混凝土结构后锚固技术规程》第6.3节选取参数并计算。</w:t>
      </w:r>
    </w:p>
    <w:p>
      <w:pPr>
        <w:pStyle w:val="6"/>
        <w:rPr>
          <w:rFonts w:cs="Times New Roman"/>
        </w:rPr>
      </w:pPr>
      <w:bookmarkStart w:id="912" w:name="_Toc438650867"/>
      <w:r>
        <w:rPr>
          <w:rFonts w:cs="Times New Roman"/>
        </w:rPr>
        <w:t>抗震加固设计计算方法</w:t>
      </w:r>
      <w:bookmarkEnd w:id="912"/>
    </w:p>
    <w:p>
      <w:pPr>
        <w:ind w:firstLine="240" w:firstLineChars="100"/>
        <w:rPr>
          <w:rFonts w:cs="Times New Roman"/>
        </w:rPr>
      </w:pPr>
      <w:r>
        <w:rPr>
          <w:rFonts w:cs="Times New Roman"/>
        </w:rPr>
        <w:t>（1）设备的水平地震作用，按照规范YD 5059-2005《电信设备安装抗震设计规范》第4章相关要求计算。</w:t>
      </w:r>
    </w:p>
    <w:p>
      <w:pPr>
        <w:ind w:firstLine="480"/>
        <w:rPr>
          <w:rFonts w:cs="Times New Roman"/>
        </w:rPr>
      </w:pPr>
      <w:r>
        <w:rPr>
          <w:rFonts w:cs="Times New Roman"/>
          <w:position w:val="-24"/>
        </w:rPr>
        <w:object>
          <v:shape id="_x0000_i1044" o:spt="75" type="#_x0000_t75" style="height:30.75pt;width:128.25pt;" o:ole="t" filled="f" o:preferrelative="t" stroked="f" coordsize="21600,21600">
            <v:path/>
            <v:fill on="f" focussize="0,0"/>
            <v:stroke on="f" joinstyle="miter"/>
            <v:imagedata r:id="rId63" o:title=""/>
            <o:lock v:ext="edit" aspectratio="t"/>
            <w10:wrap type="none"/>
            <w10:anchorlock/>
          </v:shape>
          <o:OLEObject Type="Embed" ProgID="Equation.3" ShapeID="_x0000_i1044" DrawAspect="Content" ObjectID="_1468075744" r:id="rId62">
            <o:LockedField>false</o:LockedField>
          </o:OLEObject>
        </w:object>
      </w:r>
    </w:p>
    <w:p>
      <w:pPr>
        <w:ind w:firstLine="480"/>
        <w:rPr>
          <w:rFonts w:cs="Times New Roman"/>
        </w:rPr>
      </w:pPr>
      <w:r>
        <w:rPr>
          <w:rFonts w:cs="Times New Roman"/>
        </w:rPr>
        <w:t>式中：</w:t>
      </w:r>
      <w:r>
        <w:rPr>
          <w:rFonts w:cs="Times New Roman"/>
        </w:rPr>
        <w:object>
          <v:shape id="_x0000_i1045" o:spt="75" type="#_x0000_t75" style="height:20.25pt;width:20.25pt;" o:ole="t" filled="f" o:preferrelative="t" stroked="f" coordsize="21600,21600">
            <v:path/>
            <v:fill on="f" focussize="0,0"/>
            <v:stroke on="f" joinstyle="miter"/>
            <v:imagedata r:id="rId65" o:title=""/>
            <o:lock v:ext="edit" aspectratio="t"/>
            <w10:wrap type="none"/>
            <w10:anchorlock/>
          </v:shape>
          <o:OLEObject Type="Embed" ProgID="Equation.3" ShapeID="_x0000_i1045" DrawAspect="Content" ObjectID="_1468075745" r:id="rId64">
            <o:LockedField>false</o:LockedField>
          </o:OLEObject>
        </w:object>
      </w:r>
      <w:r>
        <w:rPr>
          <w:rFonts w:cs="Times New Roman"/>
        </w:rPr>
        <w:t>－水平地震作用标准值(N)；</w:t>
      </w:r>
    </w:p>
    <w:p>
      <w:pPr>
        <w:ind w:firstLine="480"/>
        <w:rPr>
          <w:rFonts w:cs="Times New Roman"/>
        </w:rPr>
      </w:pPr>
      <w:r>
        <w:rPr>
          <w:rFonts w:cs="Times New Roman"/>
        </w:rPr>
        <w:drawing>
          <wp:inline distT="0" distB="0" distL="0" distR="0">
            <wp:extent cx="144780" cy="1447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44780" cy="144780"/>
                    </a:xfrm>
                    <a:prstGeom prst="rect">
                      <a:avLst/>
                    </a:prstGeom>
                    <a:noFill/>
                    <a:ln>
                      <a:noFill/>
                    </a:ln>
                  </pic:spPr>
                </pic:pic>
              </a:graphicData>
            </a:graphic>
          </wp:inline>
        </w:drawing>
      </w:r>
      <w:r>
        <w:rPr>
          <w:rFonts w:cs="Times New Roman"/>
        </w:rPr>
        <w:t>－相应于建筑物基本自振周期的水平地震影响系数；</w:t>
      </w:r>
    </w:p>
    <w:p>
      <w:pPr>
        <w:ind w:firstLine="480"/>
        <w:rPr>
          <w:rFonts w:cs="Times New Roman"/>
        </w:rPr>
      </w:pPr>
      <w:r>
        <w:rPr>
          <w:rFonts w:cs="Times New Roman"/>
        </w:rPr>
        <w:drawing>
          <wp:inline distT="0" distB="0" distL="0" distR="0">
            <wp:extent cx="144780" cy="2133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44780" cy="213360"/>
                    </a:xfrm>
                    <a:prstGeom prst="rect">
                      <a:avLst/>
                    </a:prstGeom>
                    <a:noFill/>
                    <a:ln>
                      <a:noFill/>
                    </a:ln>
                  </pic:spPr>
                </pic:pic>
              </a:graphicData>
            </a:graphic>
          </wp:inline>
        </w:drawing>
      </w:r>
      <w:r>
        <w:rPr>
          <w:rFonts w:cs="Times New Roman"/>
        </w:rPr>
        <w:t>－设备重要度系数；</w:t>
      </w:r>
    </w:p>
    <w:p>
      <w:pPr>
        <w:ind w:firstLine="480"/>
        <w:rPr>
          <w:rFonts w:cs="Times New Roman"/>
        </w:rPr>
      </w:pPr>
      <w:r>
        <w:rPr>
          <w:rFonts w:cs="Times New Roman"/>
        </w:rPr>
        <w:drawing>
          <wp:inline distT="0" distB="0" distL="0" distR="0">
            <wp:extent cx="182880" cy="2133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82880" cy="213360"/>
                    </a:xfrm>
                    <a:prstGeom prst="rect">
                      <a:avLst/>
                    </a:prstGeom>
                    <a:noFill/>
                    <a:ln>
                      <a:noFill/>
                    </a:ln>
                  </pic:spPr>
                </pic:pic>
              </a:graphicData>
            </a:graphic>
          </wp:inline>
        </w:drawing>
      </w:r>
      <w:r>
        <w:rPr>
          <w:rFonts w:cs="Times New Roman"/>
        </w:rPr>
        <w:t>－设备对楼面的反应系数；</w:t>
      </w:r>
    </w:p>
    <w:p>
      <w:pPr>
        <w:ind w:firstLine="480"/>
        <w:rPr>
          <w:rFonts w:cs="Times New Roman"/>
        </w:rPr>
      </w:pPr>
      <w:r>
        <w:rPr>
          <w:rFonts w:cs="Times New Roman"/>
        </w:rPr>
        <w:t>G－设备等效总重力荷载，可取其重力荷载代表值的75%(N)；</w:t>
      </w:r>
    </w:p>
    <w:p>
      <w:pPr>
        <w:ind w:firstLine="480"/>
        <w:rPr>
          <w:rFonts w:cs="Times New Roman"/>
        </w:rPr>
      </w:pPr>
      <w:r>
        <w:rPr>
          <w:rFonts w:cs="Times New Roman"/>
        </w:rPr>
        <w:t>h－设备所在楼面的地上高度(m)；</w:t>
      </w:r>
    </w:p>
    <w:p>
      <w:pPr>
        <w:ind w:firstLine="480"/>
        <w:rPr>
          <w:rFonts w:cs="Times New Roman"/>
        </w:rPr>
      </w:pPr>
      <w:r>
        <w:rPr>
          <w:rFonts w:cs="Times New Roman"/>
        </w:rPr>
        <w:t>H－建筑物地上总高度(m)。</w:t>
      </w:r>
    </w:p>
    <w:p>
      <w:pPr>
        <w:ind w:firstLine="199" w:firstLineChars="83"/>
        <w:rPr>
          <w:rFonts w:cs="Times New Roman"/>
        </w:rPr>
      </w:pPr>
      <w:r>
        <w:rPr>
          <w:rFonts w:cs="Times New Roman"/>
        </w:rPr>
        <w:t>（2）锚栓实际受力</w:t>
      </w:r>
    </w:p>
    <w:p>
      <w:pPr>
        <w:ind w:firstLine="480"/>
        <w:rPr>
          <w:rFonts w:cs="Times New Roman"/>
        </w:rPr>
      </w:pPr>
      <w:r>
        <w:rPr>
          <w:rFonts w:cs="Times New Roman"/>
        </w:rPr>
        <w:t>按照规范YD 5059-2005《电信设备安装抗震设计规范》第4章相关要求计算。</w:t>
      </w:r>
    </w:p>
    <w:p>
      <w:pPr>
        <w:ind w:firstLine="199" w:firstLineChars="83"/>
        <w:rPr>
          <w:rFonts w:cs="Times New Roman"/>
        </w:rPr>
      </w:pPr>
      <w:r>
        <w:rPr>
          <w:rFonts w:cs="Times New Roman"/>
        </w:rPr>
        <w:t>（3）锚栓钢材的承载力验算</w:t>
      </w:r>
    </w:p>
    <w:p>
      <w:pPr>
        <w:ind w:firstLine="480"/>
        <w:rPr>
          <w:rFonts w:cs="Times New Roman"/>
        </w:rPr>
      </w:pPr>
      <w:r>
        <w:rPr>
          <w:rFonts w:cs="Times New Roman"/>
        </w:rPr>
        <w:t>根据规范JGJ 145-2013《混凝土结构后锚固技术规程》第6章提供的验算方法进行验算。</w:t>
      </w:r>
    </w:p>
    <w:p>
      <w:pPr>
        <w:ind w:firstLine="199" w:firstLineChars="83"/>
        <w:rPr>
          <w:rFonts w:cs="Times New Roman"/>
        </w:rPr>
      </w:pPr>
      <w:r>
        <w:rPr>
          <w:rFonts w:cs="Times New Roman"/>
        </w:rPr>
        <w:t>（4）基材受力验算</w:t>
      </w:r>
    </w:p>
    <w:p>
      <w:pPr>
        <w:ind w:firstLine="480"/>
        <w:rPr>
          <w:rFonts w:cs="Times New Roman"/>
        </w:rPr>
      </w:pPr>
      <w:r>
        <w:rPr>
          <w:rFonts w:cs="Times New Roman"/>
        </w:rPr>
        <w:t>根据规范JGJ 145-2013《混凝土结构后锚固技术规程》第6章提供的验算方法进行验算。</w:t>
      </w:r>
    </w:p>
    <w:p>
      <w:pPr>
        <w:ind w:firstLine="480"/>
        <w:rPr>
          <w:rFonts w:cs="Times New Roman"/>
        </w:rPr>
      </w:pPr>
      <w:r>
        <w:rPr>
          <w:rFonts w:cs="Times New Roman"/>
        </w:rPr>
        <w:t>同时承受剪力和拉力的锚栓，应符合公式：</w:t>
      </w:r>
    </w:p>
    <w:p>
      <w:pPr>
        <w:ind w:firstLine="480"/>
        <w:rPr>
          <w:rFonts w:cs="Times New Roman"/>
        </w:rPr>
      </w:pPr>
      <w:r>
        <w:rPr>
          <w:rFonts w:cs="Times New Roman"/>
        </w:rPr>
        <w:object>
          <v:shape id="_x0000_i1046" o:spt="75" type="#_x0000_t75" style="height:41.25pt;width:108pt;" o:ole="t" filled="f" o:preferrelative="t" stroked="f" coordsize="21600,21600">
            <v:path/>
            <v:fill on="f" focussize="0,0"/>
            <v:stroke on="f" joinstyle="miter"/>
            <v:imagedata r:id="rId70" o:title=""/>
            <o:lock v:ext="edit" aspectratio="t"/>
            <w10:wrap type="none"/>
            <w10:anchorlock/>
          </v:shape>
          <o:OLEObject Type="Embed" ProgID="Equation.3" ShapeID="_x0000_i1046" DrawAspect="Content" ObjectID="_1468075746" r:id="rId69">
            <o:LockedField>false</o:LockedField>
          </o:OLEObject>
        </w:object>
      </w:r>
      <w:r>
        <w:rPr>
          <w:rFonts w:cs="Times New Roman"/>
        </w:rPr>
        <w:t>。</w:t>
      </w:r>
    </w:p>
    <w:p>
      <w:pPr>
        <w:pStyle w:val="6"/>
        <w:rPr>
          <w:rFonts w:cs="Times New Roman"/>
        </w:rPr>
      </w:pPr>
      <w:r>
        <w:rPr>
          <w:rFonts w:cs="Times New Roman"/>
        </w:rPr>
        <w:t>架式、台式、自立式、壁挂式电信设备安装抗震措施</w:t>
      </w:r>
    </w:p>
    <w:bookmarkEnd w:id="911"/>
    <w:p>
      <w:pPr>
        <w:ind w:firstLine="199" w:firstLineChars="83"/>
        <w:rPr>
          <w:rFonts w:cs="Times New Roman"/>
        </w:rPr>
      </w:pPr>
      <w:r>
        <w:rPr>
          <w:rFonts w:cs="Times New Roman"/>
        </w:rPr>
        <w:t>（1）抗震加固锚栓基本要求</w:t>
      </w:r>
    </w:p>
    <w:p>
      <w:pPr>
        <w:ind w:firstLine="480"/>
        <w:rPr>
          <w:rFonts w:cs="Times New Roman"/>
        </w:rPr>
      </w:pPr>
      <w:r>
        <w:rPr>
          <w:rFonts w:cs="Times New Roman"/>
        </w:rPr>
        <w:t>一般通信类设备抗震连接后锚固连接安全等级为一级，仅安装无线设备的基站设备抗震连接后锚固连接安全等级为二级。</w:t>
      </w:r>
    </w:p>
    <w:p>
      <w:pPr>
        <w:ind w:firstLine="480"/>
        <w:rPr>
          <w:rFonts w:cs="Times New Roman"/>
        </w:rPr>
      </w:pPr>
      <w:r>
        <w:rPr>
          <w:rFonts w:cs="Times New Roman"/>
        </w:rPr>
        <w:t>一般地（根据规范JGJ 145-2013《混凝土结构后锚固技术规程》第4.1.1条），锚栓应按下表受拉状态生命线工程选用。当局站位于三、四类场地或8度以上地区时，尚应由建筑结构专业人员进行复核。</w:t>
      </w:r>
    </w:p>
    <w:p>
      <w:pPr>
        <w:pStyle w:val="603"/>
        <w:ind w:firstLine="40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-7  </w:t>
      </w:r>
      <w:r>
        <w:rPr>
          <w:rFonts w:cs="Times New Roman"/>
          <w:shd w:val="clear" w:color="auto" w:fill="FFFFFF"/>
        </w:rPr>
        <w:t>锚栓用于非结构构件连接时的适用范围</w:t>
      </w:r>
    </w:p>
    <w:tbl>
      <w:tblPr>
        <w:tblStyle w:val="63"/>
        <w:tblW w:w="9192"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8"/>
        <w:gridCol w:w="709"/>
        <w:gridCol w:w="425"/>
        <w:gridCol w:w="567"/>
        <w:gridCol w:w="2410"/>
        <w:gridCol w:w="992"/>
        <w:gridCol w:w="1134"/>
        <w:gridCol w:w="992"/>
        <w:gridCol w:w="1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929" w:type="dxa"/>
            <w:gridSpan w:val="5"/>
            <w:vMerge w:val="restart"/>
            <w:tcBorders>
              <w:top w:val="single" w:color="auto" w:sz="4" w:space="0"/>
              <w:left w:val="single" w:color="auto" w:sz="4" w:space="0"/>
              <w:bottom w:val="single" w:color="auto" w:sz="4" w:space="0"/>
              <w:right w:val="single" w:color="auto" w:sz="4" w:space="0"/>
              <w:tl2br w:val="single" w:color="auto" w:sz="4" w:space="0"/>
            </w:tcBorders>
          </w:tcPr>
          <w:p>
            <w:pPr>
              <w:pStyle w:val="290"/>
            </w:pPr>
          </w:p>
          <w:p>
            <w:pPr>
              <w:pStyle w:val="290"/>
            </w:pPr>
            <w:r>
              <w:t xml:space="preserve">锚栓受力状态 </w:t>
            </w:r>
          </w:p>
          <w:p>
            <w:pPr>
              <w:pStyle w:val="290"/>
            </w:pPr>
          </w:p>
          <w:p>
            <w:pPr>
              <w:pStyle w:val="290"/>
            </w:pPr>
            <w:r>
              <w:t>锚栓类型</w:t>
            </w:r>
          </w:p>
        </w:tc>
        <w:tc>
          <w:tcPr>
            <w:tcW w:w="2126" w:type="dxa"/>
            <w:gridSpan w:val="2"/>
            <w:tcBorders>
              <w:top w:val="single" w:color="auto" w:sz="4" w:space="0"/>
              <w:left w:val="single" w:color="auto" w:sz="4" w:space="0"/>
              <w:bottom w:val="single" w:color="auto" w:sz="4" w:space="0"/>
              <w:right w:val="single" w:color="auto" w:sz="4" w:space="0"/>
            </w:tcBorders>
          </w:tcPr>
          <w:p>
            <w:pPr>
              <w:pStyle w:val="290"/>
            </w:pPr>
            <w:r>
              <w:t>受拉、边缘受剪和拉剪复合受力（抗震烈度</w:t>
            </w:r>
            <w:r>
              <w:rPr>
                <w:rFonts w:hint="eastAsia" w:ascii="宋体" w:hAnsi="宋体" w:cs="宋体"/>
              </w:rPr>
              <w:t>≦</w:t>
            </w:r>
            <w:r>
              <w:t>8度）</w:t>
            </w:r>
          </w:p>
        </w:tc>
        <w:tc>
          <w:tcPr>
            <w:tcW w:w="2137" w:type="dxa"/>
            <w:gridSpan w:val="2"/>
            <w:tcBorders>
              <w:top w:val="single" w:color="auto" w:sz="4" w:space="0"/>
              <w:left w:val="single" w:color="auto" w:sz="4" w:space="0"/>
              <w:bottom w:val="single" w:color="auto" w:sz="4" w:space="0"/>
              <w:right w:val="single" w:color="auto" w:sz="4" w:space="0"/>
            </w:tcBorders>
          </w:tcPr>
          <w:p>
            <w:pPr>
              <w:pStyle w:val="290"/>
            </w:pPr>
            <w:r>
              <w:t>受压、中心受剪和压剪复合受力（抗震烈度</w:t>
            </w:r>
            <w:r>
              <w:rPr>
                <w:rFonts w:hint="eastAsia" w:ascii="宋体" w:hAnsi="宋体" w:cs="宋体"/>
              </w:rPr>
              <w:t>≦</w:t>
            </w:r>
            <w:r>
              <w:t>8度）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blHeader/>
        </w:trPr>
        <w:tc>
          <w:tcPr>
            <w:tcW w:w="4929" w:type="dxa"/>
            <w:gridSpan w:val="5"/>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992" w:type="dxa"/>
            <w:tcBorders>
              <w:top w:val="single" w:color="auto" w:sz="4" w:space="0"/>
              <w:left w:val="single" w:color="auto" w:sz="4" w:space="0"/>
              <w:bottom w:val="single" w:color="auto" w:sz="4" w:space="0"/>
              <w:right w:val="single" w:color="auto" w:sz="4" w:space="0"/>
            </w:tcBorders>
          </w:tcPr>
          <w:p>
            <w:pPr>
              <w:pStyle w:val="290"/>
            </w:pPr>
            <w:r>
              <w:t>生命线工程</w:t>
            </w:r>
          </w:p>
        </w:tc>
        <w:tc>
          <w:tcPr>
            <w:tcW w:w="1134" w:type="dxa"/>
            <w:tcBorders>
              <w:top w:val="single" w:color="auto" w:sz="4" w:space="0"/>
              <w:left w:val="single" w:color="auto" w:sz="4" w:space="0"/>
              <w:bottom w:val="single" w:color="auto" w:sz="4" w:space="0"/>
              <w:right w:val="single" w:color="auto" w:sz="4" w:space="0"/>
            </w:tcBorders>
          </w:tcPr>
          <w:p>
            <w:pPr>
              <w:pStyle w:val="290"/>
            </w:pPr>
            <w:r>
              <w:t>非生命线工程</w:t>
            </w:r>
          </w:p>
        </w:tc>
        <w:tc>
          <w:tcPr>
            <w:tcW w:w="992" w:type="dxa"/>
            <w:tcBorders>
              <w:top w:val="single" w:color="auto" w:sz="4" w:space="0"/>
              <w:left w:val="single" w:color="auto" w:sz="4" w:space="0"/>
              <w:bottom w:val="single" w:color="auto" w:sz="4" w:space="0"/>
              <w:right w:val="single" w:color="auto" w:sz="4" w:space="0"/>
            </w:tcBorders>
          </w:tcPr>
          <w:p>
            <w:pPr>
              <w:pStyle w:val="290"/>
            </w:pPr>
            <w:r>
              <w:t>生命线工程</w:t>
            </w:r>
          </w:p>
        </w:tc>
        <w:tc>
          <w:tcPr>
            <w:tcW w:w="1145" w:type="dxa"/>
            <w:tcBorders>
              <w:top w:val="single" w:color="auto" w:sz="4" w:space="0"/>
              <w:left w:val="single" w:color="auto" w:sz="4" w:space="0"/>
              <w:bottom w:val="single" w:color="auto" w:sz="4" w:space="0"/>
              <w:right w:val="single" w:color="auto" w:sz="4" w:space="0"/>
            </w:tcBorders>
          </w:tcPr>
          <w:p>
            <w:pPr>
              <w:pStyle w:val="290"/>
            </w:pPr>
            <w:r>
              <w:t>非生命线工程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18" w:type="dxa"/>
            <w:vMerge w:val="restart"/>
            <w:tcBorders>
              <w:top w:val="single" w:color="auto" w:sz="4" w:space="0"/>
              <w:left w:val="single" w:color="auto" w:sz="4" w:space="0"/>
              <w:bottom w:val="single" w:color="auto" w:sz="4" w:space="0"/>
              <w:right w:val="single" w:color="auto" w:sz="4" w:space="0"/>
            </w:tcBorders>
            <w:vAlign w:val="center"/>
          </w:tcPr>
          <w:p>
            <w:pPr>
              <w:pStyle w:val="290"/>
            </w:pPr>
            <w:r>
              <w:t>机械锚栓</w:t>
            </w: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pStyle w:val="290"/>
            </w:pPr>
            <w:r>
              <w:t>膨胀型锚栓</w:t>
            </w:r>
          </w:p>
        </w:tc>
        <w:tc>
          <w:tcPr>
            <w:tcW w:w="992" w:type="dxa"/>
            <w:gridSpan w:val="2"/>
            <w:vMerge w:val="restart"/>
            <w:tcBorders>
              <w:top w:val="single" w:color="auto" w:sz="4" w:space="0"/>
              <w:left w:val="single" w:color="auto" w:sz="4" w:space="0"/>
              <w:bottom w:val="single" w:color="auto" w:sz="4" w:space="0"/>
              <w:right w:val="single" w:color="auto" w:sz="4" w:space="0"/>
            </w:tcBorders>
            <w:vAlign w:val="center"/>
          </w:tcPr>
          <w:p>
            <w:pPr>
              <w:pStyle w:val="290"/>
            </w:pPr>
            <w:r>
              <w:t>扭矩控制型锚栓</w:t>
            </w:r>
          </w:p>
        </w:tc>
        <w:tc>
          <w:tcPr>
            <w:tcW w:w="2410" w:type="dxa"/>
            <w:tcBorders>
              <w:top w:val="single" w:color="auto" w:sz="4" w:space="0"/>
              <w:left w:val="single" w:color="auto" w:sz="4" w:space="0"/>
              <w:bottom w:val="single" w:color="auto" w:sz="4" w:space="0"/>
              <w:right w:val="single" w:color="auto" w:sz="4" w:space="0"/>
            </w:tcBorders>
            <w:vAlign w:val="center"/>
          </w:tcPr>
          <w:p>
            <w:pPr>
              <w:pStyle w:val="290"/>
            </w:pPr>
            <w:r>
              <w:t>适用于开裂混凝土</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992"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2410" w:type="dxa"/>
            <w:tcBorders>
              <w:top w:val="single" w:color="auto" w:sz="4" w:space="0"/>
              <w:left w:val="single" w:color="auto" w:sz="4" w:space="0"/>
              <w:bottom w:val="single" w:color="auto" w:sz="4" w:space="0"/>
              <w:right w:val="single" w:color="auto" w:sz="4" w:space="0"/>
            </w:tcBorders>
            <w:vAlign w:val="center"/>
          </w:tcPr>
          <w:p>
            <w:pPr>
              <w:pStyle w:val="290"/>
            </w:pPr>
            <w:r>
              <w:t>适用于不开裂混凝土</w:t>
            </w:r>
          </w:p>
        </w:tc>
        <w:tc>
          <w:tcPr>
            <w:tcW w:w="992" w:type="dxa"/>
            <w:tcBorders>
              <w:top w:val="single" w:color="auto" w:sz="4" w:space="0"/>
              <w:left w:val="single" w:color="auto" w:sz="4" w:space="0"/>
              <w:bottom w:val="single" w:color="auto" w:sz="4" w:space="0"/>
              <w:right w:val="single" w:color="auto" w:sz="4" w:space="0"/>
            </w:tcBorders>
            <w:vAlign w:val="center"/>
          </w:tcPr>
          <w:p>
            <w:pPr>
              <w:pStyle w:val="290"/>
            </w:pPr>
            <w:r>
              <w:t>不适用</w:t>
            </w:r>
          </w:p>
        </w:tc>
        <w:tc>
          <w:tcPr>
            <w:tcW w:w="3271" w:type="dxa"/>
            <w:gridSpan w:val="3"/>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3402" w:type="dxa"/>
            <w:gridSpan w:val="3"/>
            <w:tcBorders>
              <w:top w:val="single" w:color="auto" w:sz="4" w:space="0"/>
              <w:left w:val="single" w:color="auto" w:sz="4" w:space="0"/>
              <w:bottom w:val="single" w:color="auto" w:sz="4" w:space="0"/>
              <w:right w:val="single" w:color="auto" w:sz="4" w:space="0"/>
            </w:tcBorders>
            <w:vAlign w:val="center"/>
          </w:tcPr>
          <w:p>
            <w:pPr>
              <w:pStyle w:val="290"/>
            </w:pPr>
            <w:r>
              <w:t>位移控制式锚栓</w:t>
            </w:r>
          </w:p>
        </w:tc>
        <w:tc>
          <w:tcPr>
            <w:tcW w:w="3118" w:type="dxa"/>
            <w:gridSpan w:val="3"/>
            <w:tcBorders>
              <w:top w:val="single" w:color="auto" w:sz="4" w:space="0"/>
              <w:left w:val="single" w:color="auto" w:sz="4" w:space="0"/>
              <w:bottom w:val="single" w:color="auto" w:sz="4" w:space="0"/>
              <w:right w:val="single" w:color="auto" w:sz="4" w:space="0"/>
            </w:tcBorders>
            <w:vAlign w:val="center"/>
          </w:tcPr>
          <w:p>
            <w:pPr>
              <w:pStyle w:val="290"/>
            </w:pPr>
            <w:r>
              <w:t>不适用</w:t>
            </w:r>
          </w:p>
        </w:tc>
        <w:tc>
          <w:tcPr>
            <w:tcW w:w="1145" w:type="dxa"/>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trPr>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4111" w:type="dxa"/>
            <w:gridSpan w:val="4"/>
            <w:tcBorders>
              <w:top w:val="single" w:color="auto" w:sz="4" w:space="0"/>
              <w:left w:val="single" w:color="auto" w:sz="4" w:space="0"/>
              <w:bottom w:val="single" w:color="auto" w:sz="4" w:space="0"/>
              <w:right w:val="single" w:color="auto" w:sz="4" w:space="0"/>
            </w:tcBorders>
            <w:vAlign w:val="center"/>
          </w:tcPr>
          <w:p>
            <w:pPr>
              <w:pStyle w:val="290"/>
            </w:pPr>
            <w:r>
              <w:t>扩底型锚栓</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restart"/>
            <w:tcBorders>
              <w:top w:val="single" w:color="auto" w:sz="4" w:space="0"/>
              <w:left w:val="single" w:color="auto" w:sz="4" w:space="0"/>
              <w:bottom w:val="single" w:color="auto" w:sz="4" w:space="0"/>
              <w:right w:val="single" w:color="auto" w:sz="4" w:space="0"/>
            </w:tcBorders>
            <w:vAlign w:val="center"/>
          </w:tcPr>
          <w:p>
            <w:pPr>
              <w:pStyle w:val="290"/>
            </w:pPr>
            <w:r>
              <w:t>化学锚栓</w:t>
            </w:r>
          </w:p>
        </w:tc>
        <w:tc>
          <w:tcPr>
            <w:tcW w:w="4111" w:type="dxa"/>
            <w:gridSpan w:val="4"/>
            <w:tcBorders>
              <w:top w:val="single" w:color="auto" w:sz="4" w:space="0"/>
              <w:left w:val="single" w:color="auto" w:sz="4" w:space="0"/>
              <w:bottom w:val="single" w:color="auto" w:sz="4" w:space="0"/>
              <w:right w:val="single" w:color="auto" w:sz="4" w:space="0"/>
            </w:tcBorders>
            <w:vAlign w:val="center"/>
          </w:tcPr>
          <w:p>
            <w:pPr>
              <w:pStyle w:val="290"/>
            </w:pPr>
            <w:r>
              <w:t>特殊倒锥型化学锚栓</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1134" w:type="dxa"/>
            <w:gridSpan w:val="2"/>
            <w:vMerge w:val="restart"/>
            <w:tcBorders>
              <w:top w:val="single" w:color="auto" w:sz="4" w:space="0"/>
              <w:left w:val="single" w:color="auto" w:sz="4" w:space="0"/>
              <w:bottom w:val="single" w:color="auto" w:sz="4" w:space="0"/>
              <w:right w:val="single" w:color="auto" w:sz="4" w:space="0"/>
            </w:tcBorders>
            <w:vAlign w:val="center"/>
          </w:tcPr>
          <w:p>
            <w:pPr>
              <w:pStyle w:val="290"/>
            </w:pPr>
            <w:r>
              <w:t>普通化学锚栓</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pStyle w:val="290"/>
            </w:pPr>
            <w:r>
              <w:t>适用于开裂混凝土</w:t>
            </w:r>
          </w:p>
        </w:tc>
        <w:tc>
          <w:tcPr>
            <w:tcW w:w="4263" w:type="dxa"/>
            <w:gridSpan w:val="4"/>
            <w:tcBorders>
              <w:top w:val="single" w:color="auto" w:sz="4" w:space="0"/>
              <w:left w:val="single" w:color="auto" w:sz="4" w:space="0"/>
              <w:bottom w:val="single" w:color="auto" w:sz="4" w:space="0"/>
              <w:right w:val="single" w:color="auto" w:sz="4" w:space="0"/>
            </w:tcBorders>
            <w:vAlign w:val="center"/>
          </w:tcPr>
          <w:p>
            <w:pPr>
              <w:pStyle w:val="290"/>
            </w:pPr>
            <w: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113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2977" w:type="dxa"/>
            <w:gridSpan w:val="2"/>
            <w:tcBorders>
              <w:top w:val="single" w:color="auto" w:sz="4" w:space="0"/>
              <w:left w:val="single" w:color="auto" w:sz="4" w:space="0"/>
              <w:bottom w:val="single" w:color="auto" w:sz="4" w:space="0"/>
              <w:right w:val="single" w:color="auto" w:sz="4" w:space="0"/>
            </w:tcBorders>
            <w:vAlign w:val="center"/>
          </w:tcPr>
          <w:p>
            <w:pPr>
              <w:pStyle w:val="290"/>
            </w:pPr>
            <w:r>
              <w:t>适用于不开裂混凝土</w:t>
            </w:r>
          </w:p>
        </w:tc>
        <w:tc>
          <w:tcPr>
            <w:tcW w:w="992" w:type="dxa"/>
            <w:tcBorders>
              <w:top w:val="single" w:color="auto" w:sz="4" w:space="0"/>
              <w:left w:val="single" w:color="auto" w:sz="4" w:space="0"/>
              <w:bottom w:val="single" w:color="auto" w:sz="4" w:space="0"/>
              <w:right w:val="single" w:color="auto" w:sz="4" w:space="0"/>
            </w:tcBorders>
            <w:vAlign w:val="center"/>
          </w:tcPr>
          <w:p>
            <w:pPr>
              <w:pStyle w:val="290"/>
            </w:pPr>
            <w:r>
              <w:t>不适用</w:t>
            </w:r>
          </w:p>
        </w:tc>
        <w:tc>
          <w:tcPr>
            <w:tcW w:w="3271" w:type="dxa"/>
            <w:gridSpan w:val="3"/>
            <w:tcBorders>
              <w:top w:val="single" w:color="auto" w:sz="4" w:space="0"/>
              <w:left w:val="single" w:color="auto" w:sz="4" w:space="0"/>
              <w:bottom w:val="single" w:color="auto" w:sz="4" w:space="0"/>
              <w:right w:val="single" w:color="auto" w:sz="4" w:space="0"/>
            </w:tcBorders>
            <w:vAlign w:val="center"/>
          </w:tcPr>
          <w:p>
            <w:pPr>
              <w:pStyle w:val="290"/>
            </w:pPr>
            <w:r>
              <w:t>适用</w:t>
            </w:r>
          </w:p>
        </w:tc>
      </w:tr>
    </w:tbl>
    <w:p>
      <w:pPr>
        <w:adjustRightInd w:val="0"/>
        <w:snapToGrid w:val="0"/>
        <w:ind w:firstLine="360"/>
        <w:rPr>
          <w:rFonts w:cs="Times New Roman"/>
          <w:sz w:val="18"/>
          <w:szCs w:val="18"/>
        </w:rPr>
      </w:pPr>
      <w:r>
        <w:rPr>
          <w:rFonts w:cs="Times New Roman"/>
          <w:sz w:val="18"/>
          <w:szCs w:val="18"/>
        </w:rPr>
        <w:t>注1：表中受压是指锚板受压，锚栓本身不承受压力。</w:t>
      </w:r>
    </w:p>
    <w:p>
      <w:pPr>
        <w:adjustRightInd w:val="0"/>
        <w:snapToGrid w:val="0"/>
        <w:ind w:firstLine="360"/>
        <w:rPr>
          <w:rFonts w:cs="Times New Roman"/>
          <w:sz w:val="18"/>
          <w:szCs w:val="18"/>
        </w:rPr>
      </w:pPr>
      <w:r>
        <w:rPr>
          <w:rFonts w:cs="Times New Roman"/>
          <w:sz w:val="18"/>
          <w:szCs w:val="18"/>
        </w:rPr>
        <w:t>注2：适用于开裂混凝土的锚栓是指满足开裂混凝土及裂缝反复开合下锚固性能要求的锚栓。施工前应根据图纸资料或现场实地检测确定室内地面非结构层厚度，锚栓长度应为有效锚固长度与结构层厚度之和。当没有实测资料时，可按照不小于下表所确定的长度认定楼面非结构层厚度。</w:t>
      </w:r>
    </w:p>
    <w:p>
      <w:pPr>
        <w:pStyle w:val="603"/>
        <w:ind w:firstLine="400"/>
        <w:rPr>
          <w:rFonts w:cs="Times New Roman"/>
          <w:shd w:val="clear" w:color="auto" w:fill="FFFFFF"/>
        </w:rPr>
      </w:pPr>
      <w:r>
        <w:rPr>
          <w:rFonts w:cs="Times New Roman"/>
          <w:shd w:val="clear" w:color="auto" w:fill="FFFFFF"/>
        </w:rPr>
        <w:t>表</w:t>
      </w:r>
      <w:r>
        <w:rPr>
          <w:rFonts w:cs="Times New Roman"/>
          <w:color w:val="FF0000"/>
          <w:shd w:val="clear" w:color="auto" w:fill="FFFFFF"/>
        </w:rPr>
        <w:t>14.</w:t>
      </w:r>
      <w:r>
        <w:rPr>
          <w:rFonts w:hint="eastAsia" w:cs="Times New Roman"/>
          <w:color w:val="FF0000"/>
          <w:shd w:val="clear" w:color="auto" w:fill="FFFFFF"/>
        </w:rPr>
        <w:t>5</w:t>
      </w:r>
      <w:r>
        <w:rPr>
          <w:rFonts w:cs="Times New Roman"/>
          <w:color w:val="FF0000"/>
          <w:shd w:val="clear" w:color="auto" w:fill="FFFFFF"/>
        </w:rPr>
        <w:t xml:space="preserve">-8  </w:t>
      </w:r>
      <w:r>
        <w:rPr>
          <w:rFonts w:cs="Times New Roman"/>
          <w:shd w:val="clear" w:color="auto" w:fill="FFFFFF"/>
        </w:rPr>
        <w:t>各类楼面非结构层厚度（mm）</w:t>
      </w:r>
    </w:p>
    <w:tbl>
      <w:tblPr>
        <w:tblStyle w:val="63"/>
        <w:tblW w:w="8931"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769"/>
        <w:gridCol w:w="993"/>
        <w:gridCol w:w="1275"/>
        <w:gridCol w:w="1276"/>
        <w:gridCol w:w="1276"/>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cBorders>
          </w:tcPr>
          <w:p>
            <w:pPr>
              <w:pStyle w:val="290"/>
            </w:pPr>
            <w:r>
              <w:t>地面类型</w:t>
            </w:r>
          </w:p>
        </w:tc>
        <w:tc>
          <w:tcPr>
            <w:tcW w:w="1769" w:type="dxa"/>
            <w:tcBorders>
              <w:top w:val="single" w:color="auto" w:sz="4" w:space="0"/>
              <w:left w:val="single" w:color="auto" w:sz="4" w:space="0"/>
              <w:bottom w:val="single" w:color="auto" w:sz="4" w:space="0"/>
              <w:right w:val="single" w:color="auto" w:sz="4" w:space="0"/>
            </w:tcBorders>
          </w:tcPr>
          <w:p>
            <w:pPr>
              <w:pStyle w:val="290"/>
            </w:pPr>
            <w:r>
              <w:t>普通水泥抹面</w:t>
            </w:r>
          </w:p>
        </w:tc>
        <w:tc>
          <w:tcPr>
            <w:tcW w:w="993" w:type="dxa"/>
            <w:tcBorders>
              <w:top w:val="single" w:color="auto" w:sz="4" w:space="0"/>
              <w:left w:val="single" w:color="auto" w:sz="4" w:space="0"/>
              <w:bottom w:val="single" w:color="auto" w:sz="4" w:space="0"/>
              <w:right w:val="single" w:color="auto" w:sz="4" w:space="0"/>
            </w:tcBorders>
          </w:tcPr>
          <w:p>
            <w:pPr>
              <w:pStyle w:val="290"/>
            </w:pPr>
            <w:r>
              <w:t>自流平</w:t>
            </w:r>
          </w:p>
        </w:tc>
        <w:tc>
          <w:tcPr>
            <w:tcW w:w="1275" w:type="dxa"/>
            <w:tcBorders>
              <w:top w:val="single" w:color="auto" w:sz="4" w:space="0"/>
              <w:left w:val="single" w:color="auto" w:sz="4" w:space="0"/>
              <w:bottom w:val="single" w:color="auto" w:sz="4" w:space="0"/>
              <w:right w:val="single" w:color="auto" w:sz="4" w:space="0"/>
            </w:tcBorders>
          </w:tcPr>
          <w:p>
            <w:pPr>
              <w:pStyle w:val="290"/>
            </w:pPr>
            <w:r>
              <w:t>涂层地面</w:t>
            </w:r>
          </w:p>
        </w:tc>
        <w:tc>
          <w:tcPr>
            <w:tcW w:w="1276" w:type="dxa"/>
            <w:tcBorders>
              <w:top w:val="single" w:color="auto" w:sz="4" w:space="0"/>
              <w:left w:val="single" w:color="auto" w:sz="4" w:space="0"/>
              <w:bottom w:val="single" w:color="auto" w:sz="4" w:space="0"/>
              <w:right w:val="single" w:color="auto" w:sz="4" w:space="0"/>
            </w:tcBorders>
          </w:tcPr>
          <w:p>
            <w:pPr>
              <w:pStyle w:val="290"/>
            </w:pPr>
            <w:r>
              <w:t>磁砖地面</w:t>
            </w:r>
          </w:p>
        </w:tc>
        <w:tc>
          <w:tcPr>
            <w:tcW w:w="1276" w:type="dxa"/>
            <w:tcBorders>
              <w:top w:val="single" w:color="auto" w:sz="4" w:space="0"/>
              <w:left w:val="single" w:color="auto" w:sz="4" w:space="0"/>
              <w:bottom w:val="single" w:color="auto" w:sz="4" w:space="0"/>
              <w:right w:val="single" w:color="auto" w:sz="4" w:space="0"/>
            </w:tcBorders>
          </w:tcPr>
          <w:p>
            <w:pPr>
              <w:pStyle w:val="290"/>
            </w:pPr>
            <w:r>
              <w:t>石材地面</w:t>
            </w:r>
          </w:p>
        </w:tc>
        <w:tc>
          <w:tcPr>
            <w:tcW w:w="992" w:type="dxa"/>
            <w:tcBorders>
              <w:top w:val="single" w:color="auto" w:sz="4" w:space="0"/>
              <w:left w:val="single" w:color="auto" w:sz="4" w:space="0"/>
              <w:bottom w:val="single" w:color="auto" w:sz="4" w:space="0"/>
              <w:right w:val="single" w:color="auto" w:sz="4" w:space="0"/>
            </w:tcBorders>
          </w:tcPr>
          <w:p>
            <w:pPr>
              <w:pStyle w:val="290"/>
            </w:pPr>
            <w:r>
              <w:t>水磨石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Borders>
              <w:top w:val="single" w:color="auto" w:sz="4" w:space="0"/>
              <w:left w:val="single" w:color="auto" w:sz="4" w:space="0"/>
              <w:bottom w:val="single" w:color="auto" w:sz="4" w:space="0"/>
              <w:right w:val="single" w:color="auto" w:sz="4" w:space="0"/>
            </w:tcBorders>
          </w:tcPr>
          <w:p>
            <w:pPr>
              <w:pStyle w:val="290"/>
            </w:pPr>
            <w:r>
              <w:t>非结构层厚度(mm)</w:t>
            </w:r>
          </w:p>
        </w:tc>
        <w:tc>
          <w:tcPr>
            <w:tcW w:w="1769" w:type="dxa"/>
            <w:tcBorders>
              <w:top w:val="single" w:color="auto" w:sz="4" w:space="0"/>
              <w:left w:val="single" w:color="auto" w:sz="4" w:space="0"/>
              <w:bottom w:val="single" w:color="auto" w:sz="4" w:space="0"/>
              <w:right w:val="single" w:color="auto" w:sz="4" w:space="0"/>
            </w:tcBorders>
            <w:vAlign w:val="center"/>
          </w:tcPr>
          <w:p>
            <w:pPr>
              <w:pStyle w:val="290"/>
            </w:pPr>
            <w:r>
              <w:t>30</w:t>
            </w:r>
          </w:p>
        </w:tc>
        <w:tc>
          <w:tcPr>
            <w:tcW w:w="993" w:type="dxa"/>
            <w:tcBorders>
              <w:top w:val="single" w:color="auto" w:sz="4" w:space="0"/>
              <w:left w:val="single" w:color="auto" w:sz="4" w:space="0"/>
              <w:bottom w:val="single" w:color="auto" w:sz="4" w:space="0"/>
              <w:right w:val="single" w:color="auto" w:sz="4" w:space="0"/>
            </w:tcBorders>
            <w:vAlign w:val="center"/>
          </w:tcPr>
          <w:p>
            <w:pPr>
              <w:pStyle w:val="290"/>
            </w:pPr>
            <w:r>
              <w:t>50</w:t>
            </w:r>
          </w:p>
        </w:tc>
        <w:tc>
          <w:tcPr>
            <w:tcW w:w="1275" w:type="dxa"/>
            <w:tcBorders>
              <w:top w:val="single" w:color="auto" w:sz="4" w:space="0"/>
              <w:left w:val="single" w:color="auto" w:sz="4" w:space="0"/>
              <w:bottom w:val="single" w:color="auto" w:sz="4" w:space="0"/>
              <w:right w:val="single" w:color="auto" w:sz="4" w:space="0"/>
            </w:tcBorders>
            <w:vAlign w:val="center"/>
          </w:tcPr>
          <w:p>
            <w:pPr>
              <w:pStyle w:val="290"/>
            </w:pPr>
            <w:r>
              <w:t>50</w: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pPr>
            <w:r>
              <w:t>30</w:t>
            </w:r>
          </w:p>
        </w:tc>
        <w:tc>
          <w:tcPr>
            <w:tcW w:w="1276" w:type="dxa"/>
            <w:tcBorders>
              <w:top w:val="single" w:color="auto" w:sz="4" w:space="0"/>
              <w:left w:val="single" w:color="auto" w:sz="4" w:space="0"/>
              <w:bottom w:val="single" w:color="auto" w:sz="4" w:space="0"/>
              <w:right w:val="single" w:color="auto" w:sz="4" w:space="0"/>
            </w:tcBorders>
            <w:vAlign w:val="center"/>
          </w:tcPr>
          <w:p>
            <w:pPr>
              <w:pStyle w:val="290"/>
            </w:pPr>
            <w:r>
              <w:t>50</w:t>
            </w:r>
          </w:p>
        </w:tc>
        <w:tc>
          <w:tcPr>
            <w:tcW w:w="992" w:type="dxa"/>
            <w:tcBorders>
              <w:top w:val="single" w:color="auto" w:sz="4" w:space="0"/>
              <w:left w:val="single" w:color="auto" w:sz="4" w:space="0"/>
              <w:bottom w:val="single" w:color="auto" w:sz="4" w:space="0"/>
              <w:right w:val="single" w:color="auto" w:sz="4" w:space="0"/>
            </w:tcBorders>
            <w:vAlign w:val="center"/>
          </w:tcPr>
          <w:p>
            <w:pPr>
              <w:pStyle w:val="290"/>
            </w:pPr>
            <w:r>
              <w:t>30-40</w:t>
            </w:r>
          </w:p>
        </w:tc>
      </w:tr>
    </w:tbl>
    <w:p>
      <w:pPr>
        <w:adjustRightInd w:val="0"/>
        <w:snapToGrid w:val="0"/>
        <w:ind w:firstLine="360"/>
        <w:rPr>
          <w:rFonts w:cs="Times New Roman"/>
          <w:sz w:val="18"/>
          <w:szCs w:val="18"/>
        </w:rPr>
      </w:pPr>
      <w:r>
        <w:rPr>
          <w:rFonts w:cs="Times New Roman"/>
          <w:sz w:val="18"/>
          <w:szCs w:val="18"/>
        </w:rPr>
        <w:t>注：屋面设备应另行根据屋面建筑做法确定。</w:t>
      </w:r>
    </w:p>
    <w:p>
      <w:pPr>
        <w:ind w:firstLine="480"/>
        <w:rPr>
          <w:rFonts w:cs="Times New Roman"/>
        </w:rPr>
      </w:pPr>
    </w:p>
    <w:p>
      <w:pPr>
        <w:ind w:firstLine="199" w:firstLineChars="83"/>
        <w:rPr>
          <w:rFonts w:cs="Times New Roman"/>
        </w:rPr>
      </w:pPr>
      <w:r>
        <w:rPr>
          <w:rFonts w:cs="Times New Roman"/>
        </w:rPr>
        <w:t>（2）架式电信设备抗震措施</w:t>
      </w:r>
    </w:p>
    <w:p>
      <w:pPr>
        <w:ind w:firstLine="480"/>
        <w:rPr>
          <w:rFonts w:cs="Times New Roman"/>
        </w:rPr>
      </w:pPr>
      <w:r>
        <w:rPr>
          <w:rFonts w:hint="eastAsia" w:ascii="宋体" w:hAnsi="宋体" w:cs="宋体"/>
        </w:rPr>
        <w:t>①</w:t>
      </w:r>
      <w:r>
        <w:rPr>
          <w:rFonts w:cs="Times New Roman"/>
        </w:rPr>
        <w:t>抗震措施要求</w:t>
      </w:r>
    </w:p>
    <w:p>
      <w:pPr>
        <w:ind w:firstLine="480"/>
        <w:rPr>
          <w:rFonts w:cs="Times New Roman"/>
        </w:rPr>
      </w:pPr>
      <w:r>
        <w:rPr>
          <w:rFonts w:cs="Times New Roman"/>
        </w:rPr>
        <w:t>根据YD 5059-2005《电信设备安装抗震设计规范》条文说明，架式设备是指宽度为600mm～650mm，深度为300mm～400mm，高度不低于2000mm需用铁架安装的设备。此类设备比较高，除设备底部要与地面加固外，设备顶部也要用构件使之相互连成整体。</w:t>
      </w:r>
    </w:p>
    <w:p>
      <w:pPr>
        <w:ind w:firstLine="480"/>
        <w:rPr>
          <w:rFonts w:cs="Times New Roman"/>
        </w:rPr>
      </w:pPr>
      <w:r>
        <w:rPr>
          <w:rFonts w:cs="Times New Roman"/>
        </w:rPr>
        <w:t>根据YD 5059-2005《电信设备安装抗震设计规范》第5.1.1条的要求，架式电信设备顶部安装应采取由上梁、立柱、连固铁、列间撑铁、旁侧撑铁和斜撑组成的加固联结架。构件之间应按有关规定联结牢固，使之成为一个整体。</w:t>
      </w:r>
    </w:p>
    <w:p>
      <w:pPr>
        <w:ind w:firstLine="480"/>
        <w:rPr>
          <w:rFonts w:cs="Times New Roman"/>
        </w:rPr>
      </w:pPr>
      <w:r>
        <w:rPr>
          <w:rFonts w:cs="Times New Roman"/>
        </w:rPr>
        <w:t>根据YD 5059-2005《电信设备安装抗震设计规范》第5.1.2条的要求，电信设备顶部应与列架上梁加固。8度及8度以上的抗震设防，必须用抗震夹板或螺栓加固。</w:t>
      </w:r>
    </w:p>
    <w:p>
      <w:pPr>
        <w:ind w:firstLine="480"/>
        <w:rPr>
          <w:rFonts w:cs="Times New Roman"/>
        </w:rPr>
      </w:pPr>
      <w:r>
        <w:rPr>
          <w:rFonts w:cs="Times New Roman"/>
        </w:rPr>
        <w:t>根据YD 5059-2005《电信设备安装抗震设计规范》第5.1.3条的要求，电信设备底部应与地面加固。8度及8度以上的抗震设防，设备应与楼板可靠联结。螺栓的规格按YD 5059-2005《电信设备安装抗震设计规范》的计算方法确定。</w:t>
      </w:r>
    </w:p>
    <w:p>
      <w:pPr>
        <w:ind w:firstLine="480"/>
        <w:rPr>
          <w:rFonts w:cs="Times New Roman"/>
        </w:rPr>
      </w:pPr>
      <w:r>
        <w:rPr>
          <w:rFonts w:cs="Times New Roman"/>
        </w:rPr>
        <w:t>根据YD 5059-2005《电信设备安装抗震设计规范》第5.1.4条的要求，列架应通过连固铁及旁侧撑铁与柱进行加固，其加固件应加固在柱上，加固所用锚栓规格应按YD 5059-2005《电信设备安装抗震设计规范》的公式计算确定。</w:t>
      </w:r>
    </w:p>
    <w:p>
      <w:pPr>
        <w:ind w:firstLine="480"/>
        <w:rPr>
          <w:rFonts w:cs="Times New Roman"/>
        </w:rPr>
      </w:pPr>
      <w:r>
        <w:rPr>
          <w:rFonts w:cs="Times New Roman"/>
        </w:rPr>
        <w:t>列间撑铁的数量应根据抗震设防烈度及列长而定，并应执行YD/T 5026-2005《电信机房铁架安装设计标准》的相关规定。当设防烈度为7度及7度以下时，可取消斜撑。列长在5000mm以下时，相邻两机列上梁间应设一根列间撑铁，加固点可设在上梁的中间处；列长在5000～7000mm时设二根列间撑铁；列长大于7000mm时每隔2500mm左右设一根列间撑铁。</w:t>
      </w:r>
    </w:p>
    <w:p>
      <w:pPr>
        <w:ind w:firstLine="480"/>
        <w:rPr>
          <w:rFonts w:cs="Times New Roman"/>
        </w:rPr>
      </w:pPr>
      <w:r>
        <w:rPr>
          <w:rFonts w:cs="Times New Roman"/>
        </w:rPr>
        <w:t>在8度及8度以上抗震设防地区安装650mm宽主槽道时，槽道安装应执行YD/T 5026-2005《电信机房铁架安装设计标准》的相关规定，列槽道之间的距离不大于1.6m，超出以上距离时应增加吊挂装置。</w:t>
      </w:r>
    </w:p>
    <w:p>
      <w:pPr>
        <w:ind w:firstLine="480"/>
        <w:rPr>
          <w:rFonts w:cs="Times New Roman"/>
        </w:rPr>
      </w:pPr>
      <w:r>
        <w:rPr>
          <w:rFonts w:cs="Times New Roman"/>
        </w:rPr>
        <w:t>单面柜式机列的过桥槽道应设在机列背与背间的槽道上。槽道间的距离不大于1.6m。槽道安装应执行YD/T 5026-2005《电信机房铁架安装设计标准》的相关规定。</w:t>
      </w:r>
    </w:p>
    <w:p>
      <w:pPr>
        <w:ind w:firstLine="480"/>
        <w:rPr>
          <w:rFonts w:cs="Times New Roman"/>
        </w:rPr>
      </w:pPr>
      <w:r>
        <w:rPr>
          <w:rFonts w:cs="Times New Roman"/>
        </w:rPr>
        <w:t>列架应终端在柱或承重墙上。走线架应终端在承重墙或终端在与柱拉接的支架上。</w:t>
      </w:r>
    </w:p>
    <w:p>
      <w:pPr>
        <w:ind w:firstLine="480"/>
        <w:rPr>
          <w:rFonts w:cs="Times New Roman"/>
        </w:rPr>
      </w:pPr>
      <w:r>
        <w:rPr>
          <w:rFonts w:cs="Times New Roman"/>
        </w:rPr>
        <w:t>无法用锚栓与地面加固的电信设备，应在设备前后各用L型抗震防滑角铁进行加固。</w:t>
      </w:r>
    </w:p>
    <w:p>
      <w:pPr>
        <w:pStyle w:val="287"/>
        <w:numPr>
          <w:ilvl w:val="2"/>
          <w:numId w:val="54"/>
        </w:numPr>
        <w:ind w:firstLineChars="0"/>
        <w:rPr>
          <w:rFonts w:cs="Times New Roman"/>
        </w:rPr>
      </w:pPr>
      <w:r>
        <w:rPr>
          <w:rFonts w:cs="Times New Roman"/>
        </w:rPr>
        <w:t xml:space="preserve"> 抗震加固锚栓</w:t>
      </w:r>
    </w:p>
    <w:p>
      <w:pPr>
        <w:ind w:firstLine="480"/>
        <w:rPr>
          <w:rFonts w:cs="Times New Roman"/>
        </w:rPr>
      </w:pPr>
      <w:r>
        <w:rPr>
          <w:rFonts w:cs="Times New Roman"/>
        </w:rPr>
        <w:t>根据计算及规范相关规定，高度不小于2000mm，宽度为600-650mm，深度为300-400mm的设备，采用架式设备安装方式，锚栓按照下表</w:t>
      </w:r>
      <w:r>
        <w:rPr>
          <w:rFonts w:cs="Times New Roman"/>
          <w:color w:val="FF0000"/>
        </w:rPr>
        <w:t>14.</w:t>
      </w:r>
      <w:r>
        <w:rPr>
          <w:rFonts w:hint="eastAsia" w:cs="Times New Roman"/>
          <w:color w:val="FF0000"/>
        </w:rPr>
        <w:t>5</w:t>
      </w:r>
      <w:r>
        <w:rPr>
          <w:rFonts w:cs="Times New Roman"/>
          <w:color w:val="FF0000"/>
        </w:rPr>
        <w:t>-9</w:t>
      </w:r>
      <w:r>
        <w:rPr>
          <w:rFonts w:cs="Times New Roman"/>
        </w:rPr>
        <w:t>取用，顶部采用撑铁与主体结构连接，规格如表</w:t>
      </w:r>
      <w:r>
        <w:rPr>
          <w:rFonts w:cs="Times New Roman"/>
          <w:color w:val="FF0000"/>
        </w:rPr>
        <w:t>14.</w:t>
      </w:r>
      <w:r>
        <w:rPr>
          <w:rFonts w:hint="eastAsia" w:cs="Times New Roman"/>
          <w:color w:val="FF0000"/>
        </w:rPr>
        <w:t>5</w:t>
      </w:r>
      <w:r>
        <w:rPr>
          <w:rFonts w:cs="Times New Roman"/>
          <w:color w:val="FF0000"/>
        </w:rPr>
        <w:t>-10</w:t>
      </w:r>
      <w:r>
        <w:rPr>
          <w:rFonts w:cs="Times New Roman"/>
        </w:rPr>
        <w:t>；成列设备（多个机柜紧贴摆放时，机柜间应在顶部连接，建议采用2个M6的螺栓连接）可不考虑宽度影响，当深度大于400mm时，可采用表</w:t>
      </w:r>
      <w:r>
        <w:rPr>
          <w:rFonts w:cs="Times New Roman"/>
          <w:color w:val="FF0000"/>
        </w:rPr>
        <w:t>14.</w:t>
      </w:r>
      <w:r>
        <w:rPr>
          <w:rFonts w:hint="eastAsia" w:cs="Times New Roman"/>
          <w:color w:val="FF0000"/>
        </w:rPr>
        <w:t>5</w:t>
      </w:r>
      <w:r>
        <w:rPr>
          <w:rFonts w:cs="Times New Roman"/>
          <w:color w:val="FF0000"/>
        </w:rPr>
        <w:t>-9</w:t>
      </w:r>
      <w:r>
        <w:rPr>
          <w:rFonts w:cs="Times New Roman"/>
        </w:rPr>
        <w:t>及表</w:t>
      </w:r>
      <w:r>
        <w:rPr>
          <w:rFonts w:cs="Times New Roman"/>
          <w:color w:val="FF0000"/>
        </w:rPr>
        <w:t>14.</w:t>
      </w:r>
      <w:r>
        <w:rPr>
          <w:rFonts w:hint="eastAsia" w:cs="Times New Roman"/>
          <w:color w:val="FF0000"/>
        </w:rPr>
        <w:t>5</w:t>
      </w:r>
      <w:r>
        <w:rPr>
          <w:rFonts w:cs="Times New Roman"/>
          <w:color w:val="FF0000"/>
        </w:rPr>
        <w:t>-10</w:t>
      </w:r>
      <w:r>
        <w:rPr>
          <w:rFonts w:cs="Times New Roman"/>
        </w:rPr>
        <w:t>直接取用。</w:t>
      </w:r>
    </w:p>
    <w:p>
      <w:pPr>
        <w:pStyle w:val="603"/>
        <w:ind w:firstLine="400"/>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-9  </w:t>
      </w:r>
      <w:r>
        <w:rPr>
          <w:rFonts w:cs="Times New Roman"/>
        </w:rPr>
        <w:t>架式电信设备地脚锚栓规格数量</w:t>
      </w:r>
    </w:p>
    <w:tbl>
      <w:tblPr>
        <w:tblStyle w:val="63"/>
        <w:tblW w:w="8522" w:type="dxa"/>
        <w:tblInd w:w="0" w:type="dxa"/>
        <w:tblLayout w:type="fixed"/>
        <w:tblCellMar>
          <w:top w:w="0" w:type="dxa"/>
          <w:left w:w="108" w:type="dxa"/>
          <w:bottom w:w="0" w:type="dxa"/>
          <w:right w:w="108" w:type="dxa"/>
        </w:tblCellMar>
      </w:tblPr>
      <w:tblGrid>
        <w:gridCol w:w="1395"/>
        <w:gridCol w:w="832"/>
        <w:gridCol w:w="1896"/>
        <w:gridCol w:w="1527"/>
        <w:gridCol w:w="2872"/>
      </w:tblGrid>
      <w:tr>
        <w:tblPrEx>
          <w:tblCellMar>
            <w:top w:w="0" w:type="dxa"/>
            <w:left w:w="108" w:type="dxa"/>
            <w:bottom w:w="0" w:type="dxa"/>
            <w:right w:w="108" w:type="dxa"/>
          </w:tblCellMar>
        </w:tblPrEx>
        <w:trPr>
          <w:trHeight w:val="634" w:hRule="atLeast"/>
          <w:tblHeader/>
        </w:trPr>
        <w:tc>
          <w:tcPr>
            <w:tcW w:w="1395" w:type="dxa"/>
            <w:tcBorders>
              <w:top w:val="single" w:color="auto" w:sz="4" w:space="0"/>
              <w:left w:val="single" w:color="auto" w:sz="4" w:space="0"/>
              <w:bottom w:val="single" w:color="auto" w:sz="4" w:space="0"/>
              <w:right w:val="single" w:color="auto" w:sz="4" w:space="0"/>
            </w:tcBorders>
            <w:vAlign w:val="center"/>
          </w:tcPr>
          <w:p>
            <w:pPr>
              <w:pStyle w:val="290"/>
            </w:pPr>
            <w:r>
              <w:t>设防烈度</w:t>
            </w:r>
          </w:p>
        </w:tc>
        <w:tc>
          <w:tcPr>
            <w:tcW w:w="832" w:type="dxa"/>
            <w:tcBorders>
              <w:top w:val="single" w:color="auto" w:sz="4" w:space="0"/>
              <w:left w:val="nil"/>
              <w:bottom w:val="single" w:color="auto" w:sz="4" w:space="0"/>
              <w:right w:val="single" w:color="auto" w:sz="4" w:space="0"/>
            </w:tcBorders>
            <w:vAlign w:val="center"/>
          </w:tcPr>
          <w:p>
            <w:pPr>
              <w:pStyle w:val="290"/>
            </w:pPr>
            <w:r>
              <w:t>楼层</w:t>
            </w:r>
          </w:p>
        </w:tc>
        <w:tc>
          <w:tcPr>
            <w:tcW w:w="1896" w:type="dxa"/>
            <w:tcBorders>
              <w:top w:val="single" w:color="auto" w:sz="4" w:space="0"/>
              <w:left w:val="nil"/>
              <w:bottom w:val="single" w:color="auto" w:sz="4" w:space="0"/>
              <w:right w:val="single" w:color="auto" w:sz="4" w:space="0"/>
            </w:tcBorders>
            <w:vAlign w:val="center"/>
          </w:tcPr>
          <w:p>
            <w:pPr>
              <w:pStyle w:val="290"/>
            </w:pPr>
            <w:r>
              <w:t>每台设备的锚栓数</w:t>
            </w:r>
          </w:p>
        </w:tc>
        <w:tc>
          <w:tcPr>
            <w:tcW w:w="1527" w:type="dxa"/>
            <w:tcBorders>
              <w:top w:val="single" w:color="auto" w:sz="4" w:space="0"/>
              <w:left w:val="nil"/>
              <w:bottom w:val="nil"/>
              <w:right w:val="single" w:color="auto" w:sz="4" w:space="0"/>
            </w:tcBorders>
            <w:vAlign w:val="center"/>
          </w:tcPr>
          <w:p>
            <w:pPr>
              <w:pStyle w:val="290"/>
            </w:pPr>
            <w:r>
              <w:t>锚栓规格</w:t>
            </w:r>
          </w:p>
        </w:tc>
        <w:tc>
          <w:tcPr>
            <w:tcW w:w="2872" w:type="dxa"/>
            <w:tcBorders>
              <w:top w:val="single" w:color="auto" w:sz="4" w:space="0"/>
              <w:left w:val="nil"/>
              <w:bottom w:val="single" w:color="auto" w:sz="4" w:space="0"/>
              <w:right w:val="single" w:color="auto" w:sz="4" w:space="0"/>
            </w:tcBorders>
            <w:vAlign w:val="center"/>
          </w:tcPr>
          <w:p>
            <w:pPr>
              <w:pStyle w:val="290"/>
            </w:pPr>
            <w:r>
              <w:t>备注</w:t>
            </w: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8度及以下</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不小于M10</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不小于M12</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9度</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restart"/>
            <w:tcBorders>
              <w:top w:val="single" w:color="auto" w:sz="4" w:space="0"/>
              <w:left w:val="nil"/>
              <w:bottom w:val="single" w:color="auto" w:sz="4" w:space="0"/>
              <w:right w:val="single" w:color="auto" w:sz="4" w:space="0"/>
            </w:tcBorders>
          </w:tcPr>
          <w:p>
            <w:pPr>
              <w:pStyle w:val="290"/>
            </w:pPr>
            <w:r>
              <w:t>设备高度大于1.5米时尚需要增加上部支撑</w:t>
            </w: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continue"/>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r>
    </w:tbl>
    <w:p>
      <w:pPr>
        <w:adjustRightInd w:val="0"/>
        <w:snapToGrid w:val="0"/>
        <w:ind w:firstLine="360"/>
        <w:rPr>
          <w:rFonts w:cs="Times New Roman"/>
          <w:sz w:val="18"/>
          <w:szCs w:val="18"/>
        </w:rPr>
      </w:pPr>
      <w:r>
        <w:rPr>
          <w:rFonts w:cs="Times New Roman"/>
          <w:sz w:val="18"/>
          <w:szCs w:val="18"/>
        </w:rPr>
        <w:t>注1：本表适用于机列中单台设备重量不大于300kg的情况。</w:t>
      </w:r>
    </w:p>
    <w:p>
      <w:pPr>
        <w:adjustRightInd w:val="0"/>
        <w:snapToGrid w:val="0"/>
        <w:ind w:firstLine="360"/>
        <w:rPr>
          <w:rFonts w:cs="Times New Roman"/>
          <w:sz w:val="18"/>
          <w:szCs w:val="18"/>
        </w:rPr>
      </w:pPr>
      <w:r>
        <w:rPr>
          <w:rFonts w:cs="Times New Roman"/>
          <w:sz w:val="18"/>
          <w:szCs w:val="18"/>
        </w:rPr>
        <w:t>注2：上层指建筑物地上楼层的上半部分，下层指建筑物地上楼层的下半部分；处于建筑物地上楼层中间部位的，按上层取用；单层房屋按表中下层考虑。</w:t>
      </w:r>
    </w:p>
    <w:p>
      <w:pPr>
        <w:adjustRightInd w:val="0"/>
        <w:snapToGrid w:val="0"/>
        <w:ind w:firstLine="360"/>
        <w:rPr>
          <w:rFonts w:cs="Times New Roman"/>
          <w:sz w:val="18"/>
          <w:szCs w:val="18"/>
        </w:rPr>
      </w:pPr>
      <w:r>
        <w:rPr>
          <w:rFonts w:cs="Times New Roman"/>
          <w:sz w:val="18"/>
          <w:szCs w:val="18"/>
        </w:rPr>
        <w:t>注3：锚栓长度为锚栓有效锚固长度加上非结构层厚度，有效锚固长度为7d0；非结构层的确定应根据实际基站情况确定，无可靠资料时可参考表14.4-8各类楼面非结构层厚度（mm）。</w:t>
      </w:r>
    </w:p>
    <w:p>
      <w:pPr>
        <w:adjustRightInd w:val="0"/>
        <w:snapToGrid w:val="0"/>
        <w:ind w:firstLine="360"/>
        <w:rPr>
          <w:rFonts w:cs="Times New Roman"/>
          <w:sz w:val="18"/>
          <w:szCs w:val="18"/>
        </w:rPr>
      </w:pPr>
      <w:r>
        <w:rPr>
          <w:rFonts w:cs="Times New Roman"/>
          <w:sz w:val="18"/>
          <w:szCs w:val="18"/>
        </w:rPr>
        <w:t>注4：9度区机房设备安装除满足表中要求外，尚需结构专业人员复核。</w:t>
      </w:r>
    </w:p>
    <w:p>
      <w:pPr>
        <w:pStyle w:val="603"/>
        <w:ind w:firstLine="400"/>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-10  </w:t>
      </w:r>
      <w:r>
        <w:rPr>
          <w:rFonts w:cs="Times New Roman"/>
        </w:rPr>
        <w:t>支撑构件及锚栓规格数量</w:t>
      </w:r>
    </w:p>
    <w:tbl>
      <w:tblPr>
        <w:tblStyle w:val="63"/>
        <w:tblW w:w="8316" w:type="dxa"/>
        <w:tblInd w:w="3" w:type="dxa"/>
        <w:tblLayout w:type="fixed"/>
        <w:tblCellMar>
          <w:top w:w="0" w:type="dxa"/>
          <w:left w:w="108" w:type="dxa"/>
          <w:bottom w:w="0" w:type="dxa"/>
          <w:right w:w="108" w:type="dxa"/>
        </w:tblCellMar>
      </w:tblPr>
      <w:tblGrid>
        <w:gridCol w:w="1194"/>
        <w:gridCol w:w="696"/>
        <w:gridCol w:w="2142"/>
        <w:gridCol w:w="2142"/>
        <w:gridCol w:w="2142"/>
      </w:tblGrid>
      <w:tr>
        <w:tblPrEx>
          <w:tblCellMar>
            <w:top w:w="0" w:type="dxa"/>
            <w:left w:w="108" w:type="dxa"/>
            <w:bottom w:w="0" w:type="dxa"/>
            <w:right w:w="108" w:type="dxa"/>
          </w:tblCellMar>
        </w:tblPrEx>
        <w:trPr>
          <w:trHeight w:val="275" w:hRule="atLeast"/>
          <w:tblHeader/>
        </w:trPr>
        <w:tc>
          <w:tcPr>
            <w:tcW w:w="1194" w:type="dxa"/>
            <w:tcBorders>
              <w:top w:val="single" w:color="auto" w:sz="4" w:space="0"/>
              <w:left w:val="single" w:color="auto" w:sz="4" w:space="0"/>
              <w:bottom w:val="single" w:color="auto" w:sz="4" w:space="0"/>
              <w:right w:val="single" w:color="auto" w:sz="4" w:space="0"/>
            </w:tcBorders>
            <w:vAlign w:val="center"/>
          </w:tcPr>
          <w:p>
            <w:pPr>
              <w:pStyle w:val="290"/>
            </w:pPr>
            <w:r>
              <w:t>设防烈度</w:t>
            </w:r>
          </w:p>
        </w:tc>
        <w:tc>
          <w:tcPr>
            <w:tcW w:w="696" w:type="dxa"/>
            <w:tcBorders>
              <w:top w:val="single" w:color="auto" w:sz="4" w:space="0"/>
              <w:left w:val="nil"/>
              <w:bottom w:val="single" w:color="auto" w:sz="4" w:space="0"/>
              <w:right w:val="single" w:color="auto" w:sz="4" w:space="0"/>
            </w:tcBorders>
            <w:vAlign w:val="center"/>
          </w:tcPr>
          <w:p>
            <w:pPr>
              <w:pStyle w:val="290"/>
            </w:pPr>
            <w:r>
              <w:t>楼层</w:t>
            </w:r>
          </w:p>
        </w:tc>
        <w:tc>
          <w:tcPr>
            <w:tcW w:w="2142" w:type="dxa"/>
            <w:tcBorders>
              <w:top w:val="single" w:color="auto" w:sz="4" w:space="0"/>
              <w:left w:val="nil"/>
              <w:bottom w:val="single" w:color="auto" w:sz="4" w:space="0"/>
              <w:right w:val="single" w:color="auto" w:sz="4" w:space="0"/>
            </w:tcBorders>
            <w:vAlign w:val="center"/>
          </w:tcPr>
          <w:p>
            <w:pPr>
              <w:pStyle w:val="290"/>
            </w:pPr>
            <w:r>
              <w:t>支撑构件规格</w:t>
            </w:r>
          </w:p>
        </w:tc>
        <w:tc>
          <w:tcPr>
            <w:tcW w:w="2142" w:type="dxa"/>
            <w:tcBorders>
              <w:top w:val="single" w:color="auto" w:sz="4" w:space="0"/>
              <w:left w:val="nil"/>
              <w:bottom w:val="single" w:color="auto" w:sz="4" w:space="0"/>
              <w:right w:val="single" w:color="auto" w:sz="4" w:space="0"/>
            </w:tcBorders>
            <w:vAlign w:val="center"/>
          </w:tcPr>
          <w:p>
            <w:pPr>
              <w:pStyle w:val="290"/>
            </w:pPr>
            <w:r>
              <w:t>支撑构件锚栓个数</w:t>
            </w:r>
          </w:p>
        </w:tc>
        <w:tc>
          <w:tcPr>
            <w:tcW w:w="2142" w:type="dxa"/>
            <w:tcBorders>
              <w:top w:val="single" w:color="auto" w:sz="4" w:space="0"/>
              <w:left w:val="nil"/>
              <w:bottom w:val="single" w:color="auto" w:sz="4" w:space="0"/>
              <w:right w:val="single" w:color="auto" w:sz="4" w:space="0"/>
            </w:tcBorders>
            <w:vAlign w:val="center"/>
          </w:tcPr>
          <w:p>
            <w:pPr>
              <w:pStyle w:val="290"/>
            </w:pPr>
            <w:r>
              <w:t>支撑构件锚栓规格</w:t>
            </w:r>
          </w:p>
        </w:tc>
      </w:tr>
      <w:tr>
        <w:tblPrEx>
          <w:tblCellMar>
            <w:top w:w="0" w:type="dxa"/>
            <w:left w:w="108" w:type="dxa"/>
            <w:bottom w:w="0" w:type="dxa"/>
            <w:right w:w="108" w:type="dxa"/>
          </w:tblCellMar>
        </w:tblPrEx>
        <w:trPr>
          <w:trHeight w:val="270" w:hRule="atLeast"/>
        </w:trPr>
        <w:tc>
          <w:tcPr>
            <w:tcW w:w="1194" w:type="dxa"/>
            <w:vMerge w:val="restart"/>
            <w:tcBorders>
              <w:top w:val="nil"/>
              <w:left w:val="single" w:color="auto" w:sz="4" w:space="0"/>
              <w:bottom w:val="single" w:color="auto" w:sz="4" w:space="0"/>
              <w:right w:val="single" w:color="auto" w:sz="4" w:space="0"/>
            </w:tcBorders>
            <w:vAlign w:val="center"/>
          </w:tcPr>
          <w:p>
            <w:pPr>
              <w:pStyle w:val="290"/>
            </w:pPr>
            <w:r>
              <w:t>8度及以下</w:t>
            </w:r>
          </w:p>
        </w:tc>
        <w:tc>
          <w:tcPr>
            <w:tcW w:w="696" w:type="dxa"/>
            <w:tcBorders>
              <w:top w:val="nil"/>
              <w:left w:val="nil"/>
              <w:bottom w:val="single" w:color="auto" w:sz="4" w:space="0"/>
              <w:right w:val="single" w:color="auto" w:sz="4" w:space="0"/>
            </w:tcBorders>
            <w:vAlign w:val="center"/>
          </w:tcPr>
          <w:p>
            <w:pPr>
              <w:pStyle w:val="290"/>
            </w:pPr>
            <w:r>
              <w:t>下层</w:t>
            </w:r>
          </w:p>
        </w:tc>
        <w:tc>
          <w:tcPr>
            <w:tcW w:w="2142" w:type="dxa"/>
            <w:tcBorders>
              <w:top w:val="nil"/>
              <w:left w:val="nil"/>
              <w:bottom w:val="single" w:color="auto" w:sz="4" w:space="0"/>
              <w:right w:val="single" w:color="auto" w:sz="4" w:space="0"/>
            </w:tcBorders>
            <w:vAlign w:val="center"/>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不小于M10</w:t>
            </w:r>
          </w:p>
        </w:tc>
      </w:tr>
      <w:tr>
        <w:tblPrEx>
          <w:tblCellMar>
            <w:top w:w="0" w:type="dxa"/>
            <w:left w:w="108" w:type="dxa"/>
            <w:bottom w:w="0" w:type="dxa"/>
            <w:right w:w="108" w:type="dxa"/>
          </w:tblCellMar>
        </w:tblPrEx>
        <w:trPr>
          <w:trHeight w:val="270" w:hRule="atLeast"/>
        </w:trPr>
        <w:tc>
          <w:tcPr>
            <w:tcW w:w="1194"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696" w:type="dxa"/>
            <w:tcBorders>
              <w:top w:val="nil"/>
              <w:left w:val="nil"/>
              <w:bottom w:val="single" w:color="auto" w:sz="4" w:space="0"/>
              <w:right w:val="single" w:color="auto" w:sz="4" w:space="0"/>
            </w:tcBorders>
            <w:vAlign w:val="center"/>
          </w:tcPr>
          <w:p>
            <w:pPr>
              <w:pStyle w:val="290"/>
            </w:pPr>
            <w:r>
              <w:t>上层</w:t>
            </w:r>
          </w:p>
        </w:tc>
        <w:tc>
          <w:tcPr>
            <w:tcW w:w="2142" w:type="dxa"/>
            <w:tcBorders>
              <w:top w:val="nil"/>
              <w:left w:val="nil"/>
              <w:bottom w:val="single" w:color="auto" w:sz="4" w:space="0"/>
              <w:right w:val="single" w:color="auto" w:sz="4" w:space="0"/>
            </w:tcBorders>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不小于M10</w:t>
            </w:r>
          </w:p>
        </w:tc>
      </w:tr>
      <w:tr>
        <w:tblPrEx>
          <w:tblCellMar>
            <w:top w:w="0" w:type="dxa"/>
            <w:left w:w="108" w:type="dxa"/>
            <w:bottom w:w="0" w:type="dxa"/>
            <w:right w:w="108" w:type="dxa"/>
          </w:tblCellMar>
        </w:tblPrEx>
        <w:trPr>
          <w:trHeight w:val="270" w:hRule="atLeast"/>
        </w:trPr>
        <w:tc>
          <w:tcPr>
            <w:tcW w:w="1194" w:type="dxa"/>
            <w:vMerge w:val="restart"/>
            <w:tcBorders>
              <w:top w:val="nil"/>
              <w:left w:val="single" w:color="auto" w:sz="4" w:space="0"/>
              <w:bottom w:val="single" w:color="auto" w:sz="4" w:space="0"/>
              <w:right w:val="single" w:color="auto" w:sz="4" w:space="0"/>
            </w:tcBorders>
            <w:vAlign w:val="center"/>
          </w:tcPr>
          <w:p>
            <w:pPr>
              <w:pStyle w:val="290"/>
            </w:pPr>
            <w:r>
              <w:t>9度</w:t>
            </w:r>
          </w:p>
        </w:tc>
        <w:tc>
          <w:tcPr>
            <w:tcW w:w="696" w:type="dxa"/>
            <w:tcBorders>
              <w:top w:val="nil"/>
              <w:left w:val="nil"/>
              <w:bottom w:val="single" w:color="auto" w:sz="4" w:space="0"/>
              <w:right w:val="single" w:color="auto" w:sz="4" w:space="0"/>
            </w:tcBorders>
            <w:vAlign w:val="center"/>
          </w:tcPr>
          <w:p>
            <w:pPr>
              <w:pStyle w:val="290"/>
            </w:pPr>
            <w:r>
              <w:t>下层</w:t>
            </w:r>
          </w:p>
        </w:tc>
        <w:tc>
          <w:tcPr>
            <w:tcW w:w="2142" w:type="dxa"/>
            <w:tcBorders>
              <w:top w:val="nil"/>
              <w:left w:val="nil"/>
              <w:bottom w:val="single" w:color="auto" w:sz="4" w:space="0"/>
              <w:right w:val="single" w:color="auto" w:sz="4" w:space="0"/>
            </w:tcBorders>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不小于M10</w:t>
            </w:r>
          </w:p>
        </w:tc>
      </w:tr>
      <w:tr>
        <w:tblPrEx>
          <w:tblCellMar>
            <w:top w:w="0" w:type="dxa"/>
            <w:left w:w="108" w:type="dxa"/>
            <w:bottom w:w="0" w:type="dxa"/>
            <w:right w:w="108" w:type="dxa"/>
          </w:tblCellMar>
        </w:tblPrEx>
        <w:trPr>
          <w:trHeight w:val="270" w:hRule="atLeast"/>
        </w:trPr>
        <w:tc>
          <w:tcPr>
            <w:tcW w:w="1194"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696" w:type="dxa"/>
            <w:tcBorders>
              <w:top w:val="nil"/>
              <w:left w:val="nil"/>
              <w:bottom w:val="single" w:color="auto" w:sz="4" w:space="0"/>
              <w:right w:val="single" w:color="auto" w:sz="4" w:space="0"/>
            </w:tcBorders>
            <w:vAlign w:val="center"/>
          </w:tcPr>
          <w:p>
            <w:pPr>
              <w:pStyle w:val="290"/>
            </w:pPr>
            <w:r>
              <w:t>上层</w:t>
            </w:r>
          </w:p>
        </w:tc>
        <w:tc>
          <w:tcPr>
            <w:tcW w:w="2142" w:type="dxa"/>
            <w:tcBorders>
              <w:top w:val="nil"/>
              <w:left w:val="nil"/>
              <w:bottom w:val="single" w:color="auto" w:sz="4" w:space="0"/>
              <w:right w:val="single" w:color="auto" w:sz="4" w:space="0"/>
            </w:tcBorders>
          </w:tcPr>
          <w:p>
            <w:pPr>
              <w:pStyle w:val="290"/>
            </w:pPr>
            <w:r>
              <w:t>L50×5</w:t>
            </w:r>
          </w:p>
        </w:tc>
        <w:tc>
          <w:tcPr>
            <w:tcW w:w="2142" w:type="dxa"/>
            <w:tcBorders>
              <w:top w:val="nil"/>
              <w:left w:val="nil"/>
              <w:bottom w:val="single" w:color="auto" w:sz="4" w:space="0"/>
              <w:right w:val="single" w:color="auto" w:sz="4" w:space="0"/>
            </w:tcBorders>
            <w:vAlign w:val="center"/>
          </w:tcPr>
          <w:p>
            <w:pPr>
              <w:pStyle w:val="290"/>
            </w:pPr>
            <w:r>
              <w:t>2</w:t>
            </w:r>
          </w:p>
        </w:tc>
        <w:tc>
          <w:tcPr>
            <w:tcW w:w="2142" w:type="dxa"/>
            <w:tcBorders>
              <w:top w:val="nil"/>
              <w:left w:val="nil"/>
              <w:bottom w:val="single" w:color="auto" w:sz="4" w:space="0"/>
              <w:right w:val="single" w:color="auto" w:sz="4" w:space="0"/>
            </w:tcBorders>
            <w:vAlign w:val="center"/>
          </w:tcPr>
          <w:p>
            <w:pPr>
              <w:pStyle w:val="290"/>
            </w:pPr>
            <w:r>
              <w:t>不小于M12</w:t>
            </w:r>
          </w:p>
        </w:tc>
      </w:tr>
    </w:tbl>
    <w:p>
      <w:pPr>
        <w:adjustRightInd w:val="0"/>
        <w:snapToGrid w:val="0"/>
        <w:ind w:firstLine="360"/>
        <w:rPr>
          <w:rFonts w:cs="Times New Roman"/>
          <w:sz w:val="18"/>
          <w:szCs w:val="18"/>
        </w:rPr>
      </w:pPr>
      <w:r>
        <w:rPr>
          <w:rFonts w:cs="Times New Roman"/>
          <w:sz w:val="18"/>
          <w:szCs w:val="18"/>
        </w:rPr>
        <w:t>注1：上层指建筑物地上楼层的上半部分，下层指建筑物地上楼层的下半部分；处于建筑物地上楼层中间部位的，按上层取用；单层房屋按表中下层考虑。</w:t>
      </w:r>
    </w:p>
    <w:p>
      <w:pPr>
        <w:adjustRightInd w:val="0"/>
        <w:snapToGrid w:val="0"/>
        <w:ind w:firstLine="360"/>
        <w:rPr>
          <w:rFonts w:cs="Times New Roman"/>
          <w:sz w:val="18"/>
          <w:szCs w:val="18"/>
        </w:rPr>
      </w:pPr>
      <w:r>
        <w:rPr>
          <w:rFonts w:cs="Times New Roman"/>
          <w:sz w:val="18"/>
          <w:szCs w:val="18"/>
        </w:rPr>
        <w:t>注2：本表适用于机列中单台设备重量不大于500kg的情况。</w:t>
      </w:r>
    </w:p>
    <w:p>
      <w:pPr>
        <w:ind w:firstLine="480"/>
        <w:rPr>
          <w:rFonts w:cs="Times New Roman"/>
        </w:rPr>
      </w:pPr>
      <w:r>
        <w:rPr>
          <w:rFonts w:cs="Times New Roman"/>
        </w:rPr>
        <w:t>（3）台式电信设备抗震措施</w:t>
      </w:r>
    </w:p>
    <w:p>
      <w:pPr>
        <w:ind w:firstLine="480"/>
        <w:rPr>
          <w:rFonts w:cs="Times New Roman"/>
        </w:rPr>
      </w:pPr>
      <w:r>
        <w:rPr>
          <w:rFonts w:cs="Times New Roman"/>
        </w:rPr>
        <w:t>根据YD 5059-2005《电信设备安装抗震设计规范》条文说明，台式电信设备安装组合架没有定型产品，因此在加工制作时，选用的材料应有足够的强度；电信设备与组合架应安装牢固，防止地震时设备掉落。</w:t>
      </w:r>
    </w:p>
    <w:p>
      <w:pPr>
        <w:ind w:firstLine="480"/>
        <w:rPr>
          <w:rFonts w:cs="Times New Roman"/>
        </w:rPr>
      </w:pPr>
      <w:r>
        <w:rPr>
          <w:rFonts w:cs="Times New Roman"/>
        </w:rPr>
        <w:t>6度和7度抗震设防时，小型台式设备宜用组合机架方式安装。组合架顶部应与铁架上梁或房屋构件加固，底部应与地面加固，所用锚栓规格按YD 5059-2005《电信设备安装抗震设计规范》的公式计算确定。</w:t>
      </w:r>
    </w:p>
    <w:p>
      <w:pPr>
        <w:ind w:firstLine="480"/>
        <w:rPr>
          <w:rFonts w:cs="Times New Roman"/>
        </w:rPr>
      </w:pPr>
      <w:r>
        <w:rPr>
          <w:rFonts w:cs="Times New Roman"/>
        </w:rPr>
        <w:t>根据YD 5059-2005《电信设备安装抗震设计规范》第5.2.2条的要求，8度及8度以上的抗震设防，小型台式设备应安装在抗震组合柜内。抗震组合柜顶部应与铁架上梁或房屋构件加固，底部应与地面加固，所用锚栓规格按YD 5059-2005《电信设备安装抗震设计规范》的公式计算确定。</w:t>
      </w:r>
    </w:p>
    <w:p>
      <w:pPr>
        <w:ind w:firstLine="480"/>
        <w:rPr>
          <w:rFonts w:cs="Times New Roman"/>
        </w:rPr>
      </w:pPr>
      <w:r>
        <w:rPr>
          <w:rFonts w:cs="Times New Roman"/>
        </w:rPr>
        <w:t>对在桌面上进行操作的台式设备，可用压条直接固定在桌面上，也可在桌面上设置下凹形底座，将设备直接蹲坐在凹形底座内。</w:t>
      </w:r>
    </w:p>
    <w:p>
      <w:pPr>
        <w:ind w:firstLine="480"/>
        <w:rPr>
          <w:rFonts w:cs="Times New Roman"/>
        </w:rPr>
      </w:pPr>
      <w:r>
        <w:rPr>
          <w:rFonts w:cs="Times New Roman"/>
        </w:rPr>
        <w:t>（4）自立式电信设备抗震措施</w:t>
      </w:r>
    </w:p>
    <w:p>
      <w:pPr>
        <w:ind w:firstLine="480"/>
        <w:rPr>
          <w:rFonts w:cs="Times New Roman"/>
        </w:rPr>
      </w:pPr>
      <w:r>
        <w:rPr>
          <w:rFonts w:hint="eastAsia" w:ascii="宋体" w:hAnsi="宋体" w:cs="宋体"/>
        </w:rPr>
        <w:t>①</w:t>
      </w:r>
      <w:r>
        <w:rPr>
          <w:rFonts w:cs="Times New Roman"/>
        </w:rPr>
        <w:t>抗震措施要求</w:t>
      </w:r>
    </w:p>
    <w:p>
      <w:pPr>
        <w:ind w:firstLine="480"/>
        <w:rPr>
          <w:rFonts w:cs="Times New Roman"/>
        </w:rPr>
      </w:pPr>
      <w:r>
        <w:rPr>
          <w:rFonts w:cs="Times New Roman"/>
        </w:rPr>
        <w:t>根据YD 5059-2005《电信设备安装抗震设计规范》条文说明，自立式通信设备是指宽度为650mm～800mm，深度为500mm～800mm、高度为2000mm和2000mm以下，重量较重、重心较低、顶部不用铁架安装的设备。</w:t>
      </w:r>
    </w:p>
    <w:p>
      <w:pPr>
        <w:ind w:firstLine="480"/>
        <w:rPr>
          <w:rFonts w:cs="Times New Roman"/>
        </w:rPr>
      </w:pPr>
      <w:r>
        <w:rPr>
          <w:rFonts w:cs="Times New Roman"/>
        </w:rPr>
        <w:t>根据YD 5059-2005《电信设备安装抗震设计规范》第5.3.1条的要求，6～9度抗震设防时，自立式设备底部应与地面加固。其锚栓规格按YD 5059-2005《电信设备安装抗震设计规范》的公式计算确定。</w:t>
      </w:r>
    </w:p>
    <w:p>
      <w:pPr>
        <w:ind w:firstLine="480"/>
        <w:rPr>
          <w:rFonts w:cs="Times New Roman"/>
        </w:rPr>
      </w:pPr>
      <w:r>
        <w:rPr>
          <w:rFonts w:cs="Times New Roman"/>
        </w:rPr>
        <w:t>根据YD 5059-2005《电信设备安装抗震设计规范》第5.3.2条的要求，6～9度抗震设防时，按上述计算的螺栓直径超过M12时，设备顶部应采用联结构件支撑加固，联结构件及地面加固锚栓的规格按YD 5059-2005《电信设备安装抗震设计规范》的公式计算确定。</w:t>
      </w:r>
    </w:p>
    <w:p>
      <w:pPr>
        <w:ind w:firstLine="480"/>
        <w:rPr>
          <w:rFonts w:cs="Times New Roman"/>
        </w:rPr>
      </w:pPr>
      <w:r>
        <w:rPr>
          <w:rFonts w:hint="eastAsia" w:ascii="宋体" w:hAnsi="宋体" w:cs="宋体"/>
        </w:rPr>
        <w:t>②</w:t>
      </w:r>
      <w:r>
        <w:rPr>
          <w:rFonts w:cs="Times New Roman"/>
        </w:rPr>
        <w:t xml:space="preserve"> 抗震加固锚栓</w:t>
      </w:r>
    </w:p>
    <w:p>
      <w:pPr>
        <w:ind w:firstLine="480"/>
        <w:rPr>
          <w:rFonts w:cs="Times New Roman"/>
        </w:rPr>
      </w:pPr>
      <w:r>
        <w:rPr>
          <w:rFonts w:cs="Times New Roman"/>
        </w:rPr>
        <w:t>根据相关规范和计算，高度小于2000mm、宽度为650~800mm、深度为500~800mm、重量不大于300kg的设备，为自立式设备，其地脚锚栓数量及型号按下表</w:t>
      </w:r>
      <w:r>
        <w:rPr>
          <w:rFonts w:cs="Times New Roman"/>
          <w:color w:val="FF0000"/>
        </w:rPr>
        <w:t>14.</w:t>
      </w:r>
      <w:r>
        <w:rPr>
          <w:rFonts w:hint="eastAsia" w:cs="Times New Roman"/>
          <w:color w:val="FF0000"/>
        </w:rPr>
        <w:t>5</w:t>
      </w:r>
      <w:r>
        <w:rPr>
          <w:rFonts w:cs="Times New Roman"/>
          <w:color w:val="FF0000"/>
        </w:rPr>
        <w:t>-11</w:t>
      </w:r>
      <w:r>
        <w:rPr>
          <w:rFonts w:cs="Times New Roman"/>
        </w:rPr>
        <w:t>取用。结合现网主要应用的移动通信设备的机械参数，经核算，当设备高度小于2000mm、宽度及深度不小于400mm、且设备重量不大于300kg时，地脚锚栓数量及型号也可按下表</w:t>
      </w:r>
      <w:r>
        <w:rPr>
          <w:rFonts w:cs="Times New Roman"/>
          <w:color w:val="FF0000"/>
        </w:rPr>
        <w:t>14.</w:t>
      </w:r>
      <w:r>
        <w:rPr>
          <w:rFonts w:hint="eastAsia" w:cs="Times New Roman"/>
          <w:color w:val="FF0000"/>
        </w:rPr>
        <w:t>5</w:t>
      </w:r>
      <w:r>
        <w:rPr>
          <w:rFonts w:cs="Times New Roman"/>
          <w:color w:val="FF0000"/>
        </w:rPr>
        <w:t>-11</w:t>
      </w:r>
      <w:r>
        <w:rPr>
          <w:rFonts w:cs="Times New Roman"/>
        </w:rPr>
        <w:t>取用。其余2000mm高度以下设备的安装加固应由建筑专业进行复核，当复核结果不满足自立式设备加固方式时采用上部增加支撑的“架式设备”安装方式。</w:t>
      </w:r>
    </w:p>
    <w:p>
      <w:pPr>
        <w:pStyle w:val="603"/>
        <w:ind w:firstLine="400"/>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-11  </w:t>
      </w:r>
      <w:r>
        <w:rPr>
          <w:rFonts w:cs="Times New Roman"/>
        </w:rPr>
        <w:t>自立式电信设备地脚锚栓规格数量</w:t>
      </w:r>
    </w:p>
    <w:tbl>
      <w:tblPr>
        <w:tblStyle w:val="63"/>
        <w:tblW w:w="8522" w:type="dxa"/>
        <w:tblInd w:w="0" w:type="dxa"/>
        <w:tblLayout w:type="fixed"/>
        <w:tblCellMar>
          <w:top w:w="0" w:type="dxa"/>
          <w:left w:w="108" w:type="dxa"/>
          <w:bottom w:w="0" w:type="dxa"/>
          <w:right w:w="108" w:type="dxa"/>
        </w:tblCellMar>
      </w:tblPr>
      <w:tblGrid>
        <w:gridCol w:w="1395"/>
        <w:gridCol w:w="832"/>
        <w:gridCol w:w="1896"/>
        <w:gridCol w:w="1527"/>
        <w:gridCol w:w="2872"/>
      </w:tblGrid>
      <w:tr>
        <w:tblPrEx>
          <w:tblCellMar>
            <w:top w:w="0" w:type="dxa"/>
            <w:left w:w="108" w:type="dxa"/>
            <w:bottom w:w="0" w:type="dxa"/>
            <w:right w:w="108" w:type="dxa"/>
          </w:tblCellMar>
        </w:tblPrEx>
        <w:trPr>
          <w:trHeight w:val="634" w:hRule="atLeast"/>
        </w:trPr>
        <w:tc>
          <w:tcPr>
            <w:tcW w:w="1395" w:type="dxa"/>
            <w:tcBorders>
              <w:top w:val="single" w:color="auto" w:sz="4" w:space="0"/>
              <w:left w:val="single" w:color="auto" w:sz="4" w:space="0"/>
              <w:bottom w:val="single" w:color="auto" w:sz="4" w:space="0"/>
              <w:right w:val="single" w:color="auto" w:sz="4" w:space="0"/>
            </w:tcBorders>
            <w:vAlign w:val="center"/>
          </w:tcPr>
          <w:p>
            <w:pPr>
              <w:pStyle w:val="290"/>
            </w:pPr>
            <w:r>
              <w:t>设防烈度</w:t>
            </w:r>
          </w:p>
        </w:tc>
        <w:tc>
          <w:tcPr>
            <w:tcW w:w="832" w:type="dxa"/>
            <w:tcBorders>
              <w:top w:val="single" w:color="auto" w:sz="4" w:space="0"/>
              <w:left w:val="nil"/>
              <w:bottom w:val="single" w:color="auto" w:sz="4" w:space="0"/>
              <w:right w:val="single" w:color="auto" w:sz="4" w:space="0"/>
            </w:tcBorders>
            <w:vAlign w:val="center"/>
          </w:tcPr>
          <w:p>
            <w:pPr>
              <w:pStyle w:val="290"/>
            </w:pPr>
            <w:r>
              <w:t>楼层</w:t>
            </w:r>
          </w:p>
        </w:tc>
        <w:tc>
          <w:tcPr>
            <w:tcW w:w="1896" w:type="dxa"/>
            <w:tcBorders>
              <w:top w:val="single" w:color="auto" w:sz="4" w:space="0"/>
              <w:left w:val="nil"/>
              <w:bottom w:val="single" w:color="auto" w:sz="4" w:space="0"/>
              <w:right w:val="single" w:color="auto" w:sz="4" w:space="0"/>
            </w:tcBorders>
            <w:vAlign w:val="center"/>
          </w:tcPr>
          <w:p>
            <w:pPr>
              <w:pStyle w:val="290"/>
            </w:pPr>
            <w:r>
              <w:t>每台设备的锚栓数</w:t>
            </w:r>
          </w:p>
        </w:tc>
        <w:tc>
          <w:tcPr>
            <w:tcW w:w="1527" w:type="dxa"/>
            <w:tcBorders>
              <w:top w:val="single" w:color="auto" w:sz="4" w:space="0"/>
              <w:left w:val="nil"/>
              <w:bottom w:val="nil"/>
              <w:right w:val="single" w:color="auto" w:sz="4" w:space="0"/>
            </w:tcBorders>
            <w:vAlign w:val="center"/>
          </w:tcPr>
          <w:p>
            <w:pPr>
              <w:pStyle w:val="290"/>
            </w:pPr>
            <w:r>
              <w:t>锚栓规格</w:t>
            </w:r>
          </w:p>
        </w:tc>
        <w:tc>
          <w:tcPr>
            <w:tcW w:w="2872" w:type="dxa"/>
            <w:tcBorders>
              <w:top w:val="single" w:color="auto" w:sz="4" w:space="0"/>
              <w:left w:val="nil"/>
              <w:bottom w:val="single" w:color="auto" w:sz="4" w:space="0"/>
              <w:right w:val="single" w:color="auto" w:sz="4" w:space="0"/>
            </w:tcBorders>
            <w:vAlign w:val="center"/>
          </w:tcPr>
          <w:p>
            <w:pPr>
              <w:pStyle w:val="290"/>
            </w:pPr>
            <w:r>
              <w:t>备注</w:t>
            </w: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8度及以下</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不小于M10</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single" w:color="auto" w:sz="4" w:space="0"/>
              <w:bottom w:val="single" w:color="auto" w:sz="4" w:space="0"/>
              <w:right w:val="single" w:color="auto" w:sz="4" w:space="0"/>
            </w:tcBorders>
            <w:vAlign w:val="center"/>
          </w:tcPr>
          <w:p>
            <w:pPr>
              <w:pStyle w:val="290"/>
            </w:pPr>
            <w:r>
              <w:t>4</w:t>
            </w:r>
          </w:p>
        </w:tc>
        <w:tc>
          <w:tcPr>
            <w:tcW w:w="1527" w:type="dxa"/>
            <w:tcBorders>
              <w:top w:val="single" w:color="auto" w:sz="4" w:space="0"/>
              <w:left w:val="single" w:color="auto" w:sz="4" w:space="0"/>
              <w:bottom w:val="single" w:color="auto" w:sz="4" w:space="0"/>
              <w:right w:val="single" w:color="auto" w:sz="4" w:space="0"/>
            </w:tcBorders>
            <w:vAlign w:val="center"/>
          </w:tcPr>
          <w:p>
            <w:pPr>
              <w:pStyle w:val="290"/>
            </w:pPr>
            <w:r>
              <w:t>不小于M12</w:t>
            </w:r>
          </w:p>
        </w:tc>
        <w:tc>
          <w:tcPr>
            <w:tcW w:w="2872" w:type="dxa"/>
            <w:tcBorders>
              <w:top w:val="single" w:color="auto" w:sz="4" w:space="0"/>
              <w:left w:val="single" w:color="auto" w:sz="4" w:space="0"/>
              <w:bottom w:val="single" w:color="auto" w:sz="4" w:space="0"/>
              <w:right w:val="single" w:color="auto" w:sz="4" w:space="0"/>
            </w:tcBorders>
          </w:tcPr>
          <w:p>
            <w:pPr>
              <w:pStyle w:val="290"/>
            </w:pPr>
          </w:p>
        </w:tc>
      </w:tr>
      <w:tr>
        <w:tblPrEx>
          <w:tblCellMar>
            <w:top w:w="0" w:type="dxa"/>
            <w:left w:w="108" w:type="dxa"/>
            <w:bottom w:w="0" w:type="dxa"/>
            <w:right w:w="108" w:type="dxa"/>
          </w:tblCellMar>
        </w:tblPrEx>
        <w:trPr>
          <w:trHeight w:val="270" w:hRule="atLeast"/>
        </w:trPr>
        <w:tc>
          <w:tcPr>
            <w:tcW w:w="1395" w:type="dxa"/>
            <w:vMerge w:val="restart"/>
            <w:tcBorders>
              <w:top w:val="single" w:color="auto" w:sz="4" w:space="0"/>
              <w:left w:val="single" w:color="auto" w:sz="4" w:space="0"/>
              <w:bottom w:val="single" w:color="auto" w:sz="4" w:space="0"/>
              <w:right w:val="single" w:color="auto" w:sz="4" w:space="0"/>
            </w:tcBorders>
            <w:vAlign w:val="center"/>
          </w:tcPr>
          <w:p>
            <w:pPr>
              <w:pStyle w:val="290"/>
            </w:pPr>
            <w:r>
              <w:t>9度</w:t>
            </w: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下层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restart"/>
            <w:tcBorders>
              <w:top w:val="single" w:color="auto" w:sz="4" w:space="0"/>
              <w:left w:val="nil"/>
              <w:bottom w:val="single" w:color="auto" w:sz="4" w:space="0"/>
              <w:right w:val="single" w:color="auto" w:sz="4" w:space="0"/>
            </w:tcBorders>
          </w:tcPr>
          <w:p>
            <w:pPr>
              <w:pStyle w:val="290"/>
            </w:pPr>
            <w:r>
              <w:t>设备高度大于1.5米时尚需要增加上部支撑</w:t>
            </w:r>
          </w:p>
        </w:tc>
      </w:tr>
      <w:tr>
        <w:tblPrEx>
          <w:tblCellMar>
            <w:top w:w="0" w:type="dxa"/>
            <w:left w:w="108" w:type="dxa"/>
            <w:bottom w:w="0" w:type="dxa"/>
            <w:right w:w="108" w:type="dxa"/>
          </w:tblCellMar>
        </w:tblPrEx>
        <w:trPr>
          <w:trHeight w:val="270" w:hRule="atLeast"/>
        </w:trPr>
        <w:tc>
          <w:tcPr>
            <w:tcW w:w="139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c>
          <w:tcPr>
            <w:tcW w:w="832" w:type="dxa"/>
            <w:tcBorders>
              <w:top w:val="single" w:color="auto" w:sz="4" w:space="0"/>
              <w:left w:val="single" w:color="auto" w:sz="4" w:space="0"/>
              <w:bottom w:val="single" w:color="auto" w:sz="4" w:space="0"/>
              <w:right w:val="single" w:color="auto" w:sz="4" w:space="0"/>
            </w:tcBorders>
            <w:vAlign w:val="center"/>
          </w:tcPr>
          <w:p>
            <w:pPr>
              <w:pStyle w:val="290"/>
            </w:pPr>
            <w:r>
              <w:t>上层</w:t>
            </w:r>
          </w:p>
        </w:tc>
        <w:tc>
          <w:tcPr>
            <w:tcW w:w="1896" w:type="dxa"/>
            <w:tcBorders>
              <w:top w:val="single" w:color="auto" w:sz="4" w:space="0"/>
              <w:left w:val="nil"/>
              <w:bottom w:val="single" w:color="auto" w:sz="4" w:space="0"/>
              <w:right w:val="single" w:color="auto" w:sz="4" w:space="0"/>
            </w:tcBorders>
            <w:vAlign w:val="center"/>
          </w:tcPr>
          <w:p>
            <w:pPr>
              <w:pStyle w:val="290"/>
            </w:pPr>
            <w:r>
              <w:t>4</w:t>
            </w:r>
          </w:p>
        </w:tc>
        <w:tc>
          <w:tcPr>
            <w:tcW w:w="1527" w:type="dxa"/>
            <w:tcBorders>
              <w:top w:val="single" w:color="auto" w:sz="4" w:space="0"/>
              <w:left w:val="nil"/>
              <w:bottom w:val="single" w:color="auto" w:sz="4" w:space="0"/>
              <w:right w:val="single" w:color="auto" w:sz="4" w:space="0"/>
            </w:tcBorders>
            <w:vAlign w:val="center"/>
          </w:tcPr>
          <w:p>
            <w:pPr>
              <w:pStyle w:val="290"/>
            </w:pPr>
            <w:r>
              <w:t>不小于M12</w:t>
            </w:r>
          </w:p>
        </w:tc>
        <w:tc>
          <w:tcPr>
            <w:tcW w:w="2872" w:type="dxa"/>
            <w:vMerge w:val="continue"/>
            <w:tcBorders>
              <w:top w:val="single" w:color="auto" w:sz="4" w:space="0"/>
              <w:left w:val="nil"/>
              <w:bottom w:val="single" w:color="auto" w:sz="4" w:space="0"/>
              <w:right w:val="single" w:color="auto" w:sz="4" w:space="0"/>
            </w:tcBorders>
            <w:vAlign w:val="center"/>
          </w:tcPr>
          <w:p>
            <w:pPr>
              <w:widowControl/>
              <w:spacing w:line="240" w:lineRule="auto"/>
              <w:ind w:firstLine="0" w:firstLineChars="0"/>
              <w:jc w:val="left"/>
              <w:rPr>
                <w:rFonts w:cs="Times New Roman"/>
                <w:sz w:val="21"/>
              </w:rPr>
            </w:pPr>
          </w:p>
        </w:tc>
      </w:tr>
    </w:tbl>
    <w:p>
      <w:pPr>
        <w:adjustRightInd w:val="0"/>
        <w:snapToGrid w:val="0"/>
        <w:ind w:firstLine="360"/>
        <w:rPr>
          <w:rFonts w:cs="Times New Roman"/>
          <w:sz w:val="18"/>
          <w:szCs w:val="18"/>
        </w:rPr>
      </w:pPr>
      <w:r>
        <w:rPr>
          <w:rFonts w:cs="Times New Roman"/>
          <w:sz w:val="18"/>
          <w:szCs w:val="18"/>
        </w:rPr>
        <w:t>注1：本表适用于机列中单台设备重量不大于300kg的情况。</w:t>
      </w:r>
    </w:p>
    <w:p>
      <w:pPr>
        <w:adjustRightInd w:val="0"/>
        <w:snapToGrid w:val="0"/>
        <w:ind w:firstLine="360"/>
        <w:rPr>
          <w:rFonts w:cs="Times New Roman"/>
          <w:sz w:val="18"/>
          <w:szCs w:val="18"/>
        </w:rPr>
      </w:pPr>
      <w:r>
        <w:rPr>
          <w:rFonts w:cs="Times New Roman"/>
          <w:sz w:val="18"/>
          <w:szCs w:val="18"/>
        </w:rPr>
        <w:t>注2：上层指建筑物地上楼层的上半部分，下层指建筑物地上楼层的下半部分；处于建筑物地上楼层中间部位的，按上层取用；单层房屋按表中下层考虑。</w:t>
      </w:r>
    </w:p>
    <w:p>
      <w:pPr>
        <w:adjustRightInd w:val="0"/>
        <w:snapToGrid w:val="0"/>
        <w:ind w:firstLine="360"/>
        <w:rPr>
          <w:rFonts w:cs="Times New Roman"/>
          <w:sz w:val="18"/>
          <w:szCs w:val="18"/>
        </w:rPr>
      </w:pPr>
      <w:r>
        <w:rPr>
          <w:rFonts w:cs="Times New Roman"/>
          <w:sz w:val="18"/>
          <w:szCs w:val="18"/>
        </w:rPr>
        <w:t>注3：锚栓长度为锚栓有效锚固长度加上非结构层厚度，有效锚固长度为7d0；非结构层的确定应根据实际基站情况确定，无可靠资料时可参考表14.4-8，各类楼面非结构层厚度（mm）。</w:t>
      </w:r>
    </w:p>
    <w:p>
      <w:pPr>
        <w:adjustRightInd w:val="0"/>
        <w:snapToGrid w:val="0"/>
        <w:ind w:firstLine="360"/>
        <w:rPr>
          <w:rFonts w:cs="Times New Roman"/>
          <w:sz w:val="18"/>
          <w:szCs w:val="18"/>
        </w:rPr>
      </w:pPr>
      <w:r>
        <w:rPr>
          <w:rFonts w:cs="Times New Roman"/>
          <w:sz w:val="18"/>
          <w:szCs w:val="18"/>
        </w:rPr>
        <w:t>注4：9度区机房设备安装除满足表中要求外，尚需结构专业人员复核。</w:t>
      </w:r>
    </w:p>
    <w:p>
      <w:pPr>
        <w:ind w:firstLine="480"/>
        <w:rPr>
          <w:rFonts w:cs="Times New Roman"/>
        </w:rPr>
      </w:pPr>
      <w:r>
        <w:rPr>
          <w:rFonts w:cs="Times New Roman"/>
        </w:rPr>
        <w:t>（5）壁挂式电信设备抗震措施</w:t>
      </w:r>
    </w:p>
    <w:p>
      <w:pPr>
        <w:ind w:firstLine="480"/>
        <w:rPr>
          <w:rFonts w:cs="Times New Roman"/>
        </w:rPr>
      </w:pPr>
      <w:r>
        <w:rPr>
          <w:rFonts w:cs="Times New Roman"/>
        </w:rPr>
        <w:t>应当对墙体材料进行检测，不得安装于空心砌块墙或轻质隔墙上。当设备重量不大于10kg、且设备中心与墙体距离不大于150mm时，可采用4个不小于M10的锚栓直接固定于墙上，不满足本条件的设备宜在设备底部增加三角支架进行支撑。</w:t>
      </w:r>
    </w:p>
    <w:p>
      <w:pPr>
        <w:pStyle w:val="6"/>
        <w:rPr>
          <w:rFonts w:cs="Times New Roman"/>
        </w:rPr>
      </w:pPr>
      <w:r>
        <w:rPr>
          <w:rFonts w:cs="Times New Roman"/>
        </w:rPr>
        <w:t>基站天馈线安装抗震措施</w:t>
      </w:r>
    </w:p>
    <w:p>
      <w:pPr>
        <w:ind w:firstLine="480"/>
        <w:rPr>
          <w:rFonts w:cs="Times New Roman"/>
        </w:rPr>
      </w:pPr>
      <w:r>
        <w:rPr>
          <w:rFonts w:cs="Times New Roman"/>
        </w:rPr>
        <w:t>（1）移动天线安装抗震措施</w:t>
      </w:r>
    </w:p>
    <w:p>
      <w:pPr>
        <w:ind w:firstLine="480"/>
        <w:rPr>
          <w:rFonts w:cs="Times New Roman"/>
        </w:rPr>
      </w:pPr>
      <w:r>
        <w:rPr>
          <w:rFonts w:cs="Times New Roman"/>
        </w:rPr>
        <w:t>室外天线与天线支撑杆的连结应不少于两处。</w:t>
      </w:r>
    </w:p>
    <w:p>
      <w:pPr>
        <w:ind w:firstLine="480"/>
        <w:rPr>
          <w:rFonts w:cs="Times New Roman"/>
        </w:rPr>
      </w:pPr>
      <w:r>
        <w:rPr>
          <w:rFonts w:cs="Times New Roman"/>
        </w:rPr>
        <w:t>室外天线与支撑杆连结处的连结螺栓应不小于M8；</w:t>
      </w:r>
    </w:p>
    <w:p>
      <w:pPr>
        <w:ind w:firstLine="480"/>
        <w:rPr>
          <w:rFonts w:cs="Times New Roman"/>
        </w:rPr>
      </w:pPr>
      <w:r>
        <w:rPr>
          <w:rFonts w:cs="Times New Roman"/>
        </w:rPr>
        <w:t>室内天线的安装应用不小于M6的螺栓固定。</w:t>
      </w:r>
    </w:p>
    <w:p>
      <w:pPr>
        <w:ind w:firstLine="480"/>
        <w:rPr>
          <w:rFonts w:cs="Times New Roman"/>
        </w:rPr>
      </w:pPr>
      <w:r>
        <w:rPr>
          <w:rFonts w:cs="Times New Roman"/>
        </w:rPr>
        <w:t>对于特殊场合的天线安装应专门设计，并符合抗震加固要求。</w:t>
      </w:r>
    </w:p>
    <w:p>
      <w:pPr>
        <w:ind w:firstLine="480"/>
        <w:rPr>
          <w:rFonts w:cs="Times New Roman"/>
        </w:rPr>
      </w:pPr>
      <w:r>
        <w:rPr>
          <w:rFonts w:cs="Times New Roman"/>
        </w:rPr>
        <w:t>（2）BBU与AAU/RRU连接线缆安装抗震措施</w:t>
      </w:r>
    </w:p>
    <w:p>
      <w:pPr>
        <w:ind w:firstLine="480"/>
        <w:rPr>
          <w:rFonts w:cs="Times New Roman"/>
        </w:rPr>
      </w:pPr>
      <w:r>
        <w:rPr>
          <w:rFonts w:cs="Times New Roman"/>
        </w:rPr>
        <w:t>线缆安装应采用专用的走线架（槽）或者走线管道。</w:t>
      </w:r>
    </w:p>
    <w:p>
      <w:pPr>
        <w:ind w:firstLine="480"/>
        <w:rPr>
          <w:rFonts w:cs="Times New Roman"/>
        </w:rPr>
      </w:pPr>
      <w:r>
        <w:rPr>
          <w:rFonts w:cs="Times New Roman"/>
        </w:rPr>
        <w:t>线缆与AAU/RRU设备的连接处不宜太紧，接头处宜留有一定富余度。</w:t>
      </w:r>
    </w:p>
    <w:p>
      <w:pPr>
        <w:ind w:firstLine="480"/>
        <w:rPr>
          <w:rFonts w:cs="Times New Roman"/>
        </w:rPr>
      </w:pPr>
      <w:r>
        <w:rPr>
          <w:rFonts w:cs="Times New Roman"/>
        </w:rPr>
        <w:t>（3）天线支撑杆安装抗震措施</w:t>
      </w:r>
    </w:p>
    <w:p>
      <w:pPr>
        <w:ind w:firstLine="480"/>
        <w:rPr>
          <w:rFonts w:cs="Times New Roman"/>
        </w:rPr>
      </w:pPr>
      <w:r>
        <w:rPr>
          <w:rFonts w:cs="Times New Roman"/>
        </w:rPr>
        <w:t>天线支撑杆设计由土建专业负责，各类型天线支撑杆安装抗震说明及图纸请参阅土建专业设计文件。</w:t>
      </w:r>
    </w:p>
    <w:p>
      <w:pPr>
        <w:pStyle w:val="6"/>
        <w:rPr>
          <w:rFonts w:cs="Times New Roman"/>
        </w:rPr>
      </w:pPr>
      <w:r>
        <w:rPr>
          <w:rFonts w:cs="Times New Roman"/>
        </w:rPr>
        <w:t>本期工程主要设备抗震类型及设计、施工要求</w:t>
      </w:r>
    </w:p>
    <w:p>
      <w:pPr>
        <w:ind w:firstLine="480"/>
        <w:rPr>
          <w:rFonts w:cs="Times New Roman"/>
        </w:rPr>
      </w:pPr>
      <w:r>
        <w:rPr>
          <w:rFonts w:cs="Times New Roman"/>
        </w:rPr>
        <w:t>本工程各基站主要设备抗震类型及抗震加固锚栓尺寸如下表所示。</w:t>
      </w:r>
    </w:p>
    <w:p>
      <w:pPr>
        <w:pStyle w:val="603"/>
        <w:rPr>
          <w:rFonts w:cs="Times New Roman"/>
        </w:rPr>
      </w:pPr>
      <w:r>
        <w:rPr>
          <w:rFonts w:cs="Times New Roman"/>
        </w:rPr>
        <w:t>表</w:t>
      </w:r>
      <w:r>
        <w:rPr>
          <w:rFonts w:cs="Times New Roman"/>
          <w:color w:val="FF0000"/>
        </w:rPr>
        <w:t>14.</w:t>
      </w:r>
      <w:r>
        <w:rPr>
          <w:rFonts w:hint="eastAsia" w:cs="Times New Roman"/>
          <w:color w:val="FF0000"/>
        </w:rPr>
        <w:t>5</w:t>
      </w:r>
      <w:r>
        <w:rPr>
          <w:rFonts w:cs="Times New Roman"/>
          <w:color w:val="FF0000"/>
        </w:rPr>
        <w:t xml:space="preserve">-12 </w:t>
      </w:r>
      <w:r>
        <w:rPr>
          <w:rFonts w:cs="Times New Roman"/>
        </w:rPr>
        <w:t>各基站无线设备抗震类型及抗震加固锚栓尺寸表</w:t>
      </w:r>
    </w:p>
    <w:p>
      <w:pPr>
        <w:ind w:firstLine="480"/>
        <w:rPr>
          <w:rFonts w:cs="Times New Roman"/>
        </w:rPr>
      </w:pPr>
      <w:r>
        <w:rPr>
          <w:rFonts w:cs="Times New Roman"/>
        </w:rPr>
        <w:t>具体项目需按照项目实施区域参照下表形式具体列出各基站详细情况，并“22 附表”章节增加“附表9各基站无线设备抗震类型及抗震加固锚栓尺寸表”。</w:t>
      </w:r>
    </w:p>
    <w:tbl>
      <w:tblPr>
        <w:tblStyle w:val="63"/>
        <w:tblW w:w="9357" w:type="dxa"/>
        <w:tblInd w:w="-601" w:type="dxa"/>
        <w:tblLayout w:type="fixed"/>
        <w:tblCellMar>
          <w:top w:w="0" w:type="dxa"/>
          <w:left w:w="108" w:type="dxa"/>
          <w:bottom w:w="0" w:type="dxa"/>
          <w:right w:w="108" w:type="dxa"/>
        </w:tblCellMar>
      </w:tblPr>
      <w:tblGrid>
        <w:gridCol w:w="425"/>
        <w:gridCol w:w="1135"/>
        <w:gridCol w:w="709"/>
        <w:gridCol w:w="850"/>
        <w:gridCol w:w="709"/>
        <w:gridCol w:w="709"/>
        <w:gridCol w:w="1134"/>
        <w:gridCol w:w="850"/>
        <w:gridCol w:w="851"/>
        <w:gridCol w:w="709"/>
        <w:gridCol w:w="1276"/>
      </w:tblGrid>
      <w:tr>
        <w:tblPrEx>
          <w:tblCellMar>
            <w:top w:w="0" w:type="dxa"/>
            <w:left w:w="108" w:type="dxa"/>
            <w:bottom w:w="0" w:type="dxa"/>
            <w:right w:w="108" w:type="dxa"/>
          </w:tblCellMar>
        </w:tblPrEx>
        <w:trPr>
          <w:trHeight w:val="645" w:hRule="atLeast"/>
        </w:trPr>
        <w:tc>
          <w:tcPr>
            <w:tcW w:w="42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1135" w:type="dxa"/>
            <w:tcBorders>
              <w:top w:val="single" w:color="auto" w:sz="4" w:space="0"/>
              <w:left w:val="nil"/>
              <w:bottom w:val="single" w:color="auto" w:sz="4" w:space="0"/>
              <w:right w:val="single" w:color="auto" w:sz="4" w:space="0"/>
            </w:tcBorders>
            <w:shd w:val="clear" w:color="auto" w:fill="auto"/>
            <w:vAlign w:val="center"/>
          </w:tcPr>
          <w:p>
            <w:pPr>
              <w:pStyle w:val="290"/>
            </w:pPr>
            <w:r>
              <w:t>基站名称</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设防烈度</w:t>
            </w:r>
          </w:p>
        </w:tc>
        <w:tc>
          <w:tcPr>
            <w:tcW w:w="850" w:type="dxa"/>
            <w:tcBorders>
              <w:top w:val="single" w:color="auto" w:sz="4" w:space="0"/>
              <w:left w:val="nil"/>
              <w:bottom w:val="single" w:color="auto" w:sz="4" w:space="0"/>
              <w:right w:val="single" w:color="auto" w:sz="4" w:space="0"/>
            </w:tcBorders>
            <w:shd w:val="clear" w:color="auto" w:fill="auto"/>
            <w:vAlign w:val="center"/>
          </w:tcPr>
          <w:p>
            <w:pPr>
              <w:pStyle w:val="290"/>
            </w:pPr>
            <w:r>
              <w:t>基站所处建筑位置</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设备厂家</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设备型号</w:t>
            </w:r>
          </w:p>
        </w:tc>
        <w:tc>
          <w:tcPr>
            <w:tcW w:w="1134" w:type="dxa"/>
            <w:tcBorders>
              <w:top w:val="single" w:color="auto" w:sz="4" w:space="0"/>
              <w:left w:val="nil"/>
              <w:bottom w:val="single" w:color="auto" w:sz="4" w:space="0"/>
              <w:right w:val="single" w:color="auto" w:sz="4" w:space="0"/>
            </w:tcBorders>
            <w:shd w:val="clear" w:color="auto" w:fill="auto"/>
            <w:vAlign w:val="center"/>
          </w:tcPr>
          <w:p>
            <w:pPr>
              <w:pStyle w:val="290"/>
            </w:pPr>
            <w:r>
              <w:t>设备尺寸</w:t>
            </w:r>
            <w:r>
              <w:br w:type="textWrapping"/>
            </w:r>
            <w:r>
              <w:t>（宽×深×高）</w:t>
            </w:r>
          </w:p>
        </w:tc>
        <w:tc>
          <w:tcPr>
            <w:tcW w:w="850" w:type="dxa"/>
            <w:tcBorders>
              <w:top w:val="single" w:color="auto" w:sz="4" w:space="0"/>
              <w:left w:val="nil"/>
              <w:bottom w:val="single" w:color="auto" w:sz="4" w:space="0"/>
              <w:right w:val="single" w:color="auto" w:sz="4" w:space="0"/>
            </w:tcBorders>
            <w:shd w:val="clear" w:color="auto" w:fill="auto"/>
            <w:vAlign w:val="center"/>
          </w:tcPr>
          <w:p>
            <w:pPr>
              <w:pStyle w:val="290"/>
            </w:pPr>
            <w:r>
              <w:t>设备重量（kg）</w:t>
            </w:r>
          </w:p>
        </w:tc>
        <w:tc>
          <w:tcPr>
            <w:tcW w:w="851" w:type="dxa"/>
            <w:tcBorders>
              <w:top w:val="single" w:color="auto" w:sz="4" w:space="0"/>
              <w:left w:val="nil"/>
              <w:bottom w:val="single" w:color="auto" w:sz="4" w:space="0"/>
              <w:right w:val="single" w:color="auto" w:sz="4" w:space="0"/>
            </w:tcBorders>
            <w:shd w:val="clear" w:color="auto" w:fill="auto"/>
            <w:vAlign w:val="center"/>
          </w:tcPr>
          <w:p>
            <w:pPr>
              <w:pStyle w:val="290"/>
            </w:pPr>
            <w:r>
              <w:t>设备抗震加固类型</w:t>
            </w:r>
          </w:p>
        </w:tc>
        <w:tc>
          <w:tcPr>
            <w:tcW w:w="709" w:type="dxa"/>
            <w:tcBorders>
              <w:top w:val="single" w:color="auto" w:sz="4" w:space="0"/>
              <w:left w:val="nil"/>
              <w:bottom w:val="single" w:color="auto" w:sz="4" w:space="0"/>
              <w:right w:val="single" w:color="auto" w:sz="4" w:space="0"/>
            </w:tcBorders>
            <w:shd w:val="clear" w:color="auto" w:fill="auto"/>
            <w:vAlign w:val="center"/>
          </w:tcPr>
          <w:p>
            <w:pPr>
              <w:pStyle w:val="290"/>
            </w:pPr>
            <w:r>
              <w:t>设备地脚锚栓尺寸规格</w:t>
            </w:r>
          </w:p>
        </w:tc>
        <w:tc>
          <w:tcPr>
            <w:tcW w:w="1276" w:type="dxa"/>
            <w:tcBorders>
              <w:top w:val="single" w:color="auto" w:sz="4" w:space="0"/>
              <w:left w:val="nil"/>
              <w:bottom w:val="single" w:color="auto" w:sz="4" w:space="0"/>
              <w:right w:val="single" w:color="auto" w:sz="4" w:space="0"/>
            </w:tcBorders>
            <w:shd w:val="clear" w:color="auto" w:fill="auto"/>
            <w:vAlign w:val="center"/>
          </w:tcPr>
          <w:p>
            <w:pPr>
              <w:pStyle w:val="290"/>
            </w:pPr>
            <w:r>
              <w:t>备注</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1</w:t>
            </w:r>
          </w:p>
        </w:tc>
        <w:tc>
          <w:tcPr>
            <w:tcW w:w="1135"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上层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架式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M12</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还需增加上部支撑</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2</w:t>
            </w:r>
          </w:p>
        </w:tc>
        <w:tc>
          <w:tcPr>
            <w:tcW w:w="1135" w:type="dxa"/>
            <w:tcBorders>
              <w:top w:val="nil"/>
              <w:left w:val="nil"/>
              <w:bottom w:val="single" w:color="auto" w:sz="4" w:space="0"/>
              <w:right w:val="single" w:color="auto" w:sz="4" w:space="0"/>
            </w:tcBorders>
            <w:shd w:val="clear" w:color="auto" w:fill="auto"/>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下层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自立式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M10</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3</w:t>
            </w:r>
          </w:p>
        </w:tc>
        <w:tc>
          <w:tcPr>
            <w:tcW w:w="1135" w:type="dxa"/>
            <w:tcBorders>
              <w:top w:val="nil"/>
              <w:left w:val="nil"/>
              <w:bottom w:val="single" w:color="auto" w:sz="4" w:space="0"/>
              <w:right w:val="single" w:color="auto" w:sz="4" w:space="0"/>
            </w:tcBorders>
            <w:shd w:val="clear" w:color="auto" w:fill="auto"/>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上层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台式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M10</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4</w:t>
            </w:r>
          </w:p>
        </w:tc>
        <w:tc>
          <w:tcPr>
            <w:tcW w:w="1135" w:type="dxa"/>
            <w:tcBorders>
              <w:top w:val="nil"/>
              <w:left w:val="nil"/>
              <w:bottom w:val="single" w:color="auto" w:sz="4" w:space="0"/>
              <w:right w:val="single" w:color="auto" w:sz="4" w:space="0"/>
            </w:tcBorders>
            <w:shd w:val="clear" w:color="auto" w:fill="auto"/>
          </w:tcPr>
          <w:p>
            <w:pPr>
              <w:pStyle w:val="290"/>
              <w:rPr>
                <w:color w:val="FF0000"/>
              </w:rPr>
            </w:pPr>
            <w:r>
              <w:rPr>
                <w:color w:val="FF0000"/>
              </w:rPr>
              <w:t>XX基站</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上层</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壁挂式</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M10</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270" w:hRule="atLeast"/>
        </w:trPr>
        <w:tc>
          <w:tcPr>
            <w:tcW w:w="425" w:type="dxa"/>
            <w:tcBorders>
              <w:top w:val="nil"/>
              <w:left w:val="single" w:color="auto" w:sz="4" w:space="0"/>
              <w:bottom w:val="single" w:color="auto" w:sz="4" w:space="0"/>
              <w:right w:val="single" w:color="auto" w:sz="4" w:space="0"/>
            </w:tcBorders>
            <w:shd w:val="clear" w:color="auto" w:fill="auto"/>
            <w:vAlign w:val="center"/>
          </w:tcPr>
          <w:p>
            <w:pPr>
              <w:pStyle w:val="290"/>
              <w:rPr>
                <w:color w:val="FF0000"/>
              </w:rPr>
            </w:pPr>
            <w:r>
              <w:rPr>
                <w:color w:val="FF0000"/>
              </w:rPr>
              <w:t>5</w:t>
            </w:r>
          </w:p>
        </w:tc>
        <w:tc>
          <w:tcPr>
            <w:tcW w:w="1135"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134"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0"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851"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709"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c>
          <w:tcPr>
            <w:tcW w:w="1276"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bl>
    <w:p>
      <w:pPr>
        <w:ind w:firstLine="480"/>
        <w:rPr>
          <w:rFonts w:cs="Times New Roman"/>
        </w:rPr>
      </w:pPr>
      <w:r>
        <w:rPr>
          <w:rFonts w:cs="Times New Roman"/>
        </w:rPr>
        <w:t>本期工程按照YD 5059-2005《电信设备安装抗震设计规范》、YD/T 5026-2005《电信机房铁架安装设计标准》所对应的要求，参考YD 5060-2010《通信设备安装抗震设计图集》进行设备安装抗震设计。</w:t>
      </w:r>
    </w:p>
    <w:p>
      <w:pPr>
        <w:ind w:firstLine="480"/>
        <w:rPr>
          <w:rFonts w:cs="Times New Roman"/>
        </w:rPr>
      </w:pPr>
      <w:r>
        <w:rPr>
          <w:rFonts w:cs="Times New Roman"/>
        </w:rPr>
        <w:t>本设计文件中以规范YD 5060-2010《通信设备安装抗震设计图集》为基础，给出建议参考的抗震加固通用图纸，主要包括设备安装加固、铁件及走线架安装加固、馈线安装加固等图纸。</w:t>
      </w:r>
    </w:p>
    <w:p>
      <w:pPr>
        <w:pStyle w:val="4"/>
        <w:rPr>
          <w:rFonts w:cs="Times New Roman"/>
        </w:rPr>
      </w:pPr>
      <w:bookmarkStart w:id="913" w:name="_Toc6122"/>
      <w:r>
        <w:rPr>
          <w:rFonts w:cs="Times New Roman"/>
        </w:rPr>
        <w:t>工艺要求</w:t>
      </w:r>
      <w:bookmarkEnd w:id="857"/>
      <w:bookmarkEnd w:id="858"/>
      <w:bookmarkEnd w:id="859"/>
      <w:bookmarkEnd w:id="886"/>
      <w:bookmarkEnd w:id="887"/>
      <w:bookmarkEnd w:id="888"/>
      <w:bookmarkEnd w:id="889"/>
      <w:bookmarkEnd w:id="913"/>
    </w:p>
    <w:p>
      <w:pPr>
        <w:pStyle w:val="5"/>
        <w:rPr>
          <w:rFonts w:cs="Times New Roman"/>
        </w:rPr>
      </w:pPr>
      <w:bookmarkStart w:id="914" w:name="_Toc447204569"/>
      <w:bookmarkStart w:id="915" w:name="_Toc447202520"/>
      <w:bookmarkStart w:id="916" w:name="_Toc452131639"/>
      <w:bookmarkStart w:id="917" w:name="_Toc176345511"/>
      <w:bookmarkStart w:id="918" w:name="_Toc162879733"/>
      <w:bookmarkStart w:id="919" w:name="_Toc5278"/>
      <w:bookmarkStart w:id="920" w:name="_Toc2868714"/>
      <w:r>
        <w:rPr>
          <w:rFonts w:cs="Times New Roman"/>
        </w:rPr>
        <w:t>机房土建工艺要求</w:t>
      </w:r>
      <w:bookmarkEnd w:id="914"/>
      <w:bookmarkEnd w:id="915"/>
      <w:bookmarkEnd w:id="916"/>
      <w:bookmarkEnd w:id="917"/>
      <w:bookmarkEnd w:id="918"/>
      <w:bookmarkEnd w:id="919"/>
      <w:bookmarkEnd w:id="920"/>
    </w:p>
    <w:p>
      <w:pPr>
        <w:ind w:firstLine="480"/>
        <w:rPr>
          <w:rFonts w:cs="Times New Roman"/>
        </w:rPr>
      </w:pPr>
      <w:r>
        <w:rPr>
          <w:rFonts w:cs="Times New Roman"/>
        </w:rPr>
        <w:t>机房地面、墙、天花板及门窗应按通信机房要求进行改造、装修；地面负荷应满足设备安装要求；机房照度应达到设备维护照度要求；机房应有防雷接地设施，交换机房防雷接地电阻要求小于等于1欧姆，基站传输机房防雷接地电阻要求小于等于10欧姆；机房温湿度环境应符合规范及电信设备正常运行要求；无线基站机房应配置具有高温、断电、火警及防盗等报警功能的设备，以符合无人值守机房要求。</w:t>
      </w:r>
    </w:p>
    <w:p>
      <w:pPr>
        <w:ind w:firstLine="480"/>
        <w:rPr>
          <w:rFonts w:cs="Times New Roman"/>
        </w:rPr>
      </w:pPr>
      <w:r>
        <w:rPr>
          <w:rFonts w:cs="Times New Roman"/>
        </w:rPr>
        <w:t>无线基站机房土建工艺要求如下表。</w:t>
      </w:r>
    </w:p>
    <w:p>
      <w:pPr>
        <w:pStyle w:val="603"/>
        <w:rPr>
          <w:rFonts w:cs="Times New Roman"/>
        </w:rPr>
      </w:pPr>
      <w:r>
        <w:rPr>
          <w:rFonts w:cs="Times New Roman"/>
          <w:color w:val="000000"/>
        </w:rPr>
        <w:t>表</w:t>
      </w:r>
      <w:r>
        <w:rPr>
          <w:rFonts w:cs="Times New Roman"/>
          <w:color w:val="FF0000"/>
        </w:rPr>
        <w:t xml:space="preserve">15.1-1  </w:t>
      </w:r>
      <w:r>
        <w:rPr>
          <w:rFonts w:cs="Times New Roman"/>
        </w:rPr>
        <w:t>无线基站机房工艺对建筑要求表</w:t>
      </w:r>
    </w:p>
    <w:tbl>
      <w:tblPr>
        <w:tblStyle w:val="63"/>
        <w:tblW w:w="8460" w:type="dxa"/>
        <w:tblInd w:w="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3628"/>
        <w:gridCol w:w="483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blHeader/>
        </w:trPr>
        <w:tc>
          <w:tcPr>
            <w:tcW w:w="3628" w:type="dxa"/>
            <w:shd w:val="clear" w:color="auto" w:fill="auto"/>
          </w:tcPr>
          <w:p>
            <w:pPr>
              <w:pStyle w:val="290"/>
            </w:pPr>
            <w:r>
              <w:t>项目</w:t>
            </w:r>
          </w:p>
        </w:tc>
        <w:tc>
          <w:tcPr>
            <w:tcW w:w="4832" w:type="dxa"/>
            <w:shd w:val="clear" w:color="auto" w:fill="auto"/>
          </w:tcPr>
          <w:p>
            <w:pPr>
              <w:pStyle w:val="290"/>
            </w:pPr>
            <w:r>
              <w:t>要求</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trHeight w:val="304" w:hRule="atLeast"/>
        </w:trPr>
        <w:tc>
          <w:tcPr>
            <w:tcW w:w="3628" w:type="dxa"/>
            <w:shd w:val="clear" w:color="auto" w:fill="auto"/>
            <w:vAlign w:val="center"/>
          </w:tcPr>
          <w:p>
            <w:pPr>
              <w:pStyle w:val="290"/>
            </w:pPr>
            <w:r>
              <w:t>最低净高 (m)</w:t>
            </w:r>
          </w:p>
        </w:tc>
        <w:tc>
          <w:tcPr>
            <w:tcW w:w="4832" w:type="dxa"/>
            <w:shd w:val="clear" w:color="auto" w:fill="auto"/>
            <w:vAlign w:val="center"/>
          </w:tcPr>
          <w:p>
            <w:pPr>
              <w:pStyle w:val="290"/>
            </w:pPr>
            <w:r>
              <w:t>2.7</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楼面等效均布活荷载 (kN/m</w:t>
            </w:r>
            <w:r>
              <w:rPr>
                <w:vertAlign w:val="superscript"/>
              </w:rPr>
              <w:t>2</w:t>
            </w:r>
            <w:r>
              <w:t>)</w:t>
            </w:r>
          </w:p>
        </w:tc>
        <w:tc>
          <w:tcPr>
            <w:tcW w:w="4832" w:type="dxa"/>
            <w:shd w:val="clear" w:color="auto" w:fill="auto"/>
            <w:vAlign w:val="center"/>
          </w:tcPr>
          <w:p>
            <w:pPr>
              <w:pStyle w:val="290"/>
            </w:pPr>
            <w:r>
              <w:t>6.0 (未包括电池重量的负荷)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温、湿度要求</w:t>
            </w:r>
          </w:p>
        </w:tc>
        <w:tc>
          <w:tcPr>
            <w:tcW w:w="4832" w:type="dxa"/>
            <w:shd w:val="clear" w:color="auto" w:fill="auto"/>
            <w:vAlign w:val="center"/>
          </w:tcPr>
          <w:p>
            <w:pPr>
              <w:pStyle w:val="290"/>
            </w:pPr>
            <w:r>
              <w:t>温度: +5</w:t>
            </w:r>
            <w:r>
              <w:rPr>
                <w:vertAlign w:val="superscript"/>
              </w:rPr>
              <w:t>o</w:t>
            </w:r>
            <w:r>
              <w:t>C~32</w:t>
            </w:r>
            <w:r>
              <w:rPr>
                <w:vertAlign w:val="superscript"/>
              </w:rPr>
              <w:t>o</w:t>
            </w:r>
            <w:r>
              <w:t>C；湿度: 15%~80%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防尘要求</w:t>
            </w:r>
          </w:p>
        </w:tc>
        <w:tc>
          <w:tcPr>
            <w:tcW w:w="4832" w:type="dxa"/>
            <w:shd w:val="clear" w:color="auto" w:fill="auto"/>
            <w:vAlign w:val="center"/>
          </w:tcPr>
          <w:p>
            <w:pPr>
              <w:pStyle w:val="290"/>
            </w:pPr>
            <w:r>
              <w:t>良好防尘</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地面材料</w:t>
            </w:r>
          </w:p>
        </w:tc>
        <w:tc>
          <w:tcPr>
            <w:tcW w:w="4832" w:type="dxa"/>
            <w:shd w:val="clear" w:color="auto" w:fill="auto"/>
            <w:vAlign w:val="center"/>
          </w:tcPr>
          <w:p>
            <w:pPr>
              <w:pStyle w:val="290"/>
            </w:pPr>
            <w:r>
              <w:t>水磨石地面</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墙面、顶棚及装修</w:t>
            </w:r>
          </w:p>
        </w:tc>
        <w:tc>
          <w:tcPr>
            <w:tcW w:w="4832" w:type="dxa"/>
            <w:shd w:val="clear" w:color="auto" w:fill="auto"/>
            <w:vAlign w:val="center"/>
          </w:tcPr>
          <w:p>
            <w:pPr>
              <w:pStyle w:val="290"/>
            </w:pPr>
            <w:r>
              <w:t>涂浅色无光油漆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门</w:t>
            </w:r>
          </w:p>
        </w:tc>
        <w:tc>
          <w:tcPr>
            <w:tcW w:w="4832" w:type="dxa"/>
            <w:shd w:val="clear" w:color="auto" w:fill="auto"/>
            <w:vAlign w:val="center"/>
          </w:tcPr>
          <w:p>
            <w:pPr>
              <w:pStyle w:val="290"/>
            </w:pPr>
            <w:r>
              <w:t>机房门外开或推拉门，门宽&gt;1m</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照度 (Lx离地面0.75m水平面上)</w:t>
            </w:r>
          </w:p>
        </w:tc>
        <w:tc>
          <w:tcPr>
            <w:tcW w:w="4832" w:type="dxa"/>
            <w:shd w:val="clear" w:color="auto" w:fill="auto"/>
            <w:vAlign w:val="center"/>
          </w:tcPr>
          <w:p>
            <w:pPr>
              <w:pStyle w:val="290"/>
            </w:pPr>
            <w:r>
              <w:t>200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c>
          <w:tcPr>
            <w:tcW w:w="3628" w:type="dxa"/>
            <w:shd w:val="clear" w:color="auto" w:fill="auto"/>
            <w:vAlign w:val="center"/>
          </w:tcPr>
          <w:p>
            <w:pPr>
              <w:pStyle w:val="290"/>
            </w:pPr>
            <w:r>
              <w:t>备注</w:t>
            </w:r>
          </w:p>
        </w:tc>
        <w:tc>
          <w:tcPr>
            <w:tcW w:w="4832" w:type="dxa"/>
            <w:shd w:val="clear" w:color="auto" w:fill="auto"/>
            <w:vAlign w:val="center"/>
          </w:tcPr>
          <w:p>
            <w:pPr>
              <w:pStyle w:val="290"/>
            </w:pPr>
            <w:r>
              <w:t>1. 每个机房内均应设烟雾告警及灭火装置 (两套)， 并配有安全门锁。</w:t>
            </w:r>
          </w:p>
          <w:p>
            <w:pPr>
              <w:pStyle w:val="290"/>
            </w:pPr>
            <w:r>
              <w:t>2. 各独立机房内设备散热量按5KW考虑，应配备足够大的空调 (窗式或柜式)。</w:t>
            </w:r>
          </w:p>
          <w:p>
            <w:pPr>
              <w:pStyle w:val="290"/>
            </w:pPr>
            <w:r>
              <w:t>3. 核实地板荷重，按要求处理地面。</w:t>
            </w:r>
          </w:p>
          <w:p>
            <w:pPr>
              <w:pStyle w:val="290"/>
            </w:pPr>
            <w:r>
              <w:t>4. 各机房内均应安装 (单相、三相) 电源插座2~3个， 插座应装在设备附近的墙上，距地0.3m。</w:t>
            </w:r>
          </w:p>
          <w:p>
            <w:pPr>
              <w:pStyle w:val="290"/>
            </w:pPr>
            <w:r>
              <w:t>5. 各机房对外的孔洞待设备安装完毕后均应做密封处理。</w:t>
            </w:r>
          </w:p>
          <w:p>
            <w:pPr>
              <w:pStyle w:val="290"/>
            </w:pPr>
            <w:r>
              <w:t>6. 各机房抗震要求应按现有通信楼同等级处理。</w:t>
            </w:r>
          </w:p>
          <w:p>
            <w:pPr>
              <w:pStyle w:val="290"/>
            </w:pPr>
            <w:r>
              <w:t>7. 机房走线架强度应能满足与机房同等级的抗震要求。</w:t>
            </w:r>
          </w:p>
        </w:tc>
      </w:tr>
    </w:tbl>
    <w:p>
      <w:pPr>
        <w:pStyle w:val="5"/>
        <w:rPr>
          <w:rFonts w:cs="Times New Roman"/>
        </w:rPr>
      </w:pPr>
      <w:bookmarkStart w:id="921" w:name="_Toc162879752"/>
      <w:bookmarkStart w:id="922" w:name="_Toc452131640"/>
      <w:bookmarkStart w:id="923" w:name="_Toc2868715"/>
      <w:bookmarkStart w:id="924" w:name="_Toc176345512"/>
      <w:bookmarkStart w:id="925" w:name="_Toc447204570"/>
      <w:bookmarkStart w:id="926" w:name="_Toc447202521"/>
      <w:bookmarkStart w:id="927" w:name="_Toc125286102"/>
      <w:bookmarkStart w:id="928" w:name="_Toc19948"/>
      <w:r>
        <w:rPr>
          <w:rFonts w:cs="Times New Roman"/>
        </w:rPr>
        <w:t>铁塔工艺要求</w:t>
      </w:r>
      <w:bookmarkEnd w:id="921"/>
      <w:bookmarkEnd w:id="922"/>
      <w:bookmarkEnd w:id="923"/>
      <w:bookmarkEnd w:id="924"/>
      <w:bookmarkEnd w:id="925"/>
      <w:bookmarkEnd w:id="926"/>
      <w:bookmarkEnd w:id="927"/>
      <w:bookmarkEnd w:id="928"/>
    </w:p>
    <w:p>
      <w:pPr>
        <w:ind w:firstLine="480"/>
        <w:rPr>
          <w:rFonts w:cs="Times New Roman"/>
        </w:rPr>
      </w:pPr>
      <w:r>
        <w:rPr>
          <w:rFonts w:cs="Times New Roman"/>
        </w:rPr>
        <w:t>以下工艺要求是针对移动通信天线安装要求提出的，若天线塔还要安装微波天线，需根据微波工程设计规范中对微波天线塔的要求结合使用。移动通信天线塔可采用圆钢亦可采用角钢搭建，在天线安装的平台上，必须考虑天线支撑横担或天线支撑杆加固的方便。</w:t>
      </w:r>
    </w:p>
    <w:p>
      <w:pPr>
        <w:ind w:firstLine="199" w:firstLineChars="83"/>
        <w:rPr>
          <w:rFonts w:cs="Times New Roman"/>
        </w:rPr>
      </w:pPr>
      <w:r>
        <w:rPr>
          <w:rFonts w:cs="Times New Roman"/>
        </w:rPr>
        <w:t>（1）铁塔平台、高度要求</w:t>
      </w:r>
    </w:p>
    <w:p>
      <w:pPr>
        <w:ind w:firstLine="480"/>
        <w:rPr>
          <w:rFonts w:cs="Times New Roman"/>
        </w:rPr>
      </w:pPr>
      <w:r>
        <w:rPr>
          <w:rFonts w:cs="Times New Roman"/>
        </w:rPr>
        <w:t>铁塔的平台应满足移动通信天线安装的承重要求、加固要求和隔离度要求，如铁塔还要额外安装微波天线等，应综合考虑平台数量的设置和平台大小的设计。</w:t>
      </w:r>
    </w:p>
    <w:p>
      <w:pPr>
        <w:ind w:firstLine="480"/>
        <w:rPr>
          <w:rFonts w:cs="Times New Roman"/>
        </w:rPr>
      </w:pPr>
      <w:r>
        <w:rPr>
          <w:rFonts w:cs="Times New Roman"/>
        </w:rPr>
        <w:t>铁塔平台应满足一定高度要求，以使在特定平台安装天线时能满足天线挂高要求。</w:t>
      </w:r>
    </w:p>
    <w:p>
      <w:pPr>
        <w:ind w:firstLine="199" w:firstLineChars="83"/>
        <w:rPr>
          <w:rFonts w:cs="Times New Roman"/>
        </w:rPr>
      </w:pPr>
      <w:r>
        <w:rPr>
          <w:rFonts w:cs="Times New Roman"/>
        </w:rPr>
        <w:t>（2）挠度和刚度要求</w:t>
      </w:r>
    </w:p>
    <w:p>
      <w:pPr>
        <w:numPr>
          <w:ilvl w:val="0"/>
          <w:numId w:val="27"/>
        </w:numPr>
        <w:tabs>
          <w:tab w:val="left" w:pos="426"/>
          <w:tab w:val="clear" w:pos="0"/>
        </w:tabs>
        <w:ind w:left="647" w:leftChars="178" w:hanging="220" w:hangingChars="92"/>
        <w:rPr>
          <w:rFonts w:cs="Times New Roman"/>
        </w:rPr>
      </w:pPr>
      <w:r>
        <w:rPr>
          <w:rFonts w:cs="Times New Roman"/>
        </w:rPr>
        <w:t>天线塔无荷载时，中线垂直倾斜不得超过塔高的1/1500；</w:t>
      </w:r>
    </w:p>
    <w:p>
      <w:pPr>
        <w:numPr>
          <w:ilvl w:val="0"/>
          <w:numId w:val="27"/>
        </w:numPr>
        <w:tabs>
          <w:tab w:val="left" w:pos="426"/>
          <w:tab w:val="clear" w:pos="0"/>
        </w:tabs>
        <w:ind w:left="647" w:leftChars="178" w:hanging="220" w:hangingChars="92"/>
        <w:rPr>
          <w:rFonts w:cs="Times New Roman"/>
        </w:rPr>
      </w:pPr>
      <w:r>
        <w:rPr>
          <w:rFonts w:cs="Times New Roman"/>
        </w:rPr>
        <w:t>天线塔在满负荷及最大外力作用下，铁塔不被破坏；</w:t>
      </w:r>
    </w:p>
    <w:p>
      <w:pPr>
        <w:numPr>
          <w:ilvl w:val="0"/>
          <w:numId w:val="27"/>
        </w:numPr>
        <w:tabs>
          <w:tab w:val="left" w:pos="426"/>
          <w:tab w:val="clear" w:pos="0"/>
        </w:tabs>
        <w:ind w:left="647" w:leftChars="178" w:hanging="220" w:hangingChars="92"/>
        <w:rPr>
          <w:rFonts w:cs="Times New Roman"/>
        </w:rPr>
      </w:pPr>
      <w:r>
        <w:rPr>
          <w:rFonts w:cs="Times New Roman"/>
        </w:rPr>
        <w:t>天线塔的抗震设防烈度及抗震设计按当地地震烈度加一级设计；</w:t>
      </w:r>
    </w:p>
    <w:p>
      <w:pPr>
        <w:numPr>
          <w:ilvl w:val="0"/>
          <w:numId w:val="27"/>
        </w:numPr>
        <w:tabs>
          <w:tab w:val="left" w:pos="426"/>
          <w:tab w:val="clear" w:pos="0"/>
        </w:tabs>
        <w:ind w:left="647" w:leftChars="178" w:hanging="220" w:hangingChars="92"/>
        <w:rPr>
          <w:rFonts w:cs="Times New Roman"/>
        </w:rPr>
      </w:pPr>
      <w:r>
        <w:rPr>
          <w:rFonts w:cs="Times New Roman"/>
        </w:rPr>
        <w:t>铁塔最大负荷在未确定远期天线安装负荷的情况下，可暂按27 副移动通信用方向性天线设计。</w:t>
      </w:r>
    </w:p>
    <w:p>
      <w:pPr>
        <w:ind w:firstLine="199" w:firstLineChars="83"/>
        <w:rPr>
          <w:rFonts w:cs="Times New Roman"/>
        </w:rPr>
      </w:pPr>
      <w:r>
        <w:rPr>
          <w:rFonts w:cs="Times New Roman"/>
        </w:rPr>
        <w:t>（3）接地要求</w:t>
      </w:r>
    </w:p>
    <w:p>
      <w:pPr>
        <w:ind w:firstLine="480"/>
        <w:rPr>
          <w:rFonts w:cs="Times New Roman"/>
        </w:rPr>
      </w:pPr>
      <w:r>
        <w:rPr>
          <w:rFonts w:cs="Times New Roman"/>
        </w:rPr>
        <w:t>铁塔应具备自上而下的良好电气连接的接地条件。</w:t>
      </w:r>
    </w:p>
    <w:p>
      <w:pPr>
        <w:ind w:firstLine="199" w:firstLineChars="83"/>
        <w:rPr>
          <w:rFonts w:cs="Times New Roman"/>
        </w:rPr>
      </w:pPr>
      <w:r>
        <w:rPr>
          <w:rFonts w:cs="Times New Roman"/>
        </w:rPr>
        <w:t>（4）天线塔的防腐蚀要求</w:t>
      </w:r>
    </w:p>
    <w:p>
      <w:pPr>
        <w:ind w:firstLine="480"/>
        <w:rPr>
          <w:rFonts w:cs="Times New Roman"/>
        </w:rPr>
      </w:pPr>
      <w:r>
        <w:rPr>
          <w:rFonts w:cs="Times New Roman"/>
        </w:rPr>
        <w:t>天线塔所有构件均需作防锈镀锌处理，不得在现场切割、钻孔、烧焊；不得使用焊接铁塔。</w:t>
      </w:r>
    </w:p>
    <w:p>
      <w:pPr>
        <w:ind w:firstLine="199" w:firstLineChars="83"/>
        <w:rPr>
          <w:rFonts w:cs="Times New Roman"/>
        </w:rPr>
      </w:pPr>
      <w:r>
        <w:rPr>
          <w:rFonts w:cs="Times New Roman"/>
        </w:rPr>
        <w:t>（5）天线安装要求</w:t>
      </w:r>
    </w:p>
    <w:p>
      <w:pPr>
        <w:numPr>
          <w:ilvl w:val="0"/>
          <w:numId w:val="59"/>
        </w:numPr>
        <w:ind w:firstLine="480"/>
        <w:rPr>
          <w:rFonts w:cs="Times New Roman"/>
        </w:rPr>
      </w:pPr>
      <w:r>
        <w:rPr>
          <w:rFonts w:cs="Times New Roman"/>
        </w:rPr>
        <w:t>天线的安装平台（内、外平台均可）最好不少于两个；</w:t>
      </w:r>
    </w:p>
    <w:p>
      <w:pPr>
        <w:numPr>
          <w:ilvl w:val="0"/>
          <w:numId w:val="59"/>
        </w:numPr>
        <w:ind w:firstLine="480"/>
        <w:rPr>
          <w:rFonts w:cs="Times New Roman"/>
        </w:rPr>
      </w:pPr>
      <w:r>
        <w:rPr>
          <w:rFonts w:cs="Times New Roman"/>
        </w:rPr>
        <w:t>天线安装的所有构件，在挂上天线后，应能在经受当地最大风速时不受破坏。</w:t>
      </w:r>
    </w:p>
    <w:p>
      <w:pPr>
        <w:ind w:firstLine="199" w:firstLineChars="83"/>
        <w:rPr>
          <w:rFonts w:cs="Times New Roman"/>
        </w:rPr>
      </w:pPr>
      <w:r>
        <w:rPr>
          <w:rFonts w:cs="Times New Roman"/>
        </w:rPr>
        <w:t>（6）爬梯要求</w:t>
      </w:r>
    </w:p>
    <w:p>
      <w:pPr>
        <w:ind w:firstLine="480"/>
        <w:rPr>
          <w:rFonts w:cs="Times New Roman"/>
        </w:rPr>
      </w:pPr>
      <w:r>
        <w:rPr>
          <w:rFonts w:cs="Times New Roman"/>
        </w:rPr>
        <w:t>应有人爬梯及馈线爬梯，馈线爬梯在馈线穿越时应无阻挡，每隔1米设置一条角钢用于馈线的加固；爬梯应与塔身连固，人在爬梯上活动时，爬梯不能有晃动。</w:t>
      </w:r>
    </w:p>
    <w:p>
      <w:pPr>
        <w:ind w:firstLine="199" w:firstLineChars="83"/>
        <w:rPr>
          <w:rFonts w:cs="Times New Roman"/>
        </w:rPr>
      </w:pPr>
      <w:r>
        <w:rPr>
          <w:rFonts w:cs="Times New Roman"/>
        </w:rPr>
        <w:t>（7）标志信号灯要求</w:t>
      </w:r>
    </w:p>
    <w:p>
      <w:pPr>
        <w:ind w:firstLine="480"/>
        <w:rPr>
          <w:rFonts w:cs="Times New Roman"/>
        </w:rPr>
      </w:pPr>
      <w:r>
        <w:rPr>
          <w:rFonts w:cs="Times New Roman"/>
        </w:rPr>
        <w:t>属于当地最高点或处在飞机航空通道下的铁塔塔顶应设置标志信号灯。</w:t>
      </w:r>
    </w:p>
    <w:p>
      <w:pPr>
        <w:pStyle w:val="5"/>
        <w:rPr>
          <w:rFonts w:cs="Times New Roman"/>
        </w:rPr>
      </w:pPr>
      <w:bookmarkStart w:id="929" w:name="_Toc447204571"/>
      <w:bookmarkStart w:id="930" w:name="_Toc13998"/>
      <w:bookmarkStart w:id="931" w:name="_Toc2868716"/>
      <w:bookmarkStart w:id="932" w:name="_Toc162879735"/>
      <w:bookmarkStart w:id="933" w:name="_Toc176345514"/>
      <w:bookmarkStart w:id="934" w:name="_Toc452131641"/>
      <w:bookmarkStart w:id="935" w:name="_Toc447202522"/>
      <w:r>
        <w:rPr>
          <w:rFonts w:cs="Times New Roman"/>
        </w:rPr>
        <w:t>防雷与接地要求</w:t>
      </w:r>
      <w:bookmarkEnd w:id="929"/>
      <w:bookmarkEnd w:id="930"/>
      <w:bookmarkEnd w:id="931"/>
      <w:bookmarkEnd w:id="932"/>
      <w:bookmarkEnd w:id="933"/>
      <w:bookmarkEnd w:id="934"/>
      <w:bookmarkEnd w:id="935"/>
    </w:p>
    <w:p>
      <w:pPr>
        <w:ind w:firstLine="199" w:firstLineChars="83"/>
        <w:rPr>
          <w:rFonts w:cs="Times New Roman"/>
        </w:rPr>
      </w:pPr>
      <w:r>
        <w:rPr>
          <w:rFonts w:cs="Times New Roman"/>
        </w:rPr>
        <w:t>（1）移动通信基站对地网、接地汇流排和接地汇集线的需求</w:t>
      </w:r>
    </w:p>
    <w:p>
      <w:pPr>
        <w:ind w:firstLine="480"/>
        <w:rPr>
          <w:rFonts w:cs="Times New Roman"/>
        </w:rPr>
      </w:pPr>
      <w:r>
        <w:rPr>
          <w:rFonts w:cs="Times New Roman"/>
        </w:rPr>
        <w:t>根据国家标准GB50689-2011《通信局（站）防雷与接地工程设计规范》第3.1.1条的要求，移动通信基站的工作接地、保护接地以及建筑物防雷接地应共用一组接地系统，形成联合接地。基站地网工频接地电阻要求不大于10Ω。</w:t>
      </w:r>
    </w:p>
    <w:p>
      <w:pPr>
        <w:ind w:firstLine="480"/>
        <w:rPr>
          <w:rFonts w:cs="Times New Roman"/>
        </w:rPr>
      </w:pPr>
      <w:r>
        <w:rPr>
          <w:rFonts w:cs="Times New Roman"/>
        </w:rPr>
        <w:t>机房内应按照规范设置总接地汇流排和接地汇集线。接地汇集线的安装位置应选择在设备密集的区域，以方便各设备的就近接地。</w:t>
      </w:r>
    </w:p>
    <w:p>
      <w:pPr>
        <w:ind w:firstLine="480"/>
        <w:rPr>
          <w:rFonts w:cs="Times New Roman"/>
        </w:rPr>
      </w:pPr>
      <w:r>
        <w:rPr>
          <w:rFonts w:cs="Times New Roman"/>
        </w:rPr>
        <w:t>应在机房入口处设置馈窗接地汇流排，通过40mm×4mm的热镀锌扁钢或截面积不小于95mm</w:t>
      </w:r>
      <w:r>
        <w:rPr>
          <w:rFonts w:cs="Times New Roman"/>
          <w:vertAlign w:val="superscript"/>
        </w:rPr>
        <w:t>2</w:t>
      </w:r>
      <w:r>
        <w:rPr>
          <w:rFonts w:cs="Times New Roman"/>
        </w:rPr>
        <w:t>的多股铜导线就近与机房地网直接连接。考虑防盗等需要，馈窗接地汇流排也可设置在馈窗口室内侧，但必须确保馈窗接地汇流排与包括走线架在内的其它金属体和墙体绝缘。</w:t>
      </w:r>
    </w:p>
    <w:p>
      <w:pPr>
        <w:ind w:firstLine="480"/>
        <w:rPr>
          <w:rFonts w:cs="Times New Roman"/>
        </w:rPr>
      </w:pPr>
      <w:r>
        <w:rPr>
          <w:rFonts w:cs="Times New Roman"/>
        </w:rPr>
        <w:t>根据国家标准GB50689-2011《通信局（站）防雷与接地工程设计规范》第6.4.3条的要求，接地排严禁连接到铁塔塔角。</w:t>
      </w:r>
    </w:p>
    <w:p>
      <w:pPr>
        <w:ind w:firstLine="199" w:firstLineChars="83"/>
        <w:rPr>
          <w:rFonts w:cs="Times New Roman"/>
        </w:rPr>
      </w:pPr>
      <w:r>
        <w:rPr>
          <w:rFonts w:cs="Times New Roman"/>
        </w:rPr>
        <w:t>（2）机房设备接地线</w:t>
      </w:r>
    </w:p>
    <w:p>
      <w:pPr>
        <w:ind w:firstLine="480"/>
        <w:rPr>
          <w:rFonts w:cs="Times New Roman"/>
        </w:rPr>
      </w:pPr>
      <w:r>
        <w:rPr>
          <w:rFonts w:cs="Times New Roman"/>
        </w:rPr>
        <w:t>一般设备（机架）的接地线，应使用截面积不小于16mm</w:t>
      </w:r>
      <w:r>
        <w:rPr>
          <w:rFonts w:cs="Times New Roman"/>
          <w:vertAlign w:val="superscript"/>
        </w:rPr>
        <w:t>2</w:t>
      </w:r>
      <w:r>
        <w:rPr>
          <w:rFonts w:cs="Times New Roman"/>
        </w:rPr>
        <w:t>的多股铜线。</w:t>
      </w:r>
    </w:p>
    <w:p>
      <w:pPr>
        <w:ind w:firstLine="480"/>
        <w:rPr>
          <w:rFonts w:cs="Times New Roman"/>
        </w:rPr>
      </w:pPr>
      <w:r>
        <w:rPr>
          <w:rFonts w:cs="Times New Roman"/>
        </w:rPr>
        <w:t>环境监控系统、BBU等小型设备的接地线，单独安装时，应采用截面积不小于4mm</w:t>
      </w:r>
      <w:r>
        <w:rPr>
          <w:rFonts w:cs="Times New Roman"/>
          <w:vertAlign w:val="superscript"/>
        </w:rPr>
        <w:t>2</w:t>
      </w:r>
      <w:r>
        <w:rPr>
          <w:rFonts w:cs="Times New Roman"/>
        </w:rPr>
        <w:t>多股铜线；当安装在开放式机架内时，应采用截面积不小于2.5mm</w:t>
      </w:r>
      <w:r>
        <w:rPr>
          <w:rFonts w:cs="Times New Roman"/>
          <w:vertAlign w:val="superscript"/>
        </w:rPr>
        <w:t>2</w:t>
      </w:r>
      <w:r>
        <w:rPr>
          <w:rFonts w:cs="Times New Roman"/>
        </w:rPr>
        <w:t>的多股铜线连接到本机架的接地汇集线，然后用16mm</w:t>
      </w:r>
      <w:r>
        <w:rPr>
          <w:rFonts w:cs="Times New Roman"/>
          <w:vertAlign w:val="superscript"/>
        </w:rPr>
        <w:t>2</w:t>
      </w:r>
      <w:r>
        <w:rPr>
          <w:rFonts w:cs="Times New Roman"/>
        </w:rPr>
        <w:t>的多股铜线将机架接地汇集线连接到室内总接地汇流排。</w:t>
      </w:r>
    </w:p>
    <w:p>
      <w:pPr>
        <w:ind w:firstLine="480"/>
        <w:rPr>
          <w:rFonts w:cs="Times New Roman"/>
        </w:rPr>
      </w:pPr>
      <w:r>
        <w:rPr>
          <w:rFonts w:cs="Times New Roman"/>
        </w:rPr>
        <w:t>各设备的保护地线应单独从接地汇集线（或总接地汇流排）上引入。设备与接地汇集线（或总接地汇流排）相接方向要求顺着地线排的方向。接地线布放时应尽量短直，多余的线缆应截断，严禁盘绕。</w:t>
      </w:r>
    </w:p>
    <w:p>
      <w:pPr>
        <w:ind w:firstLine="480"/>
        <w:rPr>
          <w:rFonts w:cs="Times New Roman"/>
        </w:rPr>
      </w:pPr>
      <w:r>
        <w:rPr>
          <w:rFonts w:cs="Times New Roman"/>
        </w:rPr>
        <w:t>根据国家标准GB50689-2011《通信局（站）防雷与接地工程设计规范》第3.9.1条的要求，接地线与设备及接地排连接时必须加装铜接线端子，并必须压（焊）接牢固。</w:t>
      </w:r>
    </w:p>
    <w:p>
      <w:pPr>
        <w:ind w:firstLine="480"/>
        <w:rPr>
          <w:rFonts w:cs="Times New Roman"/>
        </w:rPr>
      </w:pPr>
      <w:r>
        <w:rPr>
          <w:rFonts w:cs="Times New Roman"/>
        </w:rPr>
        <w:t>机房内接地排及所有的接地线应用不易脱落、不怕受潮的标签注明接地线名称及接地线两端所连接设备的名称；接地线应采用黄绿双色电缆，并绑扎牢固、整齐、避免折弯。</w:t>
      </w:r>
    </w:p>
    <w:p>
      <w:pPr>
        <w:ind w:firstLine="480"/>
        <w:rPr>
          <w:rFonts w:cs="Times New Roman"/>
        </w:rPr>
      </w:pPr>
      <w:r>
        <w:rPr>
          <w:rFonts w:cs="Times New Roman"/>
        </w:rPr>
        <w:t>根据国家标准GB50689-2011《通信局（站）防雷与接地工程设计规范》第3.6.8条的要求，严禁在接地线中加装开关或熔断器。</w:t>
      </w:r>
    </w:p>
    <w:p>
      <w:pPr>
        <w:ind w:firstLine="199" w:firstLineChars="83"/>
        <w:rPr>
          <w:rFonts w:cs="Times New Roman"/>
        </w:rPr>
      </w:pPr>
      <w:r>
        <w:rPr>
          <w:rFonts w:cs="Times New Roman"/>
        </w:rPr>
        <w:t>（3）直击雷防护</w:t>
      </w:r>
    </w:p>
    <w:p>
      <w:pPr>
        <w:ind w:firstLine="480"/>
        <w:rPr>
          <w:rFonts w:cs="Times New Roman"/>
        </w:rPr>
      </w:pPr>
      <w:r>
        <w:rPr>
          <w:rFonts w:cs="Times New Roman"/>
        </w:rPr>
        <w:t>移动通信基站射频单元及天线、机房、馈线、走线架等设施均应在避雷针的保护范围内，保护范围宜按滚球法计算。</w:t>
      </w:r>
    </w:p>
    <w:p>
      <w:pPr>
        <w:ind w:firstLine="480"/>
        <w:rPr>
          <w:rFonts w:cs="Times New Roman"/>
        </w:rPr>
      </w:pPr>
      <w:r>
        <w:rPr>
          <w:rFonts w:cs="Times New Roman"/>
        </w:rPr>
        <w:t>移动通信基站射频单元及天线安装在建筑物顶时，应设在抱杆避雷针的保护范围内，移动通信基站可不另设避雷针。</w:t>
      </w:r>
    </w:p>
    <w:p>
      <w:pPr>
        <w:ind w:firstLine="480"/>
        <w:rPr>
          <w:rFonts w:cs="Times New Roman"/>
        </w:rPr>
      </w:pPr>
      <w:r>
        <w:rPr>
          <w:rFonts w:cs="Times New Roman"/>
        </w:rPr>
        <w:t>铁塔避雷针应采用40mm×4mm的热镀锌扁钢作为引下线，若确认铁塔金属构件电气连接可靠，可不设置专门的引下线。</w:t>
      </w:r>
    </w:p>
    <w:p>
      <w:pPr>
        <w:ind w:firstLine="199" w:firstLineChars="83"/>
        <w:rPr>
          <w:rFonts w:cs="Times New Roman"/>
        </w:rPr>
      </w:pPr>
      <w:r>
        <w:rPr>
          <w:rFonts w:cs="Times New Roman"/>
        </w:rPr>
        <w:t>（4）室外走线架的防护</w:t>
      </w:r>
    </w:p>
    <w:p>
      <w:pPr>
        <w:ind w:firstLine="480"/>
        <w:rPr>
          <w:rFonts w:cs="Times New Roman"/>
        </w:rPr>
      </w:pPr>
      <w:r>
        <w:rPr>
          <w:rFonts w:cs="Times New Roman"/>
        </w:rPr>
        <w:t>室外走线架始末两端均应接地，接地连接线应采用截面积不小于10mm</w:t>
      </w:r>
      <w:r>
        <w:rPr>
          <w:rFonts w:cs="Times New Roman"/>
          <w:vertAlign w:val="superscript"/>
        </w:rPr>
        <w:t>2</w:t>
      </w:r>
      <w:r>
        <w:rPr>
          <w:rFonts w:cs="Times New Roman"/>
        </w:rPr>
        <w:t>的多股铜线。室外走线架在机房馈窗口处的接地应单独引接地线至地网，不能与馈窗接地汇流排相连，也不能与馈窗接地汇流排合用接地引入线。</w:t>
      </w:r>
    </w:p>
    <w:p>
      <w:pPr>
        <w:ind w:firstLine="199" w:firstLineChars="83"/>
        <w:rPr>
          <w:rFonts w:cs="Times New Roman"/>
        </w:rPr>
      </w:pPr>
      <w:r>
        <w:rPr>
          <w:rFonts w:cs="Times New Roman"/>
        </w:rPr>
        <w:t>（5）分布式基站直流拉远系统的防护</w:t>
      </w:r>
    </w:p>
    <w:p>
      <w:pPr>
        <w:ind w:firstLine="480"/>
        <w:rPr>
          <w:rFonts w:cs="Times New Roman"/>
        </w:rPr>
      </w:pPr>
      <w:r>
        <w:rPr>
          <w:rFonts w:cs="Times New Roman"/>
        </w:rPr>
        <w:t>直流拉远的电源线应采用屏蔽电缆，电缆屏蔽层应两端接地。AAU侧可通过AAU或者防雷箱实现屏蔽层的接地，机房侧的屏蔽层的接地应在馈窗接地汇流排处实施。</w:t>
      </w:r>
    </w:p>
    <w:p>
      <w:pPr>
        <w:ind w:firstLine="480"/>
        <w:rPr>
          <w:rFonts w:cs="Times New Roman"/>
        </w:rPr>
      </w:pPr>
      <w:r>
        <w:rPr>
          <w:rFonts w:cs="Times New Roman"/>
        </w:rPr>
        <w:t>当采用外置直流配电防雷箱时，防雷箱的安装位置应使得接地线尽量短。</w:t>
      </w:r>
    </w:p>
    <w:p>
      <w:pPr>
        <w:ind w:firstLine="480"/>
        <w:rPr>
          <w:rFonts w:cs="Times New Roman"/>
        </w:rPr>
      </w:pPr>
      <w:r>
        <w:rPr>
          <w:rFonts w:cs="Times New Roman"/>
        </w:rPr>
        <w:t>当桅杆（抱杆）与楼顶避雷带（网）间具备良好的电气连接时，AAU和室外直流防雷箱等的接地线可直接接在桅杆及抱杆上；当桅杆（抱杆）与楼顶避雷带（网）间不具备良好的电气连接时，AAU和室外直流防雷箱等的接地线应与避雷带（网）、楼顶接地端子等直接连通。</w:t>
      </w:r>
    </w:p>
    <w:p>
      <w:pPr>
        <w:ind w:firstLine="199" w:firstLineChars="83"/>
        <w:rPr>
          <w:rFonts w:cs="Times New Roman"/>
        </w:rPr>
      </w:pPr>
      <w:r>
        <w:rPr>
          <w:rFonts w:cs="Times New Roman"/>
        </w:rPr>
        <w:t>（6）北斗/GPS系统的防护</w:t>
      </w:r>
    </w:p>
    <w:p>
      <w:pPr>
        <w:ind w:firstLine="480"/>
        <w:rPr>
          <w:rFonts w:cs="Times New Roman"/>
        </w:rPr>
      </w:pPr>
      <w:r>
        <w:rPr>
          <w:rFonts w:cs="Times New Roman"/>
        </w:rPr>
        <w:t>铁塔位于机房旁边时，北斗/GPS天线宜安装在机房顶部。</w:t>
      </w:r>
    </w:p>
    <w:p>
      <w:pPr>
        <w:ind w:firstLine="480"/>
        <w:rPr>
          <w:rFonts w:cs="Times New Roman"/>
        </w:rPr>
      </w:pPr>
      <w:r>
        <w:rPr>
          <w:rFonts w:cs="Times New Roman"/>
        </w:rPr>
        <w:t>当北斗/GPS天线安装在铁塔顶部时，北斗/GPS馈线应分别在塔顶、机房入口处就近接地；当在机房入口处安装了北斗/GPS防雷器时，可通过北斗/GPS防雷器来实现馈线接地；当北斗/GPS馈线长度大于60m时，则宜在塔的中间部位增加一个接地点。</w:t>
      </w:r>
    </w:p>
    <w:p>
      <w:pPr>
        <w:ind w:firstLine="480"/>
        <w:rPr>
          <w:rFonts w:cs="Times New Roman"/>
        </w:rPr>
      </w:pPr>
      <w:r>
        <w:rPr>
          <w:rFonts w:cs="Times New Roman"/>
        </w:rPr>
        <w:t>根据国家标准GB50689-2011《通信局（站）防雷与接地工程设计规范》第6.6.4条的要求，GPS天线设在楼顶时，GPS馈线在楼顶布线严禁与避雷带缠绕。</w:t>
      </w:r>
    </w:p>
    <w:p>
      <w:pPr>
        <w:ind w:firstLine="480"/>
        <w:rPr>
          <w:rFonts w:cs="Times New Roman"/>
        </w:rPr>
      </w:pPr>
      <w:r>
        <w:rPr>
          <w:rFonts w:cs="Times New Roman"/>
        </w:rPr>
        <w:t>北斗/GPS室内馈线应加装北斗/GPS防雷器保护，北斗/GPS防雷器独立安装时，其接地线应接到馈窗接地汇流排。当北斗/GPS馈线室外绝缘安装时，北斗/GPS防雷器的接地线也可接到室内接地汇集线或总接地汇流排。</w:t>
      </w:r>
    </w:p>
    <w:p>
      <w:pPr>
        <w:ind w:firstLine="480"/>
        <w:rPr>
          <w:rFonts w:cs="Times New Roman"/>
        </w:rPr>
      </w:pPr>
      <w:r>
        <w:rPr>
          <w:rFonts w:cs="Times New Roman"/>
        </w:rPr>
        <w:t>当通信设备已内置北斗/GPS防雷器时，不应增加外置式北斗/GPS防雷器。</w:t>
      </w:r>
    </w:p>
    <w:p>
      <w:pPr>
        <w:ind w:firstLine="199" w:firstLineChars="83"/>
        <w:rPr>
          <w:rFonts w:cs="Times New Roman"/>
        </w:rPr>
      </w:pPr>
      <w:r>
        <w:rPr>
          <w:rFonts w:cs="Times New Roman"/>
        </w:rPr>
        <w:t>（7）其它设施的防护</w:t>
      </w:r>
    </w:p>
    <w:p>
      <w:pPr>
        <w:ind w:firstLine="480"/>
        <w:rPr>
          <w:rFonts w:cs="Times New Roman"/>
        </w:rPr>
      </w:pPr>
      <w:r>
        <w:rPr>
          <w:rFonts w:cs="Times New Roman"/>
        </w:rPr>
        <w:t>空调室外机应采用带保护地线电源线，并通过该保护地线接地。严禁将室外机机壳与避雷带、雷电引下线、塔体或室外接地排相连。</w:t>
      </w:r>
    </w:p>
    <w:p>
      <w:pPr>
        <w:ind w:firstLine="480"/>
        <w:rPr>
          <w:rFonts w:cs="Times New Roman"/>
        </w:rPr>
      </w:pPr>
      <w:r>
        <w:rPr>
          <w:rFonts w:cs="Times New Roman"/>
        </w:rPr>
        <w:t>根据国家标准GB50689-2011《通信局（站）防雷与接地工程设计规范》第3.14.1条的要求，内走线架、吊挂铁架、机架或机壳、金属通风管道、金属门窗等各类金属构件均应与接地汇集线相连作保护接地处理，各段走线架之间必须采用电气连接。室内走线架应与建筑物外墙（包括立柱、梁、地板、屋顶）内的钢筋绝缘，也不得与室外馈线架直接连通。走线架两端应与总接地汇流排作可靠连接，接地线缆宜采用35mm</w:t>
      </w:r>
      <w:r>
        <w:rPr>
          <w:rFonts w:cs="Times New Roman"/>
          <w:vertAlign w:val="superscript"/>
        </w:rPr>
        <w:t>2</w:t>
      </w:r>
      <w:r>
        <w:rPr>
          <w:rFonts w:cs="Times New Roman"/>
        </w:rPr>
        <w:t>～95mm</w:t>
      </w:r>
      <w:r>
        <w:rPr>
          <w:rFonts w:cs="Times New Roman"/>
          <w:vertAlign w:val="superscript"/>
        </w:rPr>
        <w:t>2</w:t>
      </w:r>
      <w:r>
        <w:rPr>
          <w:rFonts w:cs="Times New Roman"/>
        </w:rPr>
        <w:t>的铜导线；走线架连接处两端宜用16mm</w:t>
      </w:r>
      <w:r>
        <w:rPr>
          <w:rFonts w:cs="Times New Roman"/>
          <w:vertAlign w:val="superscript"/>
        </w:rPr>
        <w:t>2</w:t>
      </w:r>
      <w:r>
        <w:rPr>
          <w:rFonts w:cs="Times New Roman"/>
        </w:rPr>
        <w:t>～35mm</w:t>
      </w:r>
      <w:r>
        <w:rPr>
          <w:rFonts w:cs="Times New Roman"/>
          <w:vertAlign w:val="superscript"/>
        </w:rPr>
        <w:t>2</w:t>
      </w:r>
      <w:r>
        <w:rPr>
          <w:rFonts w:cs="Times New Roman"/>
        </w:rPr>
        <w:t>铜导线做可靠连接。</w:t>
      </w:r>
    </w:p>
    <w:p>
      <w:pPr>
        <w:pStyle w:val="4"/>
        <w:rPr>
          <w:rFonts w:cs="Times New Roman"/>
        </w:rPr>
      </w:pPr>
      <w:bookmarkStart w:id="936" w:name="_Toc447202523"/>
      <w:bookmarkStart w:id="937" w:name="_Toc452131642"/>
      <w:bookmarkStart w:id="938" w:name="_Toc447204572"/>
      <w:bookmarkStart w:id="939" w:name="_Toc162879753"/>
      <w:bookmarkStart w:id="940" w:name="_Toc176345515"/>
      <w:bookmarkStart w:id="941" w:name="_Toc5526"/>
      <w:bookmarkStart w:id="942" w:name="_Toc2868717"/>
      <w:r>
        <w:rPr>
          <w:rFonts w:cs="Times New Roman"/>
        </w:rPr>
        <w:t>消防安全</w:t>
      </w:r>
      <w:bookmarkEnd w:id="936"/>
      <w:bookmarkEnd w:id="937"/>
      <w:bookmarkEnd w:id="938"/>
      <w:bookmarkEnd w:id="939"/>
      <w:bookmarkEnd w:id="940"/>
      <w:bookmarkEnd w:id="941"/>
      <w:bookmarkEnd w:id="942"/>
    </w:p>
    <w:p>
      <w:pPr>
        <w:ind w:firstLine="480"/>
        <w:rPr>
          <w:rFonts w:cs="Times New Roman"/>
        </w:rPr>
      </w:pPr>
      <w:r>
        <w:rPr>
          <w:rFonts w:cs="Times New Roman"/>
        </w:rPr>
        <w:t>各局、站应按消防安全要求配置必要的防火告警系统及灭火设备。在选择局、站址时应尽量选择符合防火等级的建筑作通信机房。</w:t>
      </w:r>
    </w:p>
    <w:p>
      <w:pPr>
        <w:ind w:firstLine="480"/>
        <w:rPr>
          <w:rFonts w:cs="Times New Roman"/>
        </w:rPr>
      </w:pPr>
      <w:r>
        <w:rPr>
          <w:rFonts w:cs="Times New Roman"/>
        </w:rPr>
        <w:t>对机房进行改造时，只可进行为满足机房电气要求的修缮（如对窗户进行处理，以防雨天渗水或泄漏冷气、机房门改为向外开等），不得作装饰性的装修，而且需采用不透光、不燃或阻燃的满足防火要求的材料。施工完毕，所有进线孔洞必须用防火材料堵塞，施工中的设备包装材料和打印纸等易燃物品要随用随清运，不得堆放在机房内或安全通道上。</w:t>
      </w:r>
    </w:p>
    <w:p>
      <w:pPr>
        <w:pStyle w:val="4"/>
        <w:rPr>
          <w:rFonts w:cs="Times New Roman"/>
        </w:rPr>
      </w:pPr>
      <w:bookmarkStart w:id="943" w:name="_Toc26570"/>
      <w:bookmarkStart w:id="944" w:name="_Toc452131643"/>
      <w:bookmarkStart w:id="945" w:name="_Toc2868718"/>
      <w:bookmarkStart w:id="946" w:name="_Toc447204573"/>
      <w:bookmarkStart w:id="947" w:name="_Toc447202524"/>
      <w:r>
        <w:rPr>
          <w:rFonts w:cs="Times New Roman"/>
        </w:rPr>
        <w:t>共建共享</w:t>
      </w:r>
      <w:bookmarkEnd w:id="943"/>
      <w:bookmarkEnd w:id="944"/>
      <w:bookmarkEnd w:id="945"/>
      <w:bookmarkEnd w:id="946"/>
      <w:bookmarkEnd w:id="947"/>
    </w:p>
    <w:p>
      <w:pPr>
        <w:ind w:firstLine="480"/>
        <w:rPr>
          <w:rFonts w:cs="Times New Roman"/>
        </w:rPr>
      </w:pPr>
      <w:r>
        <w:rPr>
          <w:rFonts w:cs="Times New Roman"/>
        </w:rPr>
        <w:t>根据我国通信行业标准YD 5191-2009《电信基础设施共建共享工程技术暂行规定》第1.0.4条要求，已有铁塔必须开放共享，不具备共享条件的应采取技术改造、加固、扩建等方式进行共享。新建铁塔必须共建。其他基站设施（包括基站铁塔等支撑设施、天面、机房、室内分布系统、基站专用传输线路、电源等其他配套设施）具备条件的应共建共享。</w:t>
      </w:r>
    </w:p>
    <w:p>
      <w:pPr>
        <w:ind w:firstLine="480"/>
        <w:rPr>
          <w:rFonts w:cs="Times New Roman"/>
        </w:rPr>
      </w:pPr>
      <w:r>
        <w:rPr>
          <w:rFonts w:cs="Times New Roman"/>
        </w:rPr>
        <w:t>基站铁塔、天面共建共享时，各系统天线安装应采取空间隔离等措施，以满足各系统间的干扰隔离要求。本工程5G系统与其他系统天线安装间距要求请具体参见“12系统间干扰规避”章节。</w:t>
      </w:r>
    </w:p>
    <w:p>
      <w:pPr>
        <w:pStyle w:val="4"/>
        <w:rPr>
          <w:rFonts w:cs="Times New Roman"/>
        </w:rPr>
      </w:pPr>
      <w:bookmarkStart w:id="948" w:name="_Toc162879754"/>
      <w:bookmarkStart w:id="949" w:name="_Toc452131644"/>
      <w:bookmarkStart w:id="950" w:name="_Toc13592"/>
      <w:bookmarkStart w:id="951" w:name="_Toc447202525"/>
      <w:bookmarkStart w:id="952" w:name="_Toc2868719"/>
      <w:bookmarkStart w:id="953" w:name="_Toc176345516"/>
      <w:bookmarkStart w:id="954" w:name="_Toc447204574"/>
      <w:r>
        <w:rPr>
          <w:rFonts w:cs="Times New Roman"/>
        </w:rPr>
        <w:t>节能环保</w:t>
      </w:r>
      <w:bookmarkEnd w:id="948"/>
      <w:bookmarkEnd w:id="949"/>
      <w:bookmarkEnd w:id="950"/>
      <w:bookmarkEnd w:id="951"/>
      <w:bookmarkEnd w:id="952"/>
      <w:bookmarkEnd w:id="953"/>
      <w:bookmarkEnd w:id="954"/>
    </w:p>
    <w:p>
      <w:pPr>
        <w:pStyle w:val="5"/>
        <w:rPr>
          <w:rFonts w:cs="Times New Roman"/>
        </w:rPr>
      </w:pPr>
      <w:bookmarkStart w:id="955" w:name="_Toc447202526"/>
      <w:bookmarkStart w:id="956" w:name="_Toc452131645"/>
      <w:bookmarkStart w:id="957" w:name="_Toc176345517"/>
      <w:bookmarkStart w:id="958" w:name="_Toc3933"/>
      <w:bookmarkStart w:id="959" w:name="_Toc447204575"/>
      <w:bookmarkStart w:id="960" w:name="_Toc2868720"/>
      <w:bookmarkStart w:id="961" w:name="_Toc162879755"/>
      <w:r>
        <w:rPr>
          <w:rFonts w:cs="Times New Roman"/>
        </w:rPr>
        <w:t>设备能耗</w:t>
      </w:r>
      <w:bookmarkEnd w:id="955"/>
      <w:bookmarkEnd w:id="956"/>
      <w:bookmarkEnd w:id="957"/>
      <w:bookmarkEnd w:id="958"/>
      <w:bookmarkEnd w:id="959"/>
      <w:bookmarkEnd w:id="960"/>
      <w:bookmarkEnd w:id="961"/>
    </w:p>
    <w:p>
      <w:pPr>
        <w:ind w:firstLine="480"/>
        <w:rPr>
          <w:rFonts w:cs="Times New Roman"/>
        </w:rPr>
      </w:pPr>
      <w:bookmarkStart w:id="962" w:name="_Toc447202527"/>
      <w:bookmarkStart w:id="963" w:name="_Toc447204576"/>
      <w:bookmarkStart w:id="964" w:name="_Toc452131646"/>
      <w:bookmarkStart w:id="965" w:name="_Toc162879740"/>
      <w:bookmarkStart w:id="966" w:name="_Toc176345519"/>
      <w:bookmarkStart w:id="967" w:name="_Toc2868721"/>
      <w:bookmarkStart w:id="968" w:name="_Toc66517212"/>
      <w:r>
        <w:rPr>
          <w:rFonts w:cs="Times New Roman"/>
        </w:rPr>
        <w:t>本工程所采用的设备符合国家对通信产品的节能要求。</w:t>
      </w:r>
    </w:p>
    <w:p>
      <w:pPr>
        <w:ind w:firstLine="480"/>
        <w:rPr>
          <w:rFonts w:cs="Times New Roman"/>
        </w:rPr>
      </w:pPr>
      <w:r>
        <w:rPr>
          <w:rFonts w:cs="Times New Roman"/>
        </w:rPr>
        <w:t>为响应国家关于节能减排工作的部署、贯彻落实集团公司“绿色行动计划”，本工程将推行节能减排技术。</w:t>
      </w:r>
    </w:p>
    <w:p>
      <w:pPr>
        <w:ind w:firstLine="480"/>
        <w:rPr>
          <w:rFonts w:cs="Times New Roman"/>
        </w:rPr>
      </w:pPr>
      <w:r>
        <w:rPr>
          <w:rFonts w:cs="Times New Roman"/>
        </w:rPr>
        <w:t>目前采用的5G站点级节能技术方案主要有亚帧关断、MIMO通道关断、深度休眠、智能开关断电、载波关断五种技术方案，其中2020年引入前四种技术方案。</w:t>
      </w:r>
    </w:p>
    <w:p>
      <w:pPr>
        <w:ind w:firstLine="480"/>
        <w:rPr>
          <w:rFonts w:cs="Times New Roman"/>
          <w:kern w:val="24"/>
        </w:rPr>
      </w:pPr>
      <w:r>
        <w:rPr>
          <w:rFonts w:cs="Times New Roman"/>
        </w:rPr>
        <w:t>设备节能减排，主要从节电、节材和节地三个方面来考虑，按照主设备能耗，制定设备重量、体积、功耗方面的技术规范，建立节能分级体系，确定主设备节能的近期和远期目标。在设备采购中优先考虑低功耗、高能效比的设备，推动设备供应商产品开发，以满足公司节能总体目标要求。</w:t>
      </w:r>
    </w:p>
    <w:p>
      <w:pPr>
        <w:pStyle w:val="5"/>
        <w:rPr>
          <w:rFonts w:cs="Times New Roman"/>
        </w:rPr>
      </w:pPr>
      <w:bookmarkStart w:id="969" w:name="_Toc20527"/>
      <w:r>
        <w:rPr>
          <w:rFonts w:cs="Times New Roman"/>
        </w:rPr>
        <w:t>电磁防护与环境保护</w:t>
      </w:r>
      <w:bookmarkEnd w:id="962"/>
      <w:bookmarkEnd w:id="963"/>
      <w:bookmarkEnd w:id="964"/>
      <w:bookmarkEnd w:id="965"/>
      <w:bookmarkEnd w:id="966"/>
      <w:bookmarkEnd w:id="967"/>
      <w:bookmarkEnd w:id="968"/>
      <w:bookmarkEnd w:id="969"/>
    </w:p>
    <w:p>
      <w:pPr>
        <w:pStyle w:val="6"/>
        <w:rPr>
          <w:rFonts w:cs="Times New Roman"/>
        </w:rPr>
      </w:pPr>
      <w:bookmarkStart w:id="970" w:name="_Toc162879742"/>
      <w:r>
        <w:rPr>
          <w:rFonts w:cs="Times New Roman"/>
        </w:rPr>
        <w:t>电磁辐射防护</w:t>
      </w:r>
      <w:bookmarkEnd w:id="970"/>
    </w:p>
    <w:p>
      <w:pPr>
        <w:ind w:firstLine="199" w:firstLineChars="83"/>
        <w:rPr>
          <w:rFonts w:cs="Times New Roman"/>
        </w:rPr>
      </w:pPr>
      <w:r>
        <w:rPr>
          <w:rFonts w:cs="Times New Roman"/>
        </w:rPr>
        <w:t>（1）室外电磁辐射及防治</w:t>
      </w:r>
    </w:p>
    <w:p>
      <w:pPr>
        <w:ind w:firstLine="480"/>
        <w:rPr>
          <w:rFonts w:cs="Times New Roman"/>
        </w:rPr>
      </w:pPr>
      <w:r>
        <w:rPr>
          <w:rFonts w:cs="Times New Roman"/>
        </w:rPr>
        <w:t>根据GB 8702-2014《电磁环境控制限值》中的标准规定：</w:t>
      </w:r>
    </w:p>
    <w:p>
      <w:pPr>
        <w:ind w:firstLine="480"/>
        <w:rPr>
          <w:rFonts w:cs="Times New Roman"/>
        </w:rPr>
      </w:pPr>
      <w:r>
        <w:rPr>
          <w:rFonts w:cs="Times New Roman"/>
        </w:rPr>
        <w:t>频率30～3000MHz范围内，为控制电场、磁场、电磁场所致公众暴露，环境中电场、磁场、电磁场场量参数任意连续6分钟内的方均根值应满足下表要求：</w:t>
      </w:r>
    </w:p>
    <w:p>
      <w:pPr>
        <w:pStyle w:val="603"/>
        <w:rPr>
          <w:rFonts w:cs="Times New Roman"/>
        </w:rPr>
      </w:pPr>
      <w:r>
        <w:rPr>
          <w:rFonts w:cs="Times New Roman"/>
        </w:rPr>
        <w:t>表18.2-1  公众暴露控制限值</w:t>
      </w:r>
    </w:p>
    <w:tbl>
      <w:tblPr>
        <w:tblStyle w:val="63"/>
        <w:tblW w:w="6244" w:type="dxa"/>
        <w:jc w:val="center"/>
        <w:tblLayout w:type="fixed"/>
        <w:tblCellMar>
          <w:top w:w="0" w:type="dxa"/>
          <w:left w:w="108" w:type="dxa"/>
          <w:bottom w:w="0" w:type="dxa"/>
          <w:right w:w="108" w:type="dxa"/>
        </w:tblCellMar>
      </w:tblPr>
      <w:tblGrid>
        <w:gridCol w:w="2964"/>
        <w:gridCol w:w="1912"/>
        <w:gridCol w:w="1368"/>
      </w:tblGrid>
      <w:tr>
        <w:tblPrEx>
          <w:tblCellMar>
            <w:top w:w="0" w:type="dxa"/>
            <w:left w:w="108" w:type="dxa"/>
            <w:bottom w:w="0" w:type="dxa"/>
            <w:right w:w="108" w:type="dxa"/>
          </w:tblCellMar>
        </w:tblPrEx>
        <w:trPr>
          <w:trHeight w:val="270" w:hRule="atLeast"/>
          <w:jc w:val="center"/>
        </w:trPr>
        <w:tc>
          <w:tcPr>
            <w:tcW w:w="296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p>
        </w:tc>
        <w:tc>
          <w:tcPr>
            <w:tcW w:w="1912" w:type="dxa"/>
            <w:tcBorders>
              <w:top w:val="single" w:color="auto" w:sz="4" w:space="0"/>
              <w:left w:val="nil"/>
              <w:bottom w:val="single" w:color="auto" w:sz="4" w:space="0"/>
              <w:right w:val="single" w:color="auto" w:sz="4" w:space="0"/>
            </w:tcBorders>
            <w:shd w:val="clear" w:color="auto" w:fill="auto"/>
            <w:vAlign w:val="center"/>
          </w:tcPr>
          <w:p>
            <w:pPr>
              <w:pStyle w:val="290"/>
            </w:pPr>
            <w:r>
              <w:t>单位</w:t>
            </w:r>
          </w:p>
        </w:tc>
        <w:tc>
          <w:tcPr>
            <w:tcW w:w="1368" w:type="dxa"/>
            <w:tcBorders>
              <w:top w:val="single" w:color="auto" w:sz="4" w:space="0"/>
              <w:left w:val="nil"/>
              <w:bottom w:val="single" w:color="auto" w:sz="4" w:space="0"/>
              <w:right w:val="single" w:color="auto" w:sz="4" w:space="0"/>
            </w:tcBorders>
            <w:shd w:val="clear" w:color="auto" w:fill="auto"/>
            <w:vAlign w:val="center"/>
          </w:tcPr>
          <w:p>
            <w:pPr>
              <w:pStyle w:val="290"/>
            </w:pPr>
            <w:r>
              <w:t>限值</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电场强度</w:t>
            </w:r>
          </w:p>
        </w:tc>
        <w:tc>
          <w:tcPr>
            <w:tcW w:w="1912" w:type="dxa"/>
            <w:tcBorders>
              <w:top w:val="nil"/>
              <w:left w:val="nil"/>
              <w:bottom w:val="single" w:color="auto" w:sz="4" w:space="0"/>
              <w:right w:val="single" w:color="auto" w:sz="4" w:space="0"/>
            </w:tcBorders>
            <w:shd w:val="clear" w:color="auto" w:fill="auto"/>
            <w:vAlign w:val="center"/>
          </w:tcPr>
          <w:p>
            <w:pPr>
              <w:pStyle w:val="290"/>
            </w:pPr>
            <w:r>
              <w:t>（V/m）</w:t>
            </w:r>
          </w:p>
        </w:tc>
        <w:tc>
          <w:tcPr>
            <w:tcW w:w="1368" w:type="dxa"/>
            <w:tcBorders>
              <w:top w:val="nil"/>
              <w:left w:val="nil"/>
              <w:bottom w:val="single" w:color="auto" w:sz="4" w:space="0"/>
              <w:right w:val="single" w:color="auto" w:sz="4" w:space="0"/>
            </w:tcBorders>
            <w:shd w:val="clear" w:color="auto" w:fill="auto"/>
            <w:vAlign w:val="center"/>
          </w:tcPr>
          <w:p>
            <w:pPr>
              <w:pStyle w:val="290"/>
            </w:pPr>
            <w:r>
              <w:t>12</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磁场强度</w:t>
            </w:r>
          </w:p>
        </w:tc>
        <w:tc>
          <w:tcPr>
            <w:tcW w:w="1912" w:type="dxa"/>
            <w:tcBorders>
              <w:top w:val="nil"/>
              <w:left w:val="nil"/>
              <w:bottom w:val="single" w:color="auto" w:sz="4" w:space="0"/>
              <w:right w:val="single" w:color="auto" w:sz="4" w:space="0"/>
            </w:tcBorders>
            <w:shd w:val="clear" w:color="auto" w:fill="auto"/>
            <w:vAlign w:val="center"/>
          </w:tcPr>
          <w:p>
            <w:pPr>
              <w:pStyle w:val="290"/>
            </w:pPr>
            <w:r>
              <w:t>（A/m）</w:t>
            </w:r>
          </w:p>
        </w:tc>
        <w:tc>
          <w:tcPr>
            <w:tcW w:w="1368" w:type="dxa"/>
            <w:tcBorders>
              <w:top w:val="nil"/>
              <w:left w:val="nil"/>
              <w:bottom w:val="single" w:color="auto" w:sz="4" w:space="0"/>
              <w:right w:val="single" w:color="auto" w:sz="4" w:space="0"/>
            </w:tcBorders>
            <w:shd w:val="clear" w:color="auto" w:fill="auto"/>
            <w:vAlign w:val="center"/>
          </w:tcPr>
          <w:p>
            <w:pPr>
              <w:pStyle w:val="290"/>
            </w:pPr>
            <w:r>
              <w:t>0.032</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磁感应强度</w:t>
            </w:r>
          </w:p>
        </w:tc>
        <w:tc>
          <w:tcPr>
            <w:tcW w:w="1912" w:type="dxa"/>
            <w:tcBorders>
              <w:top w:val="nil"/>
              <w:left w:val="nil"/>
              <w:bottom w:val="single" w:color="auto" w:sz="4" w:space="0"/>
              <w:right w:val="single" w:color="auto" w:sz="4" w:space="0"/>
            </w:tcBorders>
            <w:shd w:val="clear" w:color="auto" w:fill="auto"/>
            <w:vAlign w:val="center"/>
          </w:tcPr>
          <w:p>
            <w:pPr>
              <w:pStyle w:val="290"/>
            </w:pPr>
            <w:r>
              <w:t>μT</w:t>
            </w:r>
          </w:p>
        </w:tc>
        <w:tc>
          <w:tcPr>
            <w:tcW w:w="1368" w:type="dxa"/>
            <w:tcBorders>
              <w:top w:val="nil"/>
              <w:left w:val="nil"/>
              <w:bottom w:val="single" w:color="auto" w:sz="4" w:space="0"/>
              <w:right w:val="single" w:color="auto" w:sz="4" w:space="0"/>
            </w:tcBorders>
            <w:shd w:val="clear" w:color="auto" w:fill="auto"/>
            <w:vAlign w:val="center"/>
          </w:tcPr>
          <w:p>
            <w:pPr>
              <w:pStyle w:val="290"/>
            </w:pPr>
            <w:r>
              <w:t>0.04</w:t>
            </w:r>
          </w:p>
        </w:tc>
      </w:tr>
      <w:tr>
        <w:tblPrEx>
          <w:tblCellMar>
            <w:top w:w="0" w:type="dxa"/>
            <w:left w:w="108" w:type="dxa"/>
            <w:bottom w:w="0" w:type="dxa"/>
            <w:right w:w="108" w:type="dxa"/>
          </w:tblCellMar>
        </w:tblPrEx>
        <w:trPr>
          <w:trHeight w:val="270" w:hRule="atLeast"/>
          <w:jc w:val="center"/>
        </w:trPr>
        <w:tc>
          <w:tcPr>
            <w:tcW w:w="2964" w:type="dxa"/>
            <w:tcBorders>
              <w:top w:val="nil"/>
              <w:left w:val="single" w:color="auto" w:sz="4" w:space="0"/>
              <w:bottom w:val="single" w:color="auto" w:sz="4" w:space="0"/>
              <w:right w:val="single" w:color="auto" w:sz="4" w:space="0"/>
            </w:tcBorders>
            <w:shd w:val="clear" w:color="auto" w:fill="auto"/>
            <w:vAlign w:val="center"/>
          </w:tcPr>
          <w:p>
            <w:pPr>
              <w:pStyle w:val="290"/>
            </w:pPr>
            <w:r>
              <w:t>等效平面波功率密度</w:t>
            </w:r>
          </w:p>
        </w:tc>
        <w:tc>
          <w:tcPr>
            <w:tcW w:w="1912" w:type="dxa"/>
            <w:tcBorders>
              <w:top w:val="nil"/>
              <w:left w:val="nil"/>
              <w:bottom w:val="single" w:color="auto" w:sz="4" w:space="0"/>
              <w:right w:val="single" w:color="auto" w:sz="4" w:space="0"/>
            </w:tcBorders>
            <w:shd w:val="clear" w:color="auto" w:fill="auto"/>
            <w:vAlign w:val="center"/>
          </w:tcPr>
          <w:p>
            <w:pPr>
              <w:pStyle w:val="290"/>
            </w:pPr>
            <w:r>
              <w:t>W/</w:t>
            </w:r>
            <w:r>
              <w:rPr>
                <w:kern w:val="24"/>
              </w:rPr>
              <w:t>m</w:t>
            </w:r>
            <w:r>
              <w:rPr>
                <w:kern w:val="24"/>
                <w:vertAlign w:val="superscript"/>
              </w:rPr>
              <w:t>2</w:t>
            </w:r>
          </w:p>
        </w:tc>
        <w:tc>
          <w:tcPr>
            <w:tcW w:w="1368" w:type="dxa"/>
            <w:tcBorders>
              <w:top w:val="nil"/>
              <w:left w:val="nil"/>
              <w:bottom w:val="single" w:color="auto" w:sz="4" w:space="0"/>
              <w:right w:val="single" w:color="auto" w:sz="4" w:space="0"/>
            </w:tcBorders>
            <w:shd w:val="clear" w:color="auto" w:fill="auto"/>
            <w:vAlign w:val="center"/>
          </w:tcPr>
          <w:p>
            <w:pPr>
              <w:pStyle w:val="290"/>
            </w:pPr>
            <w:r>
              <w:t>0.4</w:t>
            </w:r>
          </w:p>
        </w:tc>
      </w:tr>
    </w:tbl>
    <w:p>
      <w:pPr>
        <w:ind w:firstLine="480"/>
        <w:rPr>
          <w:rFonts w:cs="Times New Roman"/>
        </w:rPr>
      </w:pPr>
      <w:r>
        <w:rPr>
          <w:rFonts w:cs="Times New Roman"/>
        </w:rPr>
        <w:t>频率3000～15000MHz范围内，为控制电场、磁场、电磁场所致公众暴露，环境中电场、磁场、电磁场场量参数任意连续6分钟内的方均根值应满足下表要求：</w:t>
      </w:r>
    </w:p>
    <w:p>
      <w:pPr>
        <w:pStyle w:val="603"/>
        <w:rPr>
          <w:rFonts w:cs="Times New Roman"/>
        </w:rPr>
      </w:pPr>
      <w:r>
        <w:rPr>
          <w:rFonts w:cs="Times New Roman"/>
        </w:rPr>
        <w:t>表18.2</w:t>
      </w:r>
      <w:r>
        <w:rPr>
          <w:rFonts w:cs="Times New Roman"/>
        </w:rPr>
        <w:noBreakHyphen/>
      </w:r>
      <w:r>
        <w:rPr>
          <w:rFonts w:cs="Times New Roman"/>
        </w:rPr>
        <w:t>2  公众暴露控制限值</w:t>
      </w:r>
    </w:p>
    <w:tbl>
      <w:tblPr>
        <w:tblStyle w:val="63"/>
        <w:tblW w:w="7371" w:type="dxa"/>
        <w:jc w:val="center"/>
        <w:tblLayout w:type="fixed"/>
        <w:tblCellMar>
          <w:top w:w="0" w:type="dxa"/>
          <w:left w:w="108" w:type="dxa"/>
          <w:bottom w:w="0" w:type="dxa"/>
          <w:right w:w="108" w:type="dxa"/>
        </w:tblCellMar>
      </w:tblPr>
      <w:tblGrid>
        <w:gridCol w:w="3661"/>
        <w:gridCol w:w="2009"/>
        <w:gridCol w:w="1701"/>
      </w:tblGrid>
      <w:tr>
        <w:tblPrEx>
          <w:tblCellMar>
            <w:top w:w="0" w:type="dxa"/>
            <w:left w:w="108" w:type="dxa"/>
            <w:bottom w:w="0" w:type="dxa"/>
            <w:right w:w="108" w:type="dxa"/>
          </w:tblCellMar>
        </w:tblPrEx>
        <w:trPr>
          <w:trHeight w:val="270" w:hRule="atLeast"/>
          <w:tblHeader/>
          <w:jc w:val="center"/>
        </w:trPr>
        <w:tc>
          <w:tcPr>
            <w:tcW w:w="3661" w:type="dxa"/>
            <w:tcBorders>
              <w:top w:val="single" w:color="auto" w:sz="4" w:space="0"/>
              <w:left w:val="single" w:color="auto" w:sz="4" w:space="0"/>
              <w:bottom w:val="single" w:color="auto" w:sz="4" w:space="0"/>
              <w:right w:val="single" w:color="auto" w:sz="4" w:space="0"/>
            </w:tcBorders>
            <w:vAlign w:val="center"/>
          </w:tcPr>
          <w:p>
            <w:pPr>
              <w:pStyle w:val="290"/>
            </w:pPr>
          </w:p>
        </w:tc>
        <w:tc>
          <w:tcPr>
            <w:tcW w:w="2009" w:type="dxa"/>
            <w:tcBorders>
              <w:top w:val="single" w:color="auto" w:sz="4" w:space="0"/>
              <w:left w:val="nil"/>
              <w:bottom w:val="single" w:color="auto" w:sz="4" w:space="0"/>
              <w:right w:val="single" w:color="auto" w:sz="4" w:space="0"/>
            </w:tcBorders>
            <w:vAlign w:val="center"/>
          </w:tcPr>
          <w:p>
            <w:pPr>
              <w:pStyle w:val="290"/>
            </w:pPr>
            <w:r>
              <w:t>单位</w:t>
            </w:r>
          </w:p>
        </w:tc>
        <w:tc>
          <w:tcPr>
            <w:tcW w:w="1701" w:type="dxa"/>
            <w:tcBorders>
              <w:top w:val="single" w:color="auto" w:sz="4" w:space="0"/>
              <w:left w:val="nil"/>
              <w:bottom w:val="single" w:color="auto" w:sz="4" w:space="0"/>
              <w:right w:val="single" w:color="auto" w:sz="4" w:space="0"/>
            </w:tcBorders>
            <w:vAlign w:val="center"/>
          </w:tcPr>
          <w:p>
            <w:pPr>
              <w:pStyle w:val="290"/>
            </w:pPr>
            <w:r>
              <w:t>限值</w:t>
            </w:r>
          </w:p>
        </w:tc>
      </w:tr>
      <w:tr>
        <w:tblPrEx>
          <w:tblCellMar>
            <w:top w:w="0" w:type="dxa"/>
            <w:left w:w="108" w:type="dxa"/>
            <w:bottom w:w="0" w:type="dxa"/>
            <w:right w:w="108" w:type="dxa"/>
          </w:tblCellMar>
        </w:tblPrEx>
        <w:trPr>
          <w:trHeight w:val="218"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电场强度</w:t>
            </w:r>
          </w:p>
        </w:tc>
        <w:tc>
          <w:tcPr>
            <w:tcW w:w="2009" w:type="dxa"/>
            <w:tcBorders>
              <w:top w:val="nil"/>
              <w:left w:val="nil"/>
              <w:bottom w:val="single" w:color="auto" w:sz="4" w:space="0"/>
              <w:right w:val="single" w:color="auto" w:sz="4" w:space="0"/>
            </w:tcBorders>
            <w:vAlign w:val="center"/>
          </w:tcPr>
          <w:p>
            <w:pPr>
              <w:pStyle w:val="290"/>
            </w:pPr>
            <w:r>
              <w:t>（V/m）</w:t>
            </w:r>
          </w:p>
        </w:tc>
        <w:tc>
          <w:tcPr>
            <w:tcW w:w="1701" w:type="dxa"/>
            <w:tcBorders>
              <w:top w:val="nil"/>
              <w:left w:val="nil"/>
              <w:bottom w:val="single" w:color="auto" w:sz="4" w:space="0"/>
              <w:right w:val="single" w:color="auto" w:sz="4" w:space="0"/>
            </w:tcBorders>
            <w:vAlign w:val="center"/>
          </w:tcPr>
          <w:p>
            <w:pPr>
              <w:pStyle w:val="290"/>
            </w:pPr>
            <w:r>
              <w:t>0.22</w:t>
            </w:r>
            <w:r>
              <w:object>
                <v:shape id="_x0000_i1047" o:spt="75" type="#_x0000_t75" style="height:25.5pt;width:25.5pt;" o:ole="t" filled="f" o:preferrelative="t" stroked="f" coordsize="21600,21600">
                  <v:path/>
                  <v:fill on="f" focussize="0,0"/>
                  <v:stroke on="f" joinstyle="miter"/>
                  <v:imagedata r:id="rId72" o:title=""/>
                  <o:lock v:ext="edit" aspectratio="t"/>
                  <w10:wrap type="none"/>
                  <w10:anchorlock/>
                </v:shape>
                <o:OLEObject Type="Embed" ProgID="Equation.3" ShapeID="_x0000_i1047" DrawAspect="Content" ObjectID="_1468075747" r:id="rId71">
                  <o:LockedField>false</o:LockedField>
                </o:OLEObject>
              </w:object>
            </w:r>
          </w:p>
        </w:tc>
      </w:tr>
      <w:tr>
        <w:tblPrEx>
          <w:tblCellMar>
            <w:top w:w="0" w:type="dxa"/>
            <w:left w:w="108" w:type="dxa"/>
            <w:bottom w:w="0" w:type="dxa"/>
            <w:right w:w="108" w:type="dxa"/>
          </w:tblCellMar>
        </w:tblPrEx>
        <w:trPr>
          <w:trHeight w:val="270"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磁场强度</w:t>
            </w:r>
          </w:p>
        </w:tc>
        <w:tc>
          <w:tcPr>
            <w:tcW w:w="2009" w:type="dxa"/>
            <w:tcBorders>
              <w:top w:val="nil"/>
              <w:left w:val="nil"/>
              <w:bottom w:val="single" w:color="auto" w:sz="4" w:space="0"/>
              <w:right w:val="single" w:color="auto" w:sz="4" w:space="0"/>
            </w:tcBorders>
            <w:vAlign w:val="center"/>
          </w:tcPr>
          <w:p>
            <w:pPr>
              <w:pStyle w:val="290"/>
            </w:pPr>
            <w:r>
              <w:t>（A/m）</w:t>
            </w:r>
          </w:p>
        </w:tc>
        <w:tc>
          <w:tcPr>
            <w:tcW w:w="1701" w:type="dxa"/>
            <w:tcBorders>
              <w:top w:val="nil"/>
              <w:left w:val="nil"/>
              <w:bottom w:val="single" w:color="auto" w:sz="4" w:space="0"/>
              <w:right w:val="single" w:color="auto" w:sz="4" w:space="0"/>
            </w:tcBorders>
            <w:vAlign w:val="center"/>
          </w:tcPr>
          <w:p>
            <w:pPr>
              <w:pStyle w:val="290"/>
            </w:pPr>
            <w:r>
              <w:t>0.00059</w:t>
            </w:r>
            <w:r>
              <w:object>
                <v:shape id="_x0000_i1048" o:spt="75" type="#_x0000_t75" style="height:25.5pt;width:25.5pt;" o:ole="t" filled="f" o:preferrelative="t" stroked="f" coordsize="21600,21600">
                  <v:path/>
                  <v:fill on="f" focussize="0,0"/>
                  <v:stroke on="f" joinstyle="miter"/>
                  <v:imagedata r:id="rId74" o:title=""/>
                  <o:lock v:ext="edit" aspectratio="t"/>
                  <w10:wrap type="none"/>
                  <w10:anchorlock/>
                </v:shape>
                <o:OLEObject Type="Embed" ProgID="Equation.3" ShapeID="_x0000_i1048" DrawAspect="Content" ObjectID="_1468075748" r:id="rId73">
                  <o:LockedField>false</o:LockedField>
                </o:OLEObject>
              </w:object>
            </w:r>
          </w:p>
        </w:tc>
      </w:tr>
      <w:tr>
        <w:tblPrEx>
          <w:tblCellMar>
            <w:top w:w="0" w:type="dxa"/>
            <w:left w:w="108" w:type="dxa"/>
            <w:bottom w:w="0" w:type="dxa"/>
            <w:right w:w="108" w:type="dxa"/>
          </w:tblCellMar>
        </w:tblPrEx>
        <w:trPr>
          <w:trHeight w:val="270"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磁感应强度</w:t>
            </w:r>
          </w:p>
        </w:tc>
        <w:tc>
          <w:tcPr>
            <w:tcW w:w="2009" w:type="dxa"/>
            <w:tcBorders>
              <w:top w:val="nil"/>
              <w:left w:val="nil"/>
              <w:bottom w:val="single" w:color="auto" w:sz="4" w:space="0"/>
              <w:right w:val="single" w:color="auto" w:sz="4" w:space="0"/>
            </w:tcBorders>
            <w:vAlign w:val="center"/>
          </w:tcPr>
          <w:p>
            <w:pPr>
              <w:pStyle w:val="290"/>
            </w:pPr>
            <w:r>
              <w:object>
                <v:shape id="_x0000_i1049" o:spt="75" type="#_x0000_t75" style="height:10.5pt;width:10.5pt;" o:ole="t" filled="f" o:preferrelative="t" stroked="f" coordsize="21600,21600">
                  <v:path/>
                  <v:fill on="f" focussize="0,0"/>
                  <v:stroke on="f" joinstyle="miter"/>
                  <v:imagedata r:id="rId76" o:title=""/>
                  <o:lock v:ext="edit" aspectratio="t"/>
                  <w10:wrap type="none"/>
                  <w10:anchorlock/>
                </v:shape>
                <o:OLEObject Type="Embed" ProgID="Equation.DSMT4" ShapeID="_x0000_i1049" DrawAspect="Content" ObjectID="_1468075749" r:id="rId75">
                  <o:LockedField>false</o:LockedField>
                </o:OLEObject>
              </w:object>
            </w:r>
            <w:r>
              <w:t>T</w:t>
            </w:r>
          </w:p>
        </w:tc>
        <w:tc>
          <w:tcPr>
            <w:tcW w:w="1701" w:type="dxa"/>
            <w:tcBorders>
              <w:top w:val="nil"/>
              <w:left w:val="nil"/>
              <w:bottom w:val="single" w:color="auto" w:sz="4" w:space="0"/>
              <w:right w:val="single" w:color="auto" w:sz="4" w:space="0"/>
            </w:tcBorders>
            <w:vAlign w:val="center"/>
          </w:tcPr>
          <w:p>
            <w:pPr>
              <w:pStyle w:val="290"/>
            </w:pPr>
            <w:r>
              <w:t>0.00074</w:t>
            </w:r>
            <w:r>
              <w:object>
                <v:shape id="_x0000_i1050" o:spt="75" type="#_x0000_t75" style="height:25.5pt;width:25.5pt;" o:ole="t" filled="f" o:preferrelative="t" stroked="f" coordsize="21600,21600">
                  <v:path/>
                  <v:fill on="f" focussize="0,0"/>
                  <v:stroke on="f" joinstyle="miter"/>
                  <v:imagedata r:id="rId74" o:title=""/>
                  <o:lock v:ext="edit" aspectratio="t"/>
                  <w10:wrap type="none"/>
                  <w10:anchorlock/>
                </v:shape>
                <o:OLEObject Type="Embed" ProgID="Equation.3" ShapeID="_x0000_i1050" DrawAspect="Content" ObjectID="_1468075750" r:id="rId77">
                  <o:LockedField>false</o:LockedField>
                </o:OLEObject>
              </w:object>
            </w:r>
          </w:p>
        </w:tc>
      </w:tr>
      <w:tr>
        <w:tblPrEx>
          <w:tblCellMar>
            <w:top w:w="0" w:type="dxa"/>
            <w:left w:w="108" w:type="dxa"/>
            <w:bottom w:w="0" w:type="dxa"/>
            <w:right w:w="108" w:type="dxa"/>
          </w:tblCellMar>
        </w:tblPrEx>
        <w:trPr>
          <w:trHeight w:val="270" w:hRule="atLeast"/>
          <w:jc w:val="center"/>
        </w:trPr>
        <w:tc>
          <w:tcPr>
            <w:tcW w:w="3661" w:type="dxa"/>
            <w:tcBorders>
              <w:top w:val="nil"/>
              <w:left w:val="single" w:color="auto" w:sz="4" w:space="0"/>
              <w:bottom w:val="single" w:color="auto" w:sz="4" w:space="0"/>
              <w:right w:val="single" w:color="auto" w:sz="4" w:space="0"/>
            </w:tcBorders>
            <w:vAlign w:val="center"/>
          </w:tcPr>
          <w:p>
            <w:pPr>
              <w:pStyle w:val="290"/>
            </w:pPr>
            <w:r>
              <w:t>等效平面波功率密度</w:t>
            </w:r>
          </w:p>
        </w:tc>
        <w:tc>
          <w:tcPr>
            <w:tcW w:w="2009" w:type="dxa"/>
            <w:tcBorders>
              <w:top w:val="nil"/>
              <w:left w:val="nil"/>
              <w:bottom w:val="single" w:color="auto" w:sz="4" w:space="0"/>
              <w:right w:val="single" w:color="auto" w:sz="4" w:space="0"/>
            </w:tcBorders>
            <w:vAlign w:val="center"/>
          </w:tcPr>
          <w:p>
            <w:pPr>
              <w:pStyle w:val="290"/>
            </w:pPr>
            <w:r>
              <w:t>W/m</w:t>
            </w:r>
            <w:r>
              <w:rPr>
                <w:vertAlign w:val="superscript"/>
              </w:rPr>
              <w:t>2</w:t>
            </w:r>
          </w:p>
        </w:tc>
        <w:tc>
          <w:tcPr>
            <w:tcW w:w="1701" w:type="dxa"/>
            <w:tcBorders>
              <w:top w:val="nil"/>
              <w:left w:val="nil"/>
              <w:bottom w:val="single" w:color="auto" w:sz="4" w:space="0"/>
              <w:right w:val="single" w:color="auto" w:sz="4" w:space="0"/>
            </w:tcBorders>
            <w:vAlign w:val="center"/>
          </w:tcPr>
          <w:p>
            <w:pPr>
              <w:pStyle w:val="290"/>
            </w:pPr>
            <w:r>
              <w:object>
                <v:shape id="_x0000_i1051" o:spt="75" type="#_x0000_t75" style="height:30.75pt;width:30.75pt;" o:ole="t" filled="f" o:preferrelative="t" stroked="f" coordsize="21600,21600">
                  <v:path/>
                  <v:fill on="f" focussize="0,0"/>
                  <v:stroke on="f" joinstyle="miter"/>
                  <v:imagedata r:id="rId79" o:title=""/>
                  <o:lock v:ext="edit" aspectratio="t"/>
                  <w10:wrap type="none"/>
                  <w10:anchorlock/>
                </v:shape>
                <o:OLEObject Type="Embed" ProgID="Equation.3" ShapeID="_x0000_i1051" DrawAspect="Content" ObjectID="_1468075751" r:id="rId78">
                  <o:LockedField>false</o:LockedField>
                </o:OLEObject>
              </w:object>
            </w:r>
          </w:p>
        </w:tc>
      </w:tr>
    </w:tbl>
    <w:p>
      <w:pPr>
        <w:ind w:firstLine="480"/>
        <w:rPr>
          <w:rFonts w:cs="Times New Roman"/>
        </w:rPr>
      </w:pPr>
      <w:r>
        <w:rPr>
          <w:rFonts w:cs="Times New Roman"/>
        </w:rPr>
        <w:t>当公众暴露在多个频率的电场、磁场、电磁场中时，应综合考虑多个频率的电场、磁场、电磁场所导致的暴露，以满足以下要求：</w:t>
      </w:r>
    </w:p>
    <w:p>
      <w:pPr>
        <w:ind w:firstLine="480"/>
        <w:rPr>
          <w:rFonts w:cs="Times New Roman"/>
        </w:rPr>
      </w:pPr>
      <w:r>
        <w:rPr>
          <w:rFonts w:cs="Times New Roman"/>
          <w:position w:val="-32"/>
        </w:rPr>
        <w:object>
          <v:shape id="_x0000_i1052" o:spt="75" type="#_x0000_t75" style="height:36pt;width:72pt;" o:ole="t" filled="f" o:preferrelative="t" stroked="f" coordsize="21600,21600">
            <v:path/>
            <v:fill on="f" focussize="0,0"/>
            <v:stroke on="f" joinstyle="miter"/>
            <v:imagedata r:id="rId81" o:title=""/>
            <o:lock v:ext="edit" aspectratio="t"/>
            <w10:wrap type="none"/>
            <w10:anchorlock/>
          </v:shape>
          <o:OLEObject Type="Embed" ProgID="Equation.DSMT4" ShapeID="_x0000_i1052" DrawAspect="Content" ObjectID="_1468075752" r:id="rId80">
            <o:LockedField>false</o:LockedField>
          </o:OLEObject>
        </w:object>
      </w:r>
      <w:r>
        <w:rPr>
          <w:rFonts w:cs="Times New Roman"/>
        </w:rPr>
        <w:t>和</w:t>
      </w:r>
      <w:r>
        <w:rPr>
          <w:rFonts w:cs="Times New Roman"/>
          <w:position w:val="-32"/>
        </w:rPr>
        <w:object>
          <v:shape id="_x0000_i1053" o:spt="75" type="#_x0000_t75" style="height:36pt;width:72pt;" o:ole="t" filled="f" o:preferrelative="t" stroked="f" coordsize="21600,21600">
            <v:path/>
            <v:fill on="f" focussize="0,0"/>
            <v:stroke on="f" joinstyle="miter"/>
            <v:imagedata r:id="rId83" o:title=""/>
            <o:lock v:ext="edit" aspectratio="t"/>
            <w10:wrap type="none"/>
            <w10:anchorlock/>
          </v:shape>
          <o:OLEObject Type="Embed" ProgID="Equation.DSMT4" ShapeID="_x0000_i1053" DrawAspect="Content" ObjectID="_1468075753" r:id="rId82">
            <o:LockedField>false</o:LockedField>
          </o:OLEObject>
        </w:object>
      </w:r>
    </w:p>
    <w:p>
      <w:pPr>
        <w:ind w:firstLine="480"/>
        <w:rPr>
          <w:rFonts w:cs="Times New Roman"/>
        </w:rPr>
      </w:pPr>
      <w:r>
        <w:rPr>
          <w:rFonts w:cs="Times New Roman"/>
        </w:rPr>
        <w:t>式中，</w:t>
      </w:r>
      <w:r>
        <w:rPr>
          <w:rFonts w:cs="Times New Roman"/>
        </w:rPr>
        <w:fldChar w:fldCharType="begin"/>
      </w:r>
      <w:r>
        <w:rPr>
          <w:rFonts w:cs="Times New Roman"/>
        </w:rPr>
        <w:instrText xml:space="preserve"> QUOTE </w:instrText>
      </w:r>
      <w:r>
        <w:rPr>
          <w:rFonts w:cs="Times New Roman"/>
        </w:rPr>
        <w:drawing>
          <wp:inline distT="0" distB="0" distL="0" distR="0">
            <wp:extent cx="163830" cy="396875"/>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8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3830" cy="396875"/>
                    </a:xfrm>
                    <a:prstGeom prst="rect">
                      <a:avLst/>
                    </a:prstGeom>
                    <a:noFill/>
                    <a:ln>
                      <a:noFill/>
                    </a:ln>
                  </pic:spPr>
                </pic:pic>
              </a:graphicData>
            </a:graphic>
          </wp:inline>
        </w:drawing>
      </w:r>
      <w:r>
        <w:rPr>
          <w:rFonts w:cs="Times New Roman"/>
        </w:rPr>
        <w:fldChar w:fldCharType="separate"/>
      </w:r>
      <w:r>
        <w:rPr>
          <w:rFonts w:cs="Times New Roman"/>
        </w:rPr>
        <w:drawing>
          <wp:inline distT="0" distB="0" distL="0" distR="0">
            <wp:extent cx="163830" cy="396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3830" cy="396875"/>
                    </a:xfrm>
                    <a:prstGeom prst="rect">
                      <a:avLst/>
                    </a:prstGeom>
                    <a:noFill/>
                    <a:ln>
                      <a:noFill/>
                    </a:ln>
                  </pic:spPr>
                </pic:pic>
              </a:graphicData>
            </a:graphic>
          </wp:inline>
        </w:drawing>
      </w:r>
      <w:r>
        <w:rPr>
          <w:rFonts w:cs="Times New Roman"/>
        </w:rPr>
        <w:fldChar w:fldCharType="end"/>
      </w:r>
      <w:r>
        <w:rPr>
          <w:rFonts w:cs="Times New Roman"/>
          <w:position w:val="-14"/>
        </w:rPr>
        <w:object>
          <v:shape id="_x0000_i1054" o:spt="75" type="#_x0000_t75" style="height:25.5pt;width:20.25pt;" o:ole="t" filled="f" o:preferrelative="t" stroked="f" coordsize="21600,21600">
            <v:path/>
            <v:fill on="f" focussize="0,0"/>
            <v:stroke on="f" joinstyle="miter"/>
            <v:imagedata r:id="rId86" o:title=""/>
            <o:lock v:ext="edit" aspectratio="t"/>
            <w10:wrap type="none"/>
            <w10:anchorlock/>
          </v:shape>
          <o:OLEObject Type="Embed" ProgID="Equation.DSMT4" ShapeID="_x0000_i1054" DrawAspect="Content" ObjectID="_1468075754" r:id="rId85">
            <o:LockedField>false</o:LockedField>
          </o:OLEObject>
        </w:object>
      </w:r>
      <w:r>
        <w:rPr>
          <w:rFonts w:cs="Times New Roman"/>
        </w:rPr>
        <w:t>表示频率</w:t>
      </w:r>
      <w:r>
        <w:rPr>
          <w:rFonts w:cs="Times New Roman"/>
          <w:position w:val="-10"/>
        </w:rPr>
        <w:object>
          <v:shape id="_x0000_i1055" o:spt="75" type="#_x0000_t75" style="height:20.25pt;width:10.5pt;" o:ole="t" filled="f" o:preferrelative="t" stroked="f" coordsize="21600,21600">
            <v:path/>
            <v:fill on="f" focussize="0,0"/>
            <v:stroke on="f" joinstyle="miter"/>
            <v:imagedata r:id="rId88" o:title=""/>
            <o:lock v:ext="edit" aspectratio="t"/>
            <w10:wrap type="none"/>
            <w10:anchorlock/>
          </v:shape>
          <o:OLEObject Type="Embed" ProgID="Equation.DSMT4" ShapeID="_x0000_i1055" DrawAspect="Content" ObjectID="_1468075755" r:id="rId87">
            <o:LockedField>false</o:LockedField>
          </o:OLEObject>
        </w:object>
      </w:r>
      <w:r>
        <w:rPr>
          <w:rFonts w:cs="Times New Roman"/>
        </w:rPr>
        <w:t>的电场强度；</w:t>
      </w:r>
      <w:r>
        <w:rPr>
          <w:rFonts w:cs="Times New Roman"/>
          <w:position w:val="-14"/>
        </w:rPr>
        <w:object>
          <v:shape id="_x0000_i1056" o:spt="75" type="#_x0000_t75" style="height:25.5pt;width:25.5pt;" o:ole="t" filled="f" o:preferrelative="t" stroked="f" coordsize="21600,21600">
            <v:path/>
            <v:fill on="f" focussize="0,0"/>
            <v:stroke on="f" joinstyle="miter"/>
            <v:imagedata r:id="rId90" o:title=""/>
            <o:lock v:ext="edit" aspectratio="t"/>
            <w10:wrap type="none"/>
            <w10:anchorlock/>
          </v:shape>
          <o:OLEObject Type="Embed" ProgID="Equation.DSMT4" ShapeID="_x0000_i1056" DrawAspect="Content" ObjectID="_1468075756" r:id="rId89">
            <o:LockedField>false</o:LockedField>
          </o:OLEObject>
        </w:object>
      </w:r>
      <w:r>
        <w:rPr>
          <w:rFonts w:cs="Times New Roman"/>
        </w:rPr>
        <w:t>表示频率</w:t>
      </w:r>
      <w:r>
        <w:rPr>
          <w:rFonts w:cs="Times New Roman"/>
          <w:position w:val="-10"/>
        </w:rPr>
        <w:object>
          <v:shape id="_x0000_i1057" o:spt="75" type="#_x0000_t75" style="height:20.25pt;width:10.5pt;" o:ole="t" filled="f" o:preferrelative="t" stroked="f" coordsize="21600,21600">
            <v:path/>
            <v:fill on="f" focussize="0,0"/>
            <v:stroke on="f" joinstyle="miter"/>
            <v:imagedata r:id="rId88" o:title=""/>
            <o:lock v:ext="edit" aspectratio="t"/>
            <w10:wrap type="none"/>
            <w10:anchorlock/>
          </v:shape>
          <o:OLEObject Type="Embed" ProgID="Equation.DSMT4" ShapeID="_x0000_i1057" DrawAspect="Content" ObjectID="_1468075757" r:id="rId91">
            <o:LockedField>false</o:LockedField>
          </o:OLEObject>
        </w:object>
      </w:r>
      <w:r>
        <w:rPr>
          <w:rFonts w:cs="Times New Roman"/>
        </w:rPr>
        <w:t>的电场强度限值；</w:t>
      </w:r>
      <w:r>
        <w:rPr>
          <w:rFonts w:cs="Times New Roman"/>
          <w:position w:val="-14"/>
        </w:rPr>
        <w:object>
          <v:shape id="_x0000_i1058" o:spt="75" type="#_x0000_t75" style="height:25.5pt;width:20.25pt;" o:ole="t" filled="f" o:preferrelative="t" stroked="f" coordsize="21600,21600">
            <v:path/>
            <v:fill on="f" focussize="0,0"/>
            <v:stroke on="f" joinstyle="miter"/>
            <v:imagedata r:id="rId93" o:title=""/>
            <o:lock v:ext="edit" aspectratio="t"/>
            <w10:wrap type="none"/>
            <w10:anchorlock/>
          </v:shape>
          <o:OLEObject Type="Embed" ProgID="Equation.DSMT4" ShapeID="_x0000_i1058" DrawAspect="Content" ObjectID="_1468075758" r:id="rId92">
            <o:LockedField>false</o:LockedField>
          </o:OLEObject>
        </w:object>
      </w:r>
      <w:r>
        <w:rPr>
          <w:rFonts w:cs="Times New Roman"/>
        </w:rPr>
        <w:t>频率</w:t>
      </w:r>
      <w:r>
        <w:rPr>
          <w:rFonts w:cs="Times New Roman"/>
          <w:position w:val="-10"/>
        </w:rPr>
        <w:object>
          <v:shape id="_x0000_i1059" o:spt="75" type="#_x0000_t75" style="height:20.25pt;width:10.5pt;" o:ole="t" filled="f" o:preferrelative="t" stroked="f" coordsize="21600,21600">
            <v:path/>
            <v:fill on="f" focussize="0,0"/>
            <v:stroke on="f" joinstyle="miter"/>
            <v:imagedata r:id="rId88" o:title=""/>
            <o:lock v:ext="edit" aspectratio="t"/>
            <w10:wrap type="none"/>
            <w10:anchorlock/>
          </v:shape>
          <o:OLEObject Type="Embed" ProgID="Equation.DSMT4" ShapeID="_x0000_i1059" DrawAspect="Content" ObjectID="_1468075759" r:id="rId94">
            <o:LockedField>false</o:LockedField>
          </o:OLEObject>
        </w:object>
      </w:r>
      <w:r>
        <w:rPr>
          <w:rFonts w:cs="Times New Roman"/>
        </w:rPr>
        <w:t>的磁场强度；</w:t>
      </w:r>
      <w:r>
        <w:rPr>
          <w:rFonts w:cs="Times New Roman"/>
          <w:position w:val="-14"/>
        </w:rPr>
        <w:object>
          <v:shape id="_x0000_i1060" o:spt="75" type="#_x0000_t75" style="height:25.5pt;width:15.75pt;" o:ole="t" filled="f" o:preferrelative="t" stroked="f" coordsize="21600,21600">
            <v:path/>
            <v:fill on="f" focussize="0,0"/>
            <v:stroke on="f" joinstyle="miter"/>
            <v:imagedata r:id="rId96" o:title=""/>
            <o:lock v:ext="edit" aspectratio="t"/>
            <w10:wrap type="none"/>
            <w10:anchorlock/>
          </v:shape>
          <o:OLEObject Type="Embed" ProgID="Equation.DSMT4" ShapeID="_x0000_i1060" DrawAspect="Content" ObjectID="_1468075760" r:id="rId95">
            <o:LockedField>false</o:LockedField>
          </o:OLEObject>
        </w:object>
      </w:r>
      <w:r>
        <w:rPr>
          <w:rFonts w:cs="Times New Roman"/>
        </w:rPr>
        <w:t>频率</w:t>
      </w:r>
      <w:r>
        <w:rPr>
          <w:rFonts w:cs="Times New Roman"/>
          <w:position w:val="-10"/>
        </w:rPr>
        <w:object>
          <v:shape id="_x0000_i1061" o:spt="75" type="#_x0000_t75" style="height:20.25pt;width:10.5pt;" o:ole="t" filled="f" o:preferrelative="t" stroked="f" coordsize="21600,21600">
            <v:path/>
            <v:fill on="f" focussize="0,0"/>
            <v:stroke on="f" joinstyle="miter"/>
            <v:imagedata r:id="rId88" o:title=""/>
            <o:lock v:ext="edit" aspectratio="t"/>
            <w10:wrap type="none"/>
            <w10:anchorlock/>
          </v:shape>
          <o:OLEObject Type="Embed" ProgID="Equation.DSMT4" ShapeID="_x0000_i1061" DrawAspect="Content" ObjectID="_1468075761" r:id="rId97">
            <o:LockedField>false</o:LockedField>
          </o:OLEObject>
        </w:object>
      </w:r>
      <w:r>
        <w:rPr>
          <w:rFonts w:cs="Times New Roman"/>
        </w:rPr>
        <w:t>的磁场强度限值。</w:t>
      </w:r>
    </w:p>
    <w:p>
      <w:pPr>
        <w:ind w:firstLine="480"/>
        <w:rPr>
          <w:rFonts w:cs="Times New Roman"/>
        </w:rPr>
      </w:pPr>
      <w:r>
        <w:rPr>
          <w:rFonts w:cs="Times New Roman"/>
        </w:rPr>
        <w:t>为使公众受到总照射剂量小于规定的限值，环保部HJ/T10.3-1996 《电磁辐射环境影响评价方法与标准》和工业和信息化部YD 5039-2009《通信工程建设环境保护技术暂行规定》对单个项目（单项无线通信系统）通过天线发射电磁波的电磁辐射评估限值作了规定：</w:t>
      </w:r>
    </w:p>
    <w:p>
      <w:pPr>
        <w:ind w:firstLine="480"/>
        <w:rPr>
          <w:rFonts w:cs="Times New Roman"/>
        </w:rPr>
      </w:pPr>
      <w:r>
        <w:rPr>
          <w:rFonts w:hint="eastAsia" w:ascii="宋体" w:hAnsi="宋体" w:cs="宋体"/>
        </w:rPr>
        <w:t>①</w:t>
      </w:r>
      <w:r>
        <w:rPr>
          <w:rFonts w:cs="Times New Roman"/>
        </w:rPr>
        <w:t>对于国家环境保护局负责审批的大型项目，可取场强防护限值的</w:t>
      </w:r>
      <w:r>
        <w:rPr>
          <w:rFonts w:cs="Times New Roman"/>
        </w:rPr>
        <w:object>
          <v:shape id="_x0000_i1062" o:spt="75" type="#_x0000_t75" style="height:15.75pt;width:30.75pt;" o:ole="t" filled="f" o:preferrelative="t" stroked="f" coordsize="21600,21600">
            <v:path/>
            <v:fill on="f" focussize="0,0"/>
            <v:stroke on="f" joinstyle="miter"/>
            <v:imagedata r:id="rId99" o:title=""/>
            <o:lock v:ext="edit" aspectratio="t"/>
            <w10:wrap type="none"/>
            <w10:anchorlock/>
          </v:shape>
          <o:OLEObject Type="Embed" ProgID="Equation.DSMT4" ShapeID="_x0000_i1062" DrawAspect="Content" ObjectID="_1468075762" r:id="rId98">
            <o:LockedField>false</o:LockedField>
          </o:OLEObject>
        </w:object>
      </w:r>
      <w:r>
        <w:rPr>
          <w:rFonts w:cs="Times New Roman"/>
        </w:rPr>
        <w:t>或功率密度防护限值的1/2。</w:t>
      </w:r>
    </w:p>
    <w:p>
      <w:pPr>
        <w:ind w:firstLine="480"/>
        <w:rPr>
          <w:rFonts w:cs="Times New Roman"/>
        </w:rPr>
      </w:pPr>
      <w:r>
        <w:rPr>
          <w:rFonts w:hint="eastAsia" w:ascii="宋体" w:hAnsi="宋体" w:cs="宋体"/>
        </w:rPr>
        <w:t>②</w:t>
      </w:r>
      <w:r>
        <w:rPr>
          <w:rFonts w:cs="Times New Roman"/>
        </w:rPr>
        <w:t>对于其他项目，可取场强防护限值的</w:t>
      </w:r>
      <w:r>
        <w:rPr>
          <w:rFonts w:cs="Times New Roman"/>
          <w:position w:val="-10"/>
        </w:rPr>
        <w:object>
          <v:shape id="_x0000_i1063" o:spt="75" type="#_x0000_t75" style="height:15.75pt;width:30.75pt;" o:ole="t" filled="f" o:preferrelative="t" stroked="f" coordsize="21600,21600">
            <v:path/>
            <v:fill on="f" focussize="0,0"/>
            <v:stroke on="f" joinstyle="miter"/>
            <v:imagedata r:id="rId101" o:title=""/>
            <o:lock v:ext="edit" aspectratio="t"/>
            <w10:wrap type="none"/>
            <w10:anchorlock/>
          </v:shape>
          <o:OLEObject Type="Embed" ProgID="Equation.DSMT4" ShapeID="_x0000_i1063" DrawAspect="Content" ObjectID="_1468075763" r:id="rId100">
            <o:LockedField>false</o:LockedField>
          </o:OLEObject>
        </w:object>
      </w:r>
      <w:r>
        <w:rPr>
          <w:rFonts w:cs="Times New Roman"/>
        </w:rPr>
        <w:t>或功率密度防护限值的1/5。</w:t>
      </w:r>
    </w:p>
    <w:p>
      <w:pPr>
        <w:ind w:firstLine="480"/>
        <w:rPr>
          <w:rFonts w:cs="Times New Roman"/>
        </w:rPr>
      </w:pPr>
      <w:r>
        <w:rPr>
          <w:rFonts w:cs="Times New Roman"/>
        </w:rPr>
        <w:t>根据上述标准，本项目对于单个2.6GHz基站电磁辐射等效平面波功率密度应小于0.08W/m</w:t>
      </w:r>
      <w:r>
        <w:rPr>
          <w:rFonts w:cs="Times New Roman"/>
          <w:vertAlign w:val="superscript"/>
        </w:rPr>
        <w:t>2</w:t>
      </w:r>
      <w:r>
        <w:rPr>
          <w:rFonts w:cs="Times New Roman"/>
        </w:rPr>
        <w:t>，对于单个4.9GHz基站电磁辐射等效平面波功率密度应小于0.13W/m</w:t>
      </w:r>
      <w:r>
        <w:rPr>
          <w:rFonts w:cs="Times New Roman"/>
          <w:vertAlign w:val="superscript"/>
        </w:rPr>
        <w:t>2</w:t>
      </w:r>
      <w:r>
        <w:rPr>
          <w:rFonts w:cs="Times New Roman"/>
        </w:rPr>
        <w:t>，对于共站址的情况应满足上述多辐射体限制规定。</w:t>
      </w:r>
    </w:p>
    <w:p>
      <w:pPr>
        <w:ind w:firstLine="480"/>
        <w:rPr>
          <w:rFonts w:cs="Times New Roman"/>
        </w:rPr>
      </w:pPr>
      <w:r>
        <w:rPr>
          <w:rFonts w:cs="Times New Roman"/>
        </w:rPr>
        <w:t>设定：</w:t>
      </w:r>
    </w:p>
    <w:p>
      <w:pPr>
        <w:pStyle w:val="26"/>
        <w:numPr>
          <w:ilvl w:val="0"/>
          <w:numId w:val="60"/>
        </w:numPr>
        <w:ind w:firstLineChars="0"/>
        <w:jc w:val="left"/>
        <w:rPr>
          <w:rFonts w:cs="Times New Roman"/>
        </w:rPr>
      </w:pPr>
      <w:r>
        <w:rPr>
          <w:rFonts w:cs="Times New Roman"/>
        </w:rPr>
        <w:t>基站平均发射功率为200W；</w:t>
      </w:r>
    </w:p>
    <w:p>
      <w:pPr>
        <w:pStyle w:val="26"/>
        <w:numPr>
          <w:ilvl w:val="0"/>
          <w:numId w:val="60"/>
        </w:numPr>
        <w:ind w:firstLineChars="0"/>
        <w:jc w:val="left"/>
        <w:rPr>
          <w:rFonts w:cs="Times New Roman"/>
        </w:rPr>
      </w:pPr>
      <w:r>
        <w:rPr>
          <w:rFonts w:cs="Times New Roman"/>
        </w:rPr>
        <w:t>5G  Massive  MIMO天线增益为10dBi，赋形增益为12.5dB，馈线接头损耗1dB；</w:t>
      </w:r>
    </w:p>
    <w:p>
      <w:pPr>
        <w:pStyle w:val="26"/>
        <w:numPr>
          <w:ilvl w:val="0"/>
          <w:numId w:val="60"/>
        </w:numPr>
        <w:ind w:firstLineChars="0"/>
        <w:jc w:val="left"/>
        <w:rPr>
          <w:rFonts w:cs="Times New Roman"/>
        </w:rPr>
      </w:pPr>
      <w:r>
        <w:rPr>
          <w:rFonts w:cs="Times New Roman"/>
        </w:rPr>
        <w:t>空分复用流数为16；</w:t>
      </w:r>
    </w:p>
    <w:p>
      <w:pPr>
        <w:pStyle w:val="26"/>
        <w:numPr>
          <w:ilvl w:val="0"/>
          <w:numId w:val="60"/>
        </w:numPr>
        <w:ind w:firstLineChars="0"/>
        <w:jc w:val="left"/>
        <w:rPr>
          <w:rFonts w:cs="Times New Roman"/>
        </w:rPr>
      </w:pPr>
      <w:r>
        <w:rPr>
          <w:rFonts w:cs="Times New Roman"/>
        </w:rPr>
        <w:t>上下行时隙配比：2.6GHz时为2:7，4.9GHz时为3:5。</w:t>
      </w:r>
    </w:p>
    <w:p>
      <w:pPr>
        <w:ind w:firstLine="480"/>
        <w:rPr>
          <w:rFonts w:cs="Times New Roman"/>
        </w:rPr>
      </w:pPr>
      <w:r>
        <w:rPr>
          <w:rFonts w:cs="Times New Roman"/>
        </w:rPr>
        <w:t>可以计算5G电磁辐射保护距离为：</w:t>
      </w:r>
    </w:p>
    <w:p>
      <w:pPr>
        <w:ind w:firstLine="480"/>
        <w:rPr>
          <w:rFonts w:cs="Times New Roman"/>
        </w:rPr>
      </w:pPr>
      <w:r>
        <w:rPr>
          <w:rFonts w:cs="Times New Roman"/>
        </w:rPr>
        <w:t>2.6GHz：天线轴向53米；4.9GHz：天线轴向40米。</w:t>
      </w:r>
    </w:p>
    <w:p>
      <w:pPr>
        <w:ind w:firstLine="480"/>
        <w:rPr>
          <w:rFonts w:cs="Times New Roman"/>
        </w:rPr>
      </w:pPr>
      <w:r>
        <w:rPr>
          <w:rFonts w:cs="Times New Roman"/>
        </w:rPr>
        <w:t>根据上述计算结果设定电磁辐射安全防护区， 5G NR基站电磁辐射值满足GB 8702-2014《电磁环境控制限值》标准的要求，基站信号对人体的辐射低于国家环境电磁波卫生标准。</w:t>
      </w:r>
    </w:p>
    <w:p>
      <w:pPr>
        <w:ind w:firstLine="480"/>
        <w:rPr>
          <w:rFonts w:cs="Times New Roman"/>
        </w:rPr>
      </w:pPr>
      <w:r>
        <w:rPr>
          <w:rFonts w:cs="Times New Roman"/>
        </w:rPr>
        <w:t>对于医院、学校等电磁辐射环境敏感区域，可以采用下述防护措施：</w:t>
      </w:r>
    </w:p>
    <w:p>
      <w:pPr>
        <w:pStyle w:val="26"/>
        <w:numPr>
          <w:ilvl w:val="6"/>
          <w:numId w:val="61"/>
        </w:numPr>
        <w:ind w:left="851" w:hanging="425" w:firstLineChars="0"/>
        <w:jc w:val="left"/>
        <w:rPr>
          <w:rFonts w:cs="Times New Roman"/>
        </w:rPr>
      </w:pPr>
      <w:r>
        <w:rPr>
          <w:rFonts w:cs="Times New Roman"/>
        </w:rPr>
        <w:t>工程手段</w:t>
      </w:r>
    </w:p>
    <w:p>
      <w:pPr>
        <w:pStyle w:val="26"/>
        <w:numPr>
          <w:ilvl w:val="0"/>
          <w:numId w:val="62"/>
        </w:numPr>
        <w:ind w:firstLineChars="0"/>
        <w:jc w:val="left"/>
        <w:rPr>
          <w:rFonts w:cs="Times New Roman"/>
        </w:rPr>
      </w:pPr>
      <w:r>
        <w:rPr>
          <w:rFonts w:cs="Times New Roman"/>
        </w:rPr>
        <w:t>在不影响目标覆盖效果的前提下，尽量降低发射功率或减小天线增益；</w:t>
      </w:r>
    </w:p>
    <w:p>
      <w:pPr>
        <w:pStyle w:val="26"/>
        <w:numPr>
          <w:ilvl w:val="0"/>
          <w:numId w:val="62"/>
        </w:numPr>
        <w:ind w:firstLineChars="0"/>
        <w:jc w:val="left"/>
        <w:rPr>
          <w:rFonts w:cs="Times New Roman"/>
        </w:rPr>
      </w:pPr>
      <w:r>
        <w:rPr>
          <w:rFonts w:cs="Times New Roman"/>
        </w:rPr>
        <w:t>调整天线架设高度，使天线高于周围建筑物；</w:t>
      </w:r>
    </w:p>
    <w:p>
      <w:pPr>
        <w:pStyle w:val="26"/>
        <w:numPr>
          <w:ilvl w:val="0"/>
          <w:numId w:val="62"/>
        </w:numPr>
        <w:ind w:firstLineChars="0"/>
        <w:jc w:val="left"/>
        <w:rPr>
          <w:rFonts w:cs="Times New Roman"/>
        </w:rPr>
      </w:pPr>
      <w:r>
        <w:rPr>
          <w:rFonts w:cs="Times New Roman"/>
        </w:rPr>
        <w:t>调整天线水平方向，使其敏感点避开天线主瓣方向；</w:t>
      </w:r>
    </w:p>
    <w:p>
      <w:pPr>
        <w:pStyle w:val="26"/>
        <w:numPr>
          <w:ilvl w:val="0"/>
          <w:numId w:val="62"/>
        </w:numPr>
        <w:ind w:firstLineChars="0"/>
        <w:jc w:val="left"/>
        <w:rPr>
          <w:rFonts w:cs="Times New Roman"/>
        </w:rPr>
      </w:pPr>
      <w:r>
        <w:rPr>
          <w:rFonts w:cs="Times New Roman"/>
        </w:rPr>
        <w:t>天线下倾角不宜过大，以免电磁波通过直射、反射或折射等方式影响电磁辐射水平。</w:t>
      </w:r>
    </w:p>
    <w:p>
      <w:pPr>
        <w:pStyle w:val="26"/>
        <w:numPr>
          <w:ilvl w:val="6"/>
          <w:numId w:val="61"/>
        </w:numPr>
        <w:ind w:left="851" w:hanging="425" w:firstLineChars="0"/>
        <w:jc w:val="left"/>
        <w:rPr>
          <w:rFonts w:cs="Times New Roman"/>
        </w:rPr>
      </w:pPr>
      <w:r>
        <w:rPr>
          <w:rFonts w:cs="Times New Roman"/>
        </w:rPr>
        <w:t>防护手段</w:t>
      </w:r>
    </w:p>
    <w:p>
      <w:pPr>
        <w:pStyle w:val="26"/>
        <w:numPr>
          <w:ilvl w:val="0"/>
          <w:numId w:val="63"/>
        </w:numPr>
        <w:ind w:firstLineChars="0"/>
        <w:jc w:val="left"/>
        <w:rPr>
          <w:rFonts w:cs="Times New Roman"/>
        </w:rPr>
      </w:pPr>
      <w:r>
        <w:rPr>
          <w:rFonts w:cs="Times New Roman"/>
        </w:rPr>
        <w:t>在不影响消防措施实施的前提下，有条件上锁的地方，将天面上锁，控制公众接近天线；</w:t>
      </w:r>
    </w:p>
    <w:p>
      <w:pPr>
        <w:pStyle w:val="26"/>
        <w:numPr>
          <w:ilvl w:val="0"/>
          <w:numId w:val="63"/>
        </w:numPr>
        <w:ind w:firstLineChars="0"/>
        <w:jc w:val="left"/>
        <w:rPr>
          <w:rFonts w:cs="Times New Roman"/>
        </w:rPr>
      </w:pPr>
      <w:r>
        <w:rPr>
          <w:rFonts w:cs="Times New Roman"/>
        </w:rPr>
        <w:t>将天面上电磁辐射超标的区域划为控制区，采取增设围栏的方法，避免公众接近天线；</w:t>
      </w:r>
    </w:p>
    <w:p>
      <w:pPr>
        <w:pStyle w:val="26"/>
        <w:numPr>
          <w:ilvl w:val="0"/>
          <w:numId w:val="63"/>
        </w:numPr>
        <w:ind w:firstLineChars="0"/>
        <w:jc w:val="left"/>
        <w:rPr>
          <w:rFonts w:cs="Times New Roman"/>
        </w:rPr>
      </w:pPr>
      <w:r>
        <w:rPr>
          <w:rFonts w:cs="Times New Roman"/>
        </w:rPr>
        <w:t>在天面上设置电磁辐射警示牌，提醒公众避免接近天线。</w:t>
      </w:r>
    </w:p>
    <w:p>
      <w:pPr>
        <w:pStyle w:val="26"/>
        <w:numPr>
          <w:ilvl w:val="6"/>
          <w:numId w:val="61"/>
        </w:numPr>
        <w:ind w:left="851" w:hanging="425" w:firstLineChars="0"/>
        <w:jc w:val="left"/>
        <w:rPr>
          <w:rFonts w:cs="Times New Roman"/>
        </w:rPr>
      </w:pPr>
      <w:r>
        <w:rPr>
          <w:rFonts w:cs="Times New Roman"/>
        </w:rPr>
        <w:t>监测手段</w:t>
      </w:r>
    </w:p>
    <w:p>
      <w:pPr>
        <w:pStyle w:val="26"/>
        <w:numPr>
          <w:ilvl w:val="0"/>
          <w:numId w:val="64"/>
        </w:numPr>
        <w:ind w:firstLineChars="0"/>
        <w:jc w:val="left"/>
        <w:rPr>
          <w:rFonts w:cs="Times New Roman"/>
        </w:rPr>
      </w:pPr>
      <w:r>
        <w:rPr>
          <w:rFonts w:cs="Times New Roman"/>
        </w:rPr>
        <w:t>天线两侧增设屏蔽物，屏蔽其旁瓣对周围环境的电磁环境影响；</w:t>
      </w:r>
    </w:p>
    <w:p>
      <w:pPr>
        <w:pStyle w:val="26"/>
        <w:numPr>
          <w:ilvl w:val="0"/>
          <w:numId w:val="64"/>
        </w:numPr>
        <w:ind w:firstLineChars="0"/>
        <w:jc w:val="left"/>
        <w:rPr>
          <w:rFonts w:cs="Times New Roman"/>
        </w:rPr>
      </w:pPr>
      <w:r>
        <w:rPr>
          <w:rFonts w:cs="Times New Roman"/>
        </w:rPr>
        <w:t>定期对各基站的电磁辐射水平进行监测。</w:t>
      </w:r>
    </w:p>
    <w:p>
      <w:pPr>
        <w:ind w:firstLine="199" w:firstLineChars="83"/>
        <w:rPr>
          <w:rFonts w:cs="Times New Roman"/>
        </w:rPr>
      </w:pPr>
      <w:r>
        <w:rPr>
          <w:rFonts w:cs="Times New Roman"/>
        </w:rPr>
        <w:t>（2）室内电磁辐射及防治</w:t>
      </w:r>
    </w:p>
    <w:p>
      <w:pPr>
        <w:ind w:firstLine="480"/>
        <w:rPr>
          <w:rFonts w:cs="Times New Roman"/>
        </w:rPr>
      </w:pPr>
      <w:r>
        <w:rPr>
          <w:rFonts w:cs="Times New Roman"/>
        </w:rPr>
        <w:t>根据GB 8702-2014《电磁环境控制限值》中的标准规定：从电磁环境保护管理角度，下列产生电场、磁场、电磁场的设施(设备)可免予管理。</w:t>
      </w:r>
    </w:p>
    <w:p>
      <w:pPr>
        <w:pStyle w:val="26"/>
        <w:numPr>
          <w:ilvl w:val="0"/>
          <w:numId w:val="65"/>
        </w:numPr>
        <w:ind w:left="851" w:hanging="425" w:firstLineChars="0"/>
        <w:jc w:val="left"/>
        <w:rPr>
          <w:rFonts w:cs="Times New Roman"/>
        </w:rPr>
      </w:pPr>
      <w:r>
        <w:rPr>
          <w:rFonts w:cs="Times New Roman"/>
        </w:rPr>
        <w:t>100kV 以下电压等级的交流输变电设施。</w:t>
      </w:r>
    </w:p>
    <w:p>
      <w:pPr>
        <w:pStyle w:val="26"/>
        <w:numPr>
          <w:ilvl w:val="0"/>
          <w:numId w:val="65"/>
        </w:numPr>
        <w:ind w:left="0" w:firstLine="426" w:firstLineChars="0"/>
        <w:jc w:val="left"/>
        <w:rPr>
          <w:rFonts w:cs="Times New Roman"/>
        </w:rPr>
      </w:pPr>
      <w:r>
        <w:rPr>
          <w:rFonts w:cs="Times New Roman"/>
        </w:rPr>
        <w:t>向没有屏蔽空间发射 0.1 MHz~300 GHz 电磁场的，其等效辐射功率小于下表所列数值的设施(设备)。</w:t>
      </w:r>
    </w:p>
    <w:p>
      <w:pPr>
        <w:pStyle w:val="603"/>
        <w:rPr>
          <w:rFonts w:cs="Times New Roman"/>
        </w:rPr>
      </w:pPr>
      <w:r>
        <w:rPr>
          <w:rFonts w:cs="Times New Roman"/>
        </w:rPr>
        <w:t>表18.2-3  可豁免设施(设备)的等效辐射功率</w:t>
      </w:r>
    </w:p>
    <w:tbl>
      <w:tblPr>
        <w:tblStyle w:val="63"/>
        <w:tblW w:w="5460" w:type="dxa"/>
        <w:jc w:val="center"/>
        <w:tblLayout w:type="fixed"/>
        <w:tblCellMar>
          <w:top w:w="0" w:type="dxa"/>
          <w:left w:w="108" w:type="dxa"/>
          <w:bottom w:w="0" w:type="dxa"/>
          <w:right w:w="108" w:type="dxa"/>
        </w:tblCellMar>
      </w:tblPr>
      <w:tblGrid>
        <w:gridCol w:w="2360"/>
        <w:gridCol w:w="3100"/>
      </w:tblGrid>
      <w:tr>
        <w:tblPrEx>
          <w:tblCellMar>
            <w:top w:w="0" w:type="dxa"/>
            <w:left w:w="108" w:type="dxa"/>
            <w:bottom w:w="0" w:type="dxa"/>
            <w:right w:w="108" w:type="dxa"/>
          </w:tblCellMar>
        </w:tblPrEx>
        <w:trPr>
          <w:trHeight w:val="270" w:hRule="atLeast"/>
          <w:tblHeader/>
          <w:jc w:val="center"/>
        </w:trPr>
        <w:tc>
          <w:tcPr>
            <w:tcW w:w="236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频率范围/MHz</w:t>
            </w:r>
          </w:p>
        </w:tc>
        <w:tc>
          <w:tcPr>
            <w:tcW w:w="3100" w:type="dxa"/>
            <w:tcBorders>
              <w:top w:val="single" w:color="auto" w:sz="4" w:space="0"/>
              <w:left w:val="nil"/>
              <w:bottom w:val="single" w:color="auto" w:sz="4" w:space="0"/>
              <w:right w:val="single" w:color="auto" w:sz="4" w:space="0"/>
            </w:tcBorders>
            <w:shd w:val="clear" w:color="auto" w:fill="auto"/>
            <w:vAlign w:val="center"/>
          </w:tcPr>
          <w:p>
            <w:pPr>
              <w:pStyle w:val="290"/>
            </w:pPr>
            <w:r>
              <w:t>等效辐射功率/W</w:t>
            </w:r>
          </w:p>
        </w:tc>
      </w:tr>
      <w:tr>
        <w:tblPrEx>
          <w:tblCellMar>
            <w:top w:w="0" w:type="dxa"/>
            <w:left w:w="108" w:type="dxa"/>
            <w:bottom w:w="0" w:type="dxa"/>
            <w:right w:w="108" w:type="dxa"/>
          </w:tblCellMar>
        </w:tblPrEx>
        <w:trPr>
          <w:trHeight w:val="270" w:hRule="atLeast"/>
          <w:jc w:val="center"/>
        </w:trPr>
        <w:tc>
          <w:tcPr>
            <w:tcW w:w="2360" w:type="dxa"/>
            <w:tcBorders>
              <w:top w:val="nil"/>
              <w:left w:val="single" w:color="auto" w:sz="4" w:space="0"/>
              <w:bottom w:val="single" w:color="auto" w:sz="4" w:space="0"/>
              <w:right w:val="single" w:color="auto" w:sz="4" w:space="0"/>
            </w:tcBorders>
            <w:shd w:val="clear" w:color="auto" w:fill="auto"/>
            <w:vAlign w:val="center"/>
          </w:tcPr>
          <w:p>
            <w:pPr>
              <w:pStyle w:val="290"/>
            </w:pPr>
            <w:r>
              <w:t>0.1—3</w:t>
            </w:r>
          </w:p>
        </w:tc>
        <w:tc>
          <w:tcPr>
            <w:tcW w:w="3100" w:type="dxa"/>
            <w:tcBorders>
              <w:top w:val="nil"/>
              <w:left w:val="nil"/>
              <w:bottom w:val="single" w:color="auto" w:sz="4" w:space="0"/>
              <w:right w:val="single" w:color="auto" w:sz="4" w:space="0"/>
            </w:tcBorders>
            <w:shd w:val="clear" w:color="auto" w:fill="auto"/>
            <w:vAlign w:val="center"/>
          </w:tcPr>
          <w:p>
            <w:pPr>
              <w:pStyle w:val="290"/>
            </w:pPr>
            <w:r>
              <w:t>300</w:t>
            </w:r>
          </w:p>
        </w:tc>
      </w:tr>
      <w:tr>
        <w:tblPrEx>
          <w:tblCellMar>
            <w:top w:w="0" w:type="dxa"/>
            <w:left w:w="108" w:type="dxa"/>
            <w:bottom w:w="0" w:type="dxa"/>
            <w:right w:w="108" w:type="dxa"/>
          </w:tblCellMar>
        </w:tblPrEx>
        <w:trPr>
          <w:trHeight w:val="270" w:hRule="atLeast"/>
          <w:jc w:val="center"/>
        </w:trPr>
        <w:tc>
          <w:tcPr>
            <w:tcW w:w="2360" w:type="dxa"/>
            <w:tcBorders>
              <w:top w:val="nil"/>
              <w:left w:val="single" w:color="auto" w:sz="4" w:space="0"/>
              <w:bottom w:val="single" w:color="auto" w:sz="4" w:space="0"/>
              <w:right w:val="single" w:color="auto" w:sz="4" w:space="0"/>
            </w:tcBorders>
            <w:shd w:val="clear" w:color="auto" w:fill="auto"/>
            <w:vAlign w:val="center"/>
          </w:tcPr>
          <w:p>
            <w:pPr>
              <w:pStyle w:val="290"/>
            </w:pPr>
            <w:r>
              <w:t>3—300000</w:t>
            </w:r>
          </w:p>
        </w:tc>
        <w:tc>
          <w:tcPr>
            <w:tcW w:w="3100" w:type="dxa"/>
            <w:tcBorders>
              <w:top w:val="nil"/>
              <w:left w:val="nil"/>
              <w:bottom w:val="single" w:color="auto" w:sz="4" w:space="0"/>
              <w:right w:val="single" w:color="auto" w:sz="4" w:space="0"/>
            </w:tcBorders>
            <w:shd w:val="clear" w:color="auto" w:fill="auto"/>
            <w:vAlign w:val="center"/>
          </w:tcPr>
          <w:p>
            <w:pPr>
              <w:pStyle w:val="290"/>
            </w:pPr>
            <w:r>
              <w:t>100</w:t>
            </w:r>
          </w:p>
        </w:tc>
      </w:tr>
    </w:tbl>
    <w:p>
      <w:pPr>
        <w:ind w:firstLine="480"/>
        <w:rPr>
          <w:rFonts w:cs="Times New Roman"/>
        </w:rPr>
      </w:pPr>
      <w:r>
        <w:rPr>
          <w:rFonts w:cs="Times New Roman"/>
        </w:rPr>
        <w:t>5G NR室内建设方式不论是DAS还是分布式小基站，其天线点EIRP都小于100W（50dBm），因此在GB 8702-2014《电磁环境控制限值》规定的豁免范围内，其设备免予管理。</w:t>
      </w:r>
    </w:p>
    <w:p>
      <w:pPr>
        <w:pStyle w:val="6"/>
        <w:rPr>
          <w:rFonts w:cs="Times New Roman"/>
        </w:rPr>
      </w:pPr>
      <w:bookmarkStart w:id="971" w:name="_Toc162879743"/>
      <w:r>
        <w:rPr>
          <w:rFonts w:cs="Times New Roman"/>
        </w:rPr>
        <w:t>环境保护</w:t>
      </w:r>
      <w:bookmarkEnd w:id="971"/>
    </w:p>
    <w:p>
      <w:pPr>
        <w:ind w:firstLine="480"/>
        <w:rPr>
          <w:rFonts w:cs="Times New Roman"/>
        </w:rPr>
      </w:pPr>
      <w:r>
        <w:rPr>
          <w:rFonts w:cs="Times New Roman"/>
        </w:rPr>
        <w:t>为保护环境，本工程将推进设备环保包装。设备物流环节中，积极推进包装材料轻量化，避免过度包装，提倡使用绿色环保包装材料。建立通用、高效、节约的包装运输标准和体系，与供应商联合开发可重复利用的物流装运工具，减少传统设备运输方式对木箱的大量使用。避免不必要的产品外形设计，广泛采用标准化的运输包装工具。通过绿色包装材料的广泛使用，达到节约木材资源、减少废弃物排放的环保目标，实现循环经济效益。</w:t>
      </w:r>
    </w:p>
    <w:p>
      <w:pPr>
        <w:ind w:firstLine="480"/>
        <w:rPr>
          <w:rFonts w:cs="Times New Roman"/>
        </w:rPr>
      </w:pPr>
      <w:r>
        <w:rPr>
          <w:rFonts w:cs="Times New Roman"/>
        </w:rPr>
        <w:t>在工程中应采取措施使工程在投产后具有保护劳动者的安全和卫生条件，采用电磁波辐射计量符合卫生标准的设备。</w:t>
      </w:r>
    </w:p>
    <w:p>
      <w:pPr>
        <w:pStyle w:val="4"/>
        <w:ind w:left="487" w:hanging="487"/>
        <w:rPr>
          <w:rFonts w:cs="Times New Roman"/>
        </w:rPr>
      </w:pPr>
      <w:bookmarkStart w:id="972" w:name="_Toc2868722"/>
      <w:bookmarkStart w:id="973" w:name="_Toc7239"/>
      <w:r>
        <w:rPr>
          <w:rFonts w:cs="Times New Roman"/>
        </w:rPr>
        <w:t>网络安全</w:t>
      </w:r>
      <w:bookmarkEnd w:id="972"/>
      <w:bookmarkEnd w:id="973"/>
    </w:p>
    <w:p>
      <w:pPr>
        <w:pStyle w:val="5"/>
        <w:rPr>
          <w:rFonts w:cs="Times New Roman"/>
        </w:rPr>
      </w:pPr>
      <w:bookmarkStart w:id="974" w:name="_Toc2868723"/>
      <w:bookmarkStart w:id="975" w:name="_Toc536438855"/>
      <w:bookmarkStart w:id="976" w:name="_Toc21509"/>
      <w:r>
        <w:rPr>
          <w:rFonts w:cs="Times New Roman"/>
        </w:rPr>
        <w:t>安全域划分</w:t>
      </w:r>
      <w:bookmarkEnd w:id="974"/>
      <w:bookmarkEnd w:id="975"/>
      <w:bookmarkEnd w:id="976"/>
    </w:p>
    <w:p>
      <w:pPr>
        <w:ind w:firstLine="480"/>
        <w:rPr>
          <w:rFonts w:cs="Times New Roman"/>
        </w:rPr>
      </w:pPr>
      <w:r>
        <w:rPr>
          <w:rFonts w:cs="Times New Roman"/>
        </w:rPr>
        <w:t>本项目是对现有系统的扩容和延伸，与现有安全域划分一致。</w:t>
      </w:r>
    </w:p>
    <w:p>
      <w:pPr>
        <w:pStyle w:val="5"/>
        <w:rPr>
          <w:rFonts w:cs="Times New Roman"/>
        </w:rPr>
      </w:pPr>
      <w:bookmarkStart w:id="977" w:name="_Toc536438856"/>
      <w:bookmarkStart w:id="978" w:name="_Toc16811"/>
      <w:bookmarkStart w:id="979" w:name="_Toc2868724"/>
      <w:r>
        <w:rPr>
          <w:rFonts w:cs="Times New Roman"/>
        </w:rPr>
        <w:t>系统自身安全功能</w:t>
      </w:r>
      <w:bookmarkEnd w:id="977"/>
      <w:bookmarkEnd w:id="978"/>
      <w:bookmarkEnd w:id="979"/>
    </w:p>
    <w:p>
      <w:pPr>
        <w:ind w:firstLine="240" w:firstLineChars="100"/>
        <w:rPr>
          <w:rFonts w:cs="Times New Roman"/>
        </w:rPr>
      </w:pPr>
      <w:r>
        <w:rPr>
          <w:rFonts w:cs="Times New Roman"/>
        </w:rPr>
        <w:t>（1）应用系统自身帐号管理功能应支持分级分权设置，系统应通过专用接口开放帐号口令管理接口。</w:t>
      </w:r>
    </w:p>
    <w:p>
      <w:pPr>
        <w:ind w:firstLine="199" w:firstLineChars="83"/>
        <w:rPr>
          <w:rFonts w:cs="Times New Roman"/>
        </w:rPr>
      </w:pPr>
      <w:r>
        <w:rPr>
          <w:rFonts w:cs="Times New Roman"/>
        </w:rPr>
        <w:t>（2）系统应支持以下口令强度要求：</w:t>
      </w:r>
    </w:p>
    <w:p>
      <w:pPr>
        <w:ind w:firstLine="480"/>
        <w:rPr>
          <w:rFonts w:cs="Times New Roman"/>
        </w:rPr>
      </w:pPr>
      <w:r>
        <w:rPr>
          <w:rFonts w:cs="Times New Roman"/>
        </w:rPr>
        <w:t>口令长度最短8位；由数字、大小写字符和特殊符号组成；口令有效期90天；修改口令时不得使用5次内的旧口令；连续输入口令3次失败，短时间内锁定该帐号登录。</w:t>
      </w:r>
    </w:p>
    <w:p>
      <w:pPr>
        <w:ind w:firstLine="240" w:firstLineChars="100"/>
        <w:rPr>
          <w:rFonts w:cs="Times New Roman"/>
        </w:rPr>
      </w:pPr>
      <w:r>
        <w:rPr>
          <w:rFonts w:cs="Times New Roman"/>
        </w:rPr>
        <w:t>（3）系统应具备记录3个月内用户操作的能力。系统应通过SYSLOG方式向日志审计系统开放日志接口。</w:t>
      </w:r>
    </w:p>
    <w:p>
      <w:pPr>
        <w:ind w:firstLine="199" w:firstLineChars="83"/>
        <w:rPr>
          <w:rFonts w:cs="Times New Roman"/>
        </w:rPr>
      </w:pPr>
      <w:r>
        <w:rPr>
          <w:rFonts w:cs="Times New Roman"/>
        </w:rPr>
        <w:t>（4）系统中账号口令应通过加密方式保存。</w:t>
      </w:r>
    </w:p>
    <w:p>
      <w:pPr>
        <w:pStyle w:val="5"/>
        <w:rPr>
          <w:rFonts w:cs="Times New Roman"/>
        </w:rPr>
      </w:pPr>
      <w:bookmarkStart w:id="980" w:name="_Toc536438857"/>
      <w:bookmarkStart w:id="981" w:name="_Toc16201"/>
      <w:bookmarkStart w:id="982" w:name="_Toc2868725"/>
      <w:r>
        <w:rPr>
          <w:rFonts w:cs="Times New Roman"/>
        </w:rPr>
        <w:t>系统安全加固</w:t>
      </w:r>
      <w:bookmarkEnd w:id="980"/>
      <w:bookmarkEnd w:id="981"/>
      <w:bookmarkEnd w:id="982"/>
    </w:p>
    <w:p>
      <w:pPr>
        <w:ind w:firstLine="480"/>
        <w:rPr>
          <w:rFonts w:cs="Times New Roman"/>
        </w:rPr>
      </w:pPr>
      <w:r>
        <w:rPr>
          <w:rFonts w:cs="Times New Roman"/>
        </w:rPr>
        <w:t>系统中使用的操作系统、网络设备等均按照《中国移动设备通用安全功能和配置规范》要求进行安全配置，并在入网前进行安全基线检查与加固。</w:t>
      </w:r>
    </w:p>
    <w:p>
      <w:pPr>
        <w:pStyle w:val="5"/>
        <w:rPr>
          <w:rFonts w:cs="Times New Roman"/>
        </w:rPr>
      </w:pPr>
      <w:bookmarkStart w:id="983" w:name="_Toc9003"/>
      <w:bookmarkStart w:id="984" w:name="_Toc536438858"/>
      <w:bookmarkStart w:id="985" w:name="_Toc2868726"/>
      <w:r>
        <w:rPr>
          <w:rFonts w:cs="Times New Roman"/>
        </w:rPr>
        <w:t>安全防护手段</w:t>
      </w:r>
      <w:bookmarkEnd w:id="983"/>
      <w:bookmarkEnd w:id="984"/>
      <w:bookmarkEnd w:id="985"/>
    </w:p>
    <w:p>
      <w:pPr>
        <w:ind w:firstLine="480"/>
        <w:rPr>
          <w:rFonts w:cs="Times New Roman"/>
        </w:rPr>
      </w:pPr>
      <w:r>
        <w:rPr>
          <w:rFonts w:cs="Times New Roman"/>
        </w:rPr>
        <w:t>本项目是对现有系统的扩容和延伸，依托现有系统的安全防护手段进行防护。</w:t>
      </w:r>
    </w:p>
    <w:p>
      <w:pPr>
        <w:pStyle w:val="5"/>
        <w:rPr>
          <w:rFonts w:cs="Times New Roman"/>
        </w:rPr>
      </w:pPr>
      <w:bookmarkStart w:id="986" w:name="_Toc536438859"/>
      <w:bookmarkStart w:id="987" w:name="_Toc4099"/>
      <w:bookmarkStart w:id="988" w:name="_Toc2868727"/>
      <w:r>
        <w:rPr>
          <w:rFonts w:cs="Times New Roman"/>
        </w:rPr>
        <w:t>安全管理系统接入</w:t>
      </w:r>
      <w:bookmarkEnd w:id="986"/>
      <w:bookmarkEnd w:id="987"/>
      <w:bookmarkEnd w:id="988"/>
    </w:p>
    <w:p>
      <w:pPr>
        <w:ind w:firstLine="480"/>
        <w:rPr>
          <w:rFonts w:cs="Times New Roman"/>
        </w:rPr>
      </w:pPr>
      <w:r>
        <w:rPr>
          <w:rFonts w:cs="Times New Roman"/>
        </w:rPr>
        <w:t>本期工程相关设备均接入4A管控平台进行维护。</w:t>
      </w:r>
    </w:p>
    <w:p>
      <w:pPr>
        <w:pStyle w:val="4"/>
        <w:rPr>
          <w:rFonts w:cs="Times New Roman"/>
        </w:rPr>
      </w:pPr>
      <w:bookmarkStart w:id="989" w:name="_Toc447204577"/>
      <w:bookmarkStart w:id="990" w:name="_Toc13300"/>
      <w:bookmarkStart w:id="991" w:name="_Toc447202528"/>
      <w:bookmarkStart w:id="992" w:name="_Toc2868728"/>
      <w:bookmarkStart w:id="993" w:name="_Toc452131647"/>
      <w:bookmarkStart w:id="994" w:name="_Toc424051621"/>
      <w:r>
        <w:rPr>
          <w:rFonts w:cs="Times New Roman"/>
        </w:rPr>
        <w:t>生产组织与进度安排</w:t>
      </w:r>
      <w:bookmarkEnd w:id="989"/>
      <w:bookmarkEnd w:id="990"/>
      <w:bookmarkEnd w:id="991"/>
      <w:bookmarkEnd w:id="992"/>
      <w:bookmarkEnd w:id="993"/>
      <w:bookmarkEnd w:id="994"/>
    </w:p>
    <w:p>
      <w:pPr>
        <w:ind w:firstLine="480"/>
        <w:rPr>
          <w:rFonts w:cs="Times New Roman"/>
        </w:rPr>
      </w:pPr>
      <w:r>
        <w:rPr>
          <w:rFonts w:cs="Times New Roman"/>
        </w:rPr>
        <w:t>根据设备维护规程，对移动通信设备及网络运行进行监控、优化、维护和故障处理，保证设备完好和通信畅通。</w:t>
      </w:r>
    </w:p>
    <w:p>
      <w:pPr>
        <w:ind w:firstLine="480"/>
        <w:rPr>
          <w:rFonts w:cs="Times New Roman"/>
        </w:rPr>
      </w:pPr>
      <w:r>
        <w:rPr>
          <w:rFonts w:cs="Times New Roman"/>
        </w:rPr>
        <w:t>本工程按本地网设置维护管理机构考虑，核心网及无线基站专业维护管理配置专门人员，传输、电源等配套专业基本利用现网设施，人员配置考虑适当增加。核心网设备实行24小时值班，无线基站设备、电源设备原则上要求实行无人值守。</w:t>
      </w:r>
    </w:p>
    <w:p>
      <w:pPr>
        <w:ind w:firstLine="480"/>
        <w:rPr>
          <w:rFonts w:cs="Times New Roman"/>
        </w:rPr>
      </w:pPr>
      <w:r>
        <w:rPr>
          <w:rFonts w:cs="Times New Roman"/>
        </w:rPr>
        <w:t>本工程为5G技术工程，考虑到在网络建设过程中将开展大量的测试工作，为保证工程质量，应按需配置仪器仪表。</w:t>
      </w:r>
    </w:p>
    <w:p>
      <w:pPr>
        <w:ind w:firstLine="480"/>
        <w:rPr>
          <w:rFonts w:cs="Times New Roman"/>
          <w:color w:val="FF0000"/>
        </w:rPr>
      </w:pPr>
      <w:r>
        <w:rPr>
          <w:rFonts w:cs="Times New Roman"/>
          <w:color w:val="FF0000"/>
        </w:rPr>
        <w:t>根据中国移动集团公司总体进度要求，本工程具体进度安排如下：</w:t>
      </w:r>
    </w:p>
    <w:p>
      <w:pPr>
        <w:ind w:left="240" w:firstLine="0" w:firstLineChars="0"/>
        <w:rPr>
          <w:rFonts w:cs="Times New Roman"/>
          <w:color w:val="FF0000"/>
        </w:rPr>
      </w:pPr>
      <w:r>
        <w:rPr>
          <w:rFonts w:cs="Times New Roman"/>
          <w:color w:val="FF0000"/>
        </w:rPr>
        <w:t>（1）项目启动</w:t>
      </w:r>
    </w:p>
    <w:p>
      <w:pPr>
        <w:ind w:firstLine="480"/>
        <w:jc w:val="left"/>
        <w:rPr>
          <w:rFonts w:cs="Times New Roman"/>
          <w:color w:val="FF0000"/>
        </w:rPr>
      </w:pPr>
      <w:r>
        <w:rPr>
          <w:rFonts w:cs="Times New Roman"/>
          <w:color w:val="FF0000"/>
        </w:rPr>
        <w:t>20</w:t>
      </w:r>
      <w:r>
        <w:rPr>
          <w:rFonts w:hint="eastAsia" w:cs="Times New Roman"/>
          <w:color w:val="FF0000"/>
        </w:rPr>
        <w:t>1</w:t>
      </w:r>
      <w:r>
        <w:rPr>
          <w:rFonts w:cs="Times New Roman"/>
          <w:color w:val="FF0000"/>
        </w:rPr>
        <w:t>年</w:t>
      </w:r>
      <w:r>
        <w:rPr>
          <w:rFonts w:hint="eastAsia" w:cs="Times New Roman"/>
          <w:color w:val="FF0000"/>
        </w:rPr>
        <w:t>11</w:t>
      </w:r>
      <w:r>
        <w:rPr>
          <w:rFonts w:cs="Times New Roman"/>
          <w:color w:val="FF0000"/>
        </w:rPr>
        <w:t>月项目启动。</w:t>
      </w:r>
    </w:p>
    <w:p>
      <w:pPr>
        <w:pStyle w:val="287"/>
        <w:ind w:left="240" w:firstLine="0" w:firstLineChars="0"/>
        <w:rPr>
          <w:rFonts w:cs="Times New Roman"/>
          <w:color w:val="FF0000"/>
        </w:rPr>
      </w:pPr>
      <w:r>
        <w:rPr>
          <w:rFonts w:cs="Times New Roman"/>
          <w:color w:val="FF0000"/>
        </w:rPr>
        <w:t>（2）工程设计</w:t>
      </w:r>
    </w:p>
    <w:p>
      <w:pPr>
        <w:ind w:firstLine="436" w:firstLineChars="182"/>
        <w:rPr>
          <w:rFonts w:cs="Times New Roman"/>
          <w:color w:val="FF0000"/>
        </w:rPr>
      </w:pPr>
      <w:r>
        <w:rPr>
          <w:rFonts w:cs="Times New Roman"/>
          <w:color w:val="FF0000"/>
        </w:rPr>
        <w:t xml:space="preserve">原则上2020年 </w:t>
      </w:r>
      <w:r>
        <w:rPr>
          <w:rFonts w:hint="eastAsia" w:cs="Times New Roman"/>
          <w:color w:val="FF0000"/>
        </w:rPr>
        <w:t>5</w:t>
      </w:r>
      <w:r>
        <w:rPr>
          <w:rFonts w:cs="Times New Roman"/>
          <w:color w:val="FF0000"/>
        </w:rPr>
        <w:t>月完成工程安装设计。</w:t>
      </w:r>
    </w:p>
    <w:p>
      <w:pPr>
        <w:pStyle w:val="287"/>
        <w:ind w:left="240" w:firstLine="0" w:firstLineChars="0"/>
        <w:rPr>
          <w:rFonts w:cs="Times New Roman"/>
          <w:color w:val="FF0000"/>
        </w:rPr>
      </w:pPr>
      <w:r>
        <w:rPr>
          <w:rFonts w:cs="Times New Roman"/>
          <w:color w:val="FF0000"/>
        </w:rPr>
        <w:t>（3）工程实施</w:t>
      </w:r>
    </w:p>
    <w:p>
      <w:pPr>
        <w:ind w:firstLine="480"/>
        <w:rPr>
          <w:rFonts w:cs="Times New Roman"/>
        </w:rPr>
      </w:pPr>
      <w:r>
        <w:rPr>
          <w:rFonts w:cs="Times New Roman"/>
          <w:color w:val="FF0000"/>
        </w:rPr>
        <w:t>原则上2020年</w:t>
      </w:r>
      <w:r>
        <w:rPr>
          <w:rFonts w:hint="eastAsia" w:cs="Times New Roman"/>
          <w:color w:val="FF0000"/>
        </w:rPr>
        <w:t>12</w:t>
      </w:r>
      <w:r>
        <w:rPr>
          <w:rFonts w:cs="Times New Roman"/>
          <w:color w:val="FF0000"/>
        </w:rPr>
        <w:t>月完成设备采购，2020年</w:t>
      </w:r>
      <w:r>
        <w:rPr>
          <w:rFonts w:hint="eastAsia" w:cs="Times New Roman"/>
          <w:color w:val="FF0000"/>
        </w:rPr>
        <w:t>12</w:t>
      </w:r>
      <w:r>
        <w:rPr>
          <w:rFonts w:cs="Times New Roman"/>
          <w:color w:val="FF0000"/>
        </w:rPr>
        <w:t>月基本完成建设并投产。</w:t>
      </w:r>
    </w:p>
    <w:p>
      <w:pPr>
        <w:pStyle w:val="4"/>
        <w:rPr>
          <w:rFonts w:cs="Times New Roman"/>
        </w:rPr>
      </w:pPr>
      <w:bookmarkStart w:id="995" w:name="_Toc2868729"/>
      <w:bookmarkStart w:id="996" w:name="_Toc452131648"/>
      <w:bookmarkStart w:id="997" w:name="_Toc11489"/>
      <w:r>
        <w:rPr>
          <w:rFonts w:cs="Times New Roman"/>
        </w:rPr>
        <w:t>安全生产要求</w:t>
      </w:r>
      <w:bookmarkEnd w:id="995"/>
      <w:bookmarkEnd w:id="996"/>
      <w:bookmarkEnd w:id="997"/>
    </w:p>
    <w:p>
      <w:pPr>
        <w:ind w:firstLine="480"/>
        <w:rPr>
          <w:rFonts w:cs="Times New Roman"/>
        </w:rPr>
      </w:pPr>
      <w:r>
        <w:rPr>
          <w:rFonts w:cs="Times New Roman"/>
        </w:rPr>
        <w:t>通信生产具有“全程全网、联合作业”的特点，要求参与通信生产的所有设备、设施的技术性能要安全、可靠；要求操作、使用这些设备和设施的人员具有迅速、准确、安全的操作技能。在研制、采用相应的安全技术措施时，应首先考虑安全技术措施的可靠性；其次，在通信生产过程中，消除存在的危险因素，制定应急预案。</w:t>
      </w:r>
    </w:p>
    <w:p>
      <w:pPr>
        <w:ind w:firstLine="480"/>
        <w:rPr>
          <w:rFonts w:cs="Times New Roman"/>
        </w:rPr>
      </w:pPr>
      <w:r>
        <w:rPr>
          <w:rFonts w:cs="Times New Roman"/>
        </w:rPr>
        <w:t>为加强通信建设工程安全生产监督管理，保障人民群众生命和财产安全，明确安全生产责任，防止和减少生产安全事故，在中华人民共和国境内从事公用电信网新建、改建、扩建及其配套设施建设等活动，以及实施对通信建设工程安全生产的监督管理，须遵守《通信建设工程安全生产管理规定》。</w:t>
      </w:r>
    </w:p>
    <w:p>
      <w:pPr>
        <w:ind w:firstLine="480"/>
        <w:rPr>
          <w:rFonts w:cs="Times New Roman"/>
        </w:rPr>
      </w:pPr>
      <w:r>
        <w:rPr>
          <w:rFonts w:cs="Times New Roman"/>
        </w:rPr>
        <w:t>通信建设工程安全生产管理，坚持安全第一，预防为主、综合治理的方针，强化和落实单位主体责任，建立单位负责、职工参与、政府监管、行业自律和社会监督的机制。</w:t>
      </w:r>
    </w:p>
    <w:p>
      <w:pPr>
        <w:ind w:firstLine="480"/>
        <w:rPr>
          <w:rFonts w:cs="Times New Roman"/>
        </w:rPr>
      </w:pPr>
      <w:r>
        <w:rPr>
          <w:rFonts w:cs="Times New Roman"/>
        </w:rPr>
        <w:t>通信工程建设、勘察、设计、施工、监理等单位（以下简称安全生产责任主体），必须遵守安全生产法律、法规的规定，执行保障生产安全的国家标准、行业标准和《通信建设工程安全生产管理规定》，推进安全生产标准化建设，确保通信工程建设安全生产，依法承担安全生产责任。</w:t>
      </w:r>
    </w:p>
    <w:p>
      <w:pPr>
        <w:pStyle w:val="5"/>
        <w:rPr>
          <w:rFonts w:cs="Times New Roman"/>
        </w:rPr>
      </w:pPr>
      <w:bookmarkStart w:id="998" w:name="_Toc26448"/>
      <w:bookmarkStart w:id="999" w:name="_Toc447204579"/>
      <w:bookmarkStart w:id="1000" w:name="_Toc447202530"/>
      <w:bookmarkStart w:id="1001" w:name="_Toc424051623"/>
      <w:bookmarkStart w:id="1002" w:name="_Toc2868730"/>
      <w:bookmarkStart w:id="1003" w:name="_Toc452131649"/>
      <w:r>
        <w:rPr>
          <w:rFonts w:cs="Times New Roman"/>
        </w:rPr>
        <w:t>安全生产责任</w:t>
      </w:r>
      <w:bookmarkEnd w:id="998"/>
      <w:bookmarkEnd w:id="999"/>
      <w:bookmarkEnd w:id="1000"/>
      <w:bookmarkEnd w:id="1001"/>
      <w:bookmarkEnd w:id="1002"/>
      <w:bookmarkEnd w:id="1003"/>
    </w:p>
    <w:p>
      <w:pPr>
        <w:pStyle w:val="6"/>
        <w:rPr>
          <w:rFonts w:cs="Times New Roman"/>
        </w:rPr>
      </w:pPr>
      <w:r>
        <w:rPr>
          <w:rFonts w:cs="Times New Roman"/>
        </w:rPr>
        <w:t>建设单位安全生产责任</w:t>
      </w:r>
    </w:p>
    <w:p>
      <w:pPr>
        <w:ind w:firstLine="240" w:firstLineChars="100"/>
        <w:rPr>
          <w:rFonts w:cs="Times New Roman"/>
        </w:rPr>
      </w:pPr>
      <w:r>
        <w:rPr>
          <w:rFonts w:cs="Times New Roman"/>
        </w:rPr>
        <w:t>（1）建立健全通信工程安全生产管理制度，制定生产安全事故应急救援预案并定期组织演练。</w:t>
      </w:r>
    </w:p>
    <w:p>
      <w:pPr>
        <w:ind w:firstLine="240" w:firstLineChars="100"/>
        <w:rPr>
          <w:rFonts w:cs="Times New Roman"/>
        </w:rPr>
      </w:pPr>
      <w:r>
        <w:rPr>
          <w:rFonts w:cs="Times New Roman"/>
        </w:rPr>
        <w:t>（2）工程概预算应当明确建设工程安全生产费，不得打折，工程合同中应明确支付方式、数额及时限。对安全防护、安全施工有特殊要求需增加安全生产费用的，应结合工程实际单独列出增加项目及费用清单。</w:t>
      </w:r>
    </w:p>
    <w:p>
      <w:pPr>
        <w:ind w:firstLine="240" w:firstLineChars="100"/>
        <w:rPr>
          <w:rFonts w:cs="Times New Roman"/>
        </w:rPr>
      </w:pPr>
      <w:r>
        <w:rPr>
          <w:rFonts w:cs="Times New Roman"/>
        </w:rPr>
        <w:t>（3）工程开工前，应当就落实保证生产安全的措施进行全面系统的布置，明确相关单位的安全生产责任。</w:t>
      </w:r>
    </w:p>
    <w:p>
      <w:pPr>
        <w:ind w:firstLine="240" w:firstLineChars="100"/>
        <w:rPr>
          <w:rFonts w:cs="Times New Roman"/>
        </w:rPr>
      </w:pPr>
      <w:r>
        <w:rPr>
          <w:rFonts w:cs="Times New Roman"/>
        </w:rPr>
        <w:t>（4）不得对勘察、设计、施工及监理等单位提出不符合工程安全生产法律、法规和工程建设强制性标准规定的要求，不得压缩合同约定的工期。</w:t>
      </w:r>
    </w:p>
    <w:p>
      <w:pPr>
        <w:ind w:firstLine="240" w:firstLineChars="100"/>
        <w:rPr>
          <w:rFonts w:cs="Times New Roman"/>
        </w:rPr>
      </w:pPr>
      <w:r>
        <w:rPr>
          <w:rFonts w:cs="Times New Roman"/>
        </w:rPr>
        <w:t>（5）不得明示或者暗示施工单位购买、租赁、使用不符合安全施工要求的安全防护用具、机械设备、施工机具及配件、消防设施和器材。</w:t>
      </w:r>
    </w:p>
    <w:p>
      <w:pPr>
        <w:pStyle w:val="6"/>
        <w:rPr>
          <w:rFonts w:cs="Times New Roman"/>
        </w:rPr>
      </w:pPr>
      <w:r>
        <w:rPr>
          <w:rFonts w:cs="Times New Roman"/>
        </w:rPr>
        <w:t>勘察、设计单位安全生产责任</w:t>
      </w:r>
    </w:p>
    <w:p>
      <w:pPr>
        <w:ind w:firstLine="240" w:firstLineChars="100"/>
        <w:rPr>
          <w:rFonts w:cs="Times New Roman"/>
        </w:rPr>
      </w:pPr>
      <w:r>
        <w:rPr>
          <w:rFonts w:cs="Times New Roman"/>
        </w:rPr>
        <w:t>（1）勘察单位应当按照法律、法规和工程建设强制性标准进行勘察，提供的勘察文件应当真实、准确，满足通信建设工程安全生产的需要。在勘察作业时，应当严格执行操作规程，采取措施保证各类管线、设施和周边建筑物、构筑物的安全。对有可能引发通信工程安全隐患的灾害提出防治措施。</w:t>
      </w:r>
    </w:p>
    <w:p>
      <w:pPr>
        <w:ind w:firstLine="240" w:firstLineChars="100"/>
        <w:rPr>
          <w:rFonts w:cs="Times New Roman"/>
        </w:rPr>
      </w:pPr>
      <w:r>
        <w:rPr>
          <w:rFonts w:cs="Times New Roman"/>
        </w:rPr>
        <w:t>（2）设计单位应当按照法律、法规和工程建设强制性标准进行设计，防止因设计不合理导致生产安全事故的发生。</w:t>
      </w:r>
    </w:p>
    <w:p>
      <w:pPr>
        <w:ind w:firstLine="480"/>
        <w:rPr>
          <w:rFonts w:cs="Times New Roman"/>
        </w:rPr>
      </w:pPr>
      <w:r>
        <w:rPr>
          <w:rFonts w:cs="Times New Roman"/>
        </w:rPr>
        <w:t>设计单位应当考虑施工安全操作和防护的需要，对涉及施工安全的重点部位和环节在设计文件中注明，对防范生产安全事故提出指导意见，并在设计交底环节就安全风险防范措施向施工单位进行详细说明。</w:t>
      </w:r>
    </w:p>
    <w:p>
      <w:pPr>
        <w:ind w:firstLine="480"/>
        <w:rPr>
          <w:rFonts w:cs="Times New Roman"/>
        </w:rPr>
      </w:pPr>
      <w:r>
        <w:rPr>
          <w:rFonts w:cs="Times New Roman"/>
        </w:rPr>
        <w:t>采用新结构、新材料、新工艺的建设工程和特殊结构的建设工程，设计单位应当在设计中提出保障施工作业人员安全和预防生产安全事故的措施建议。</w:t>
      </w:r>
    </w:p>
    <w:p>
      <w:pPr>
        <w:ind w:firstLine="240" w:firstLineChars="100"/>
        <w:rPr>
          <w:rFonts w:cs="Times New Roman"/>
        </w:rPr>
      </w:pPr>
      <w:r>
        <w:rPr>
          <w:rFonts w:cs="Times New Roman"/>
        </w:rPr>
        <w:t>（3）设计单位编制工程概预算时，必须按照相关规定全额列出安全生产费用。</w:t>
      </w:r>
    </w:p>
    <w:p>
      <w:pPr>
        <w:pStyle w:val="6"/>
        <w:rPr>
          <w:rFonts w:cs="Times New Roman"/>
        </w:rPr>
      </w:pPr>
      <w:r>
        <w:rPr>
          <w:rFonts w:cs="Times New Roman"/>
        </w:rPr>
        <w:t>监理单位安全生产责任</w:t>
      </w:r>
    </w:p>
    <w:p>
      <w:pPr>
        <w:ind w:firstLine="240" w:firstLineChars="100"/>
        <w:rPr>
          <w:rFonts w:cs="Times New Roman"/>
        </w:rPr>
      </w:pPr>
      <w:r>
        <w:rPr>
          <w:rFonts w:cs="Times New Roman"/>
        </w:rPr>
        <w:t>（1）监理单位和监理人员应当按照法律、法规、规章制度、工程建设强制性标准及监理规范实施监理，并对建设工程安全生产承担监理责任。</w:t>
      </w:r>
    </w:p>
    <w:p>
      <w:pPr>
        <w:ind w:firstLine="240" w:firstLineChars="100"/>
        <w:rPr>
          <w:rFonts w:cs="Times New Roman"/>
        </w:rPr>
      </w:pPr>
      <w:r>
        <w:rPr>
          <w:rFonts w:cs="Times New Roman"/>
        </w:rPr>
        <w:t>（2）监理单位应完善安全生产管理制度，建立监理人员安全生产教育培训制度；单位主要负责人、总监理工程师和安全监理人员须具备与本单位所从事的生产经营活动相应的安全生产知识和管理能力，未经安全生产教育和培训合格不得上岗作业。</w:t>
      </w:r>
    </w:p>
    <w:p>
      <w:pPr>
        <w:ind w:firstLine="240" w:firstLineChars="100"/>
        <w:rPr>
          <w:rFonts w:cs="Times New Roman"/>
        </w:rPr>
      </w:pPr>
      <w:r>
        <w:rPr>
          <w:rFonts w:cs="Times New Roman"/>
        </w:rPr>
        <w:t>（3）监理单位应当按照工程建设强制性标准及相关监理规范的要求编制含有安全监理内容的监理规划和监理实施细则，项目监理机构应配置安全监理人员。</w:t>
      </w:r>
    </w:p>
    <w:p>
      <w:pPr>
        <w:ind w:firstLine="240" w:firstLineChars="100"/>
        <w:rPr>
          <w:rFonts w:cs="Times New Roman"/>
        </w:rPr>
      </w:pPr>
      <w:r>
        <w:rPr>
          <w:rFonts w:cs="Times New Roman"/>
        </w:rPr>
        <w:t>（4）监理单位应当审查施工组织设计中的安全技术措施和危险性较大的分部分项工程安全专项施工方案，是否符合工程建设强制性标准和安全生产操作规范，并对施工现场安全生产情况进行巡视检查。</w:t>
      </w:r>
    </w:p>
    <w:p>
      <w:pPr>
        <w:ind w:firstLine="240" w:firstLineChars="100"/>
        <w:rPr>
          <w:rFonts w:cs="Times New Roman"/>
        </w:rPr>
      </w:pPr>
      <w:r>
        <w:rPr>
          <w:rFonts w:cs="Times New Roman"/>
        </w:rPr>
        <w:t>（5）监理单位在实施监理过程中，发现存在安全事故隐患的，应当要求施工单位整改；对情况严重的，应当要求施工单位暂时停止施工，并及时向建设单位报告。施工单位拒不整改或者不停止施工的，工程监理单位应当及时向有关主管部门报告。</w:t>
      </w:r>
    </w:p>
    <w:p>
      <w:pPr>
        <w:ind w:firstLine="480"/>
        <w:rPr>
          <w:rFonts w:cs="Times New Roman"/>
        </w:rPr>
      </w:pPr>
    </w:p>
    <w:p>
      <w:pPr>
        <w:pStyle w:val="6"/>
        <w:rPr>
          <w:rFonts w:cs="Times New Roman"/>
        </w:rPr>
      </w:pPr>
      <w:r>
        <w:rPr>
          <w:rFonts w:cs="Times New Roman"/>
        </w:rPr>
        <w:t>施工单位安全生产责任</w:t>
      </w:r>
    </w:p>
    <w:p>
      <w:pPr>
        <w:ind w:firstLine="240" w:firstLineChars="100"/>
        <w:rPr>
          <w:rFonts w:cs="Times New Roman"/>
        </w:rPr>
      </w:pPr>
      <w:r>
        <w:rPr>
          <w:rFonts w:cs="Times New Roman"/>
        </w:rPr>
        <w:t>（1）施工单位应当设置安全生产管理机构，配备专职安全生产管理人员，建立健全安全生产责任制，制定安全生产规章制度和各通信专业操作规程，建立生产安全事故应急救援预案并定期组织演练。</w:t>
      </w:r>
    </w:p>
    <w:p>
      <w:pPr>
        <w:ind w:firstLine="240" w:firstLineChars="100"/>
        <w:rPr>
          <w:rFonts w:cs="Times New Roman"/>
        </w:rPr>
      </w:pPr>
      <w:r>
        <w:rPr>
          <w:rFonts w:cs="Times New Roman"/>
        </w:rPr>
        <w:t>（2）建立健全安全生产教育培训制度。单位主要负责人、项目负责人和专职安全生产管理人员必须具备与本单位所从事的生产经营活动相应的安全生产知识和管理能力，并应当由通信主管部门对其安全生产知识和管理能力考核合格。</w:t>
      </w:r>
    </w:p>
    <w:p>
      <w:pPr>
        <w:ind w:firstLine="480"/>
        <w:rPr>
          <w:rFonts w:cs="Times New Roman"/>
        </w:rPr>
      </w:pPr>
      <w:r>
        <w:rPr>
          <w:rFonts w:cs="Times New Roman"/>
        </w:rPr>
        <w:t>对本单位所有管理人员和作业人员每年至少进行一次安全生产教育培训，保证相关人员具备必要的安全生产知识，熟悉有关的安全生产规章制度和操作规程，掌握本岗位的安全操作技能，了解事故应急处理措施，知悉自身在安全生产方面的权利和义务。未经安全生产教育培训合格的人员不得上岗作业。同时，建立教育和培训情况档案，如实记录安全生产教育培训的时间、内容、参加人员以及考核结果等情况。</w:t>
      </w:r>
    </w:p>
    <w:p>
      <w:pPr>
        <w:ind w:firstLine="480"/>
        <w:rPr>
          <w:rFonts w:cs="Times New Roman"/>
        </w:rPr>
      </w:pPr>
      <w:r>
        <w:rPr>
          <w:rFonts w:cs="Times New Roman"/>
        </w:rPr>
        <w:t>使用被派遣劳动者的，应当将被派遣劳动者纳入本单位从业人员统一管理，应对被派遣劳动者进行岗位安全操作规程和安全操作技能的教育和培训。</w:t>
      </w:r>
    </w:p>
    <w:p>
      <w:pPr>
        <w:ind w:firstLine="240" w:firstLineChars="100"/>
        <w:rPr>
          <w:rFonts w:cs="Times New Roman"/>
        </w:rPr>
      </w:pPr>
      <w:r>
        <w:rPr>
          <w:rFonts w:cs="Times New Roman"/>
        </w:rPr>
        <w:t>（3）严格按照工程建设强制性标准和安全生产操作规范进行施工作业。按照国家规定配备安全生产管理人员，施工现场应由安全生产考核合格的人员对安全生产进行监督。工程施工前，项目负责人应组织施工安全技术交底，对施工安全重点部位和环节以及安全施工技术要求和措施向施工作业班组、作业人员进行详细说明，并形成交底记录，由双方签字确认。</w:t>
      </w:r>
    </w:p>
    <w:p>
      <w:pPr>
        <w:ind w:firstLine="240" w:firstLineChars="100"/>
        <w:rPr>
          <w:rFonts w:cs="Times New Roman"/>
        </w:rPr>
      </w:pPr>
      <w:r>
        <w:rPr>
          <w:rFonts w:cs="Times New Roman"/>
        </w:rPr>
        <w:t>（4）建立健全内部安全生产费用管理制度，明确安全费用提取和使用的程序、职责及权限，保证本单位安全生产条件所需资金的投入。</w:t>
      </w:r>
    </w:p>
    <w:p>
      <w:pPr>
        <w:ind w:firstLine="240" w:firstLineChars="100"/>
        <w:rPr>
          <w:rFonts w:cs="Times New Roman"/>
        </w:rPr>
      </w:pPr>
      <w:r>
        <w:rPr>
          <w:rFonts w:cs="Times New Roman"/>
        </w:rPr>
        <w:t>（5）作业人员进入新的岗位或者新的施工现场前，应当接受安全生产教育培训，未经教育培训或者教育培训考核不合格的人员，不得上岗作业。采用新技术、新工艺、新设备、新材料时，应当对作业人员进行相应的安全生产教育培训。登高架设作业人员、电工作业人员等特种作业人员，必须按照国家有关规定经过专门的安全作业培训，并取得特种作业操作资格证书后，方可上岗作业。</w:t>
      </w:r>
    </w:p>
    <w:p>
      <w:pPr>
        <w:ind w:firstLine="240" w:firstLineChars="100"/>
        <w:rPr>
          <w:rFonts w:cs="Times New Roman"/>
        </w:rPr>
      </w:pPr>
      <w:r>
        <w:rPr>
          <w:rFonts w:cs="Times New Roman"/>
        </w:rPr>
        <w:t>（6）应当向作业人员提供安全防护用具和安全防护服装，并书面告知危险岗位的操作规程和违章操作的危害。井下、高空、用电作业时必须配备有害气体探测仪、防护绳、防触电等用具。</w:t>
      </w:r>
    </w:p>
    <w:p>
      <w:pPr>
        <w:ind w:firstLine="240" w:firstLineChars="100"/>
        <w:rPr>
          <w:rFonts w:cs="Times New Roman"/>
        </w:rPr>
      </w:pPr>
      <w:r>
        <w:rPr>
          <w:rFonts w:cs="Times New Roman"/>
        </w:rPr>
        <w:t>（7）在施工现场入口处、施工起重机械、临时用电设施、出入通道口、孔洞口、人井口、铁塔底部、有害气体和液体存放处等部位，设置明显的安全警示标识。安全警示标识必须符合国家规定。</w:t>
      </w:r>
    </w:p>
    <w:p>
      <w:pPr>
        <w:ind w:firstLine="240" w:firstLineChars="100"/>
        <w:rPr>
          <w:rFonts w:cs="Times New Roman"/>
        </w:rPr>
      </w:pPr>
      <w:r>
        <w:rPr>
          <w:rFonts w:cs="Times New Roman"/>
        </w:rPr>
        <w:t>（8）在有限空间安全作业，必须严格实行作业审批制度，严禁擅自进入有限空间作业；必须做到“先通风、再检测、后作业”，严禁通风、检测不合格作业；必须配备个人防中毒窒息等防护装备，设置安全警示标识，严禁无防护监护措施作业；必须制定应急措施，现场配备应急装备，严禁盲目施救。</w:t>
      </w:r>
    </w:p>
    <w:p>
      <w:pPr>
        <w:ind w:firstLine="240" w:firstLineChars="100"/>
        <w:rPr>
          <w:rFonts w:cs="Times New Roman"/>
        </w:rPr>
      </w:pPr>
      <w:r>
        <w:rPr>
          <w:rFonts w:cs="Times New Roman"/>
        </w:rPr>
        <w:t>（9）建立健全生产安全事故隐患排查治理制度，采取技术、管理措施，及时发现并消除事故隐患。事故隐患排查治理情况应当如实记录，并向从业人员通报。</w:t>
      </w:r>
    </w:p>
    <w:p>
      <w:pPr>
        <w:ind w:firstLine="240" w:firstLineChars="100"/>
        <w:rPr>
          <w:rFonts w:cs="Times New Roman"/>
        </w:rPr>
      </w:pPr>
      <w:r>
        <w:rPr>
          <w:rFonts w:cs="Times New Roman"/>
        </w:rPr>
        <w:t>（10）依法参加工伤社会保险，为从业人员缴纳保险费，为施工现场从事危险作业的人员办理意外伤害保险。国家鼓励投保安全生产责任保险。</w:t>
      </w:r>
    </w:p>
    <w:p>
      <w:pPr>
        <w:pStyle w:val="5"/>
        <w:rPr>
          <w:rFonts w:cs="Times New Roman"/>
        </w:rPr>
      </w:pPr>
      <w:bookmarkStart w:id="1004" w:name="_Toc447202532"/>
      <w:bookmarkStart w:id="1005" w:name="_Toc2868731"/>
      <w:bookmarkStart w:id="1006" w:name="_Toc3600"/>
      <w:bookmarkStart w:id="1007" w:name="_Toc452131651"/>
      <w:bookmarkStart w:id="1008" w:name="_Toc447204581"/>
      <w:bookmarkStart w:id="1009" w:name="_Toc424051626"/>
      <w:r>
        <w:rPr>
          <w:rFonts w:cs="Times New Roman"/>
        </w:rPr>
        <w:t>易发问题及安全风险点说明</w:t>
      </w:r>
      <w:bookmarkEnd w:id="1004"/>
      <w:bookmarkEnd w:id="1005"/>
      <w:bookmarkEnd w:id="1006"/>
      <w:bookmarkEnd w:id="1007"/>
      <w:bookmarkEnd w:id="1008"/>
      <w:bookmarkEnd w:id="1009"/>
    </w:p>
    <w:p>
      <w:pPr>
        <w:pStyle w:val="6"/>
        <w:rPr>
          <w:rFonts w:cs="Times New Roman"/>
        </w:rPr>
      </w:pPr>
      <w:r>
        <w:rPr>
          <w:rFonts w:cs="Times New Roman"/>
        </w:rPr>
        <w:t>设备安装易发问题及安全风险点说明</w:t>
      </w:r>
    </w:p>
    <w:p>
      <w:pPr>
        <w:ind w:firstLine="480"/>
        <w:rPr>
          <w:rFonts w:cs="Times New Roman"/>
        </w:rPr>
      </w:pPr>
      <w:r>
        <w:rPr>
          <w:rFonts w:cs="Times New Roman"/>
        </w:rPr>
        <w:t>设备安装易发问题主要有：</w:t>
      </w:r>
    </w:p>
    <w:p>
      <w:pPr>
        <w:tabs>
          <w:tab w:val="left" w:pos="709"/>
        </w:tabs>
        <w:ind w:firstLine="283" w:firstLineChars="118"/>
        <w:rPr>
          <w:rFonts w:cs="Times New Roman"/>
        </w:rPr>
      </w:pPr>
      <w:r>
        <w:rPr>
          <w:rFonts w:cs="Times New Roman"/>
        </w:rPr>
        <w:t>(1)</w:t>
      </w:r>
      <w:r>
        <w:rPr>
          <w:rFonts w:cs="Times New Roman"/>
        </w:rPr>
        <w:tab/>
      </w:r>
      <w:r>
        <w:rPr>
          <w:rFonts w:cs="Times New Roman"/>
        </w:rPr>
        <w:t>在已有运行设备的机房内作业时，没有划定施工作业区域，作业人员随意触碰已有运行设备，随意触碰消防设施。</w:t>
      </w:r>
    </w:p>
    <w:p>
      <w:pPr>
        <w:tabs>
          <w:tab w:val="left" w:pos="709"/>
        </w:tabs>
        <w:ind w:firstLine="283" w:firstLineChars="118"/>
        <w:rPr>
          <w:rFonts w:cs="Times New Roman"/>
        </w:rPr>
      </w:pPr>
      <w:r>
        <w:rPr>
          <w:rFonts w:cs="Times New Roman"/>
        </w:rPr>
        <w:t>(2)</w:t>
      </w:r>
      <w:r>
        <w:rPr>
          <w:rFonts w:cs="Times New Roman"/>
        </w:rPr>
        <w:tab/>
      </w:r>
      <w:r>
        <w:rPr>
          <w:rFonts w:cs="Times New Roman"/>
        </w:rPr>
        <w:t>擅自关断运行设备的电源开关。</w:t>
      </w:r>
    </w:p>
    <w:p>
      <w:pPr>
        <w:tabs>
          <w:tab w:val="left" w:pos="709"/>
        </w:tabs>
        <w:ind w:firstLine="283" w:firstLineChars="118"/>
        <w:rPr>
          <w:rFonts w:cs="Times New Roman"/>
        </w:rPr>
      </w:pPr>
      <w:r>
        <w:rPr>
          <w:rFonts w:cs="Times New Roman"/>
        </w:rPr>
        <w:t>(3)</w:t>
      </w:r>
      <w:r>
        <w:rPr>
          <w:rFonts w:cs="Times New Roman"/>
        </w:rPr>
        <w:tab/>
      </w:r>
      <w:r>
        <w:rPr>
          <w:rFonts w:cs="Times New Roman"/>
        </w:rPr>
        <w:t>擅自将交流电源线挂在通信设备上。</w:t>
      </w:r>
    </w:p>
    <w:p>
      <w:pPr>
        <w:tabs>
          <w:tab w:val="left" w:pos="709"/>
        </w:tabs>
        <w:ind w:firstLine="283" w:firstLineChars="118"/>
        <w:rPr>
          <w:rFonts w:cs="Times New Roman"/>
        </w:rPr>
      </w:pPr>
      <w:r>
        <w:rPr>
          <w:rFonts w:cs="Times New Roman"/>
        </w:rPr>
        <w:t>(4)</w:t>
      </w:r>
      <w:r>
        <w:rPr>
          <w:rFonts w:cs="Times New Roman"/>
        </w:rPr>
        <w:tab/>
      </w:r>
      <w:r>
        <w:rPr>
          <w:rFonts w:cs="Times New Roman"/>
        </w:rPr>
        <w:t>脚踩铁架、机架、电缆走道、端子板及弹簧排。</w:t>
      </w:r>
    </w:p>
    <w:p>
      <w:pPr>
        <w:tabs>
          <w:tab w:val="left" w:pos="709"/>
        </w:tabs>
        <w:ind w:firstLine="283" w:firstLineChars="118"/>
        <w:rPr>
          <w:rFonts w:cs="Times New Roman"/>
        </w:rPr>
      </w:pPr>
      <w:r>
        <w:rPr>
          <w:rFonts w:cs="Times New Roman"/>
        </w:rPr>
        <w:t>(5)</w:t>
      </w:r>
      <w:r>
        <w:rPr>
          <w:rFonts w:cs="Times New Roman"/>
        </w:rPr>
        <w:tab/>
      </w:r>
      <w:r>
        <w:rPr>
          <w:rFonts w:cs="Times New Roman"/>
        </w:rPr>
        <w:t>放置工具和器材在铁架、槽道、机架、人字梯上。</w:t>
      </w:r>
    </w:p>
    <w:p>
      <w:pPr>
        <w:tabs>
          <w:tab w:val="left" w:pos="709"/>
        </w:tabs>
        <w:ind w:firstLine="283" w:firstLineChars="118"/>
        <w:rPr>
          <w:rFonts w:cs="Times New Roman"/>
        </w:rPr>
      </w:pPr>
      <w:r>
        <w:rPr>
          <w:rFonts w:cs="Times New Roman"/>
        </w:rPr>
        <w:t>(6)</w:t>
      </w:r>
      <w:r>
        <w:rPr>
          <w:rFonts w:cs="Times New Roman"/>
        </w:rPr>
        <w:tab/>
      </w:r>
      <w:r>
        <w:rPr>
          <w:rFonts w:cs="Times New Roman"/>
        </w:rPr>
        <w:t>设备在安装时(含自立式设备)，没有采用膨胀螺栓对地加固。在需要抗震加固的地区，没有按设计要求，对设备采取抗震加固措施。</w:t>
      </w:r>
    </w:p>
    <w:p>
      <w:pPr>
        <w:tabs>
          <w:tab w:val="left" w:pos="709"/>
        </w:tabs>
        <w:ind w:firstLine="283" w:firstLineChars="118"/>
        <w:rPr>
          <w:rFonts w:cs="Times New Roman"/>
        </w:rPr>
      </w:pPr>
      <w:r>
        <w:rPr>
          <w:rFonts w:cs="Times New Roman"/>
        </w:rPr>
        <w:t>(7)</w:t>
      </w:r>
      <w:r>
        <w:rPr>
          <w:rFonts w:cs="Times New Roman"/>
        </w:rPr>
        <w:tab/>
      </w:r>
      <w:r>
        <w:rPr>
          <w:rFonts w:cs="Times New Roman"/>
        </w:rPr>
        <w:t>布放线缆时，强拉硬拽。在楼顶布放线缆时，没有使用安全带站在窗台上作业。</w:t>
      </w:r>
    </w:p>
    <w:p>
      <w:pPr>
        <w:tabs>
          <w:tab w:val="left" w:pos="709"/>
        </w:tabs>
        <w:ind w:firstLine="283" w:firstLineChars="118"/>
        <w:rPr>
          <w:rFonts w:cs="Times New Roman"/>
        </w:rPr>
      </w:pPr>
      <w:r>
        <w:rPr>
          <w:rFonts w:cs="Times New Roman"/>
        </w:rPr>
        <w:t>(8)</w:t>
      </w:r>
      <w:r>
        <w:rPr>
          <w:rFonts w:cs="Times New Roman"/>
        </w:rPr>
        <w:tab/>
      </w:r>
      <w:r>
        <w:rPr>
          <w:rFonts w:cs="Times New Roman"/>
        </w:rPr>
        <w:t>涉及有限空间作业时未做好环境检测和施工人员防护。</w:t>
      </w:r>
    </w:p>
    <w:p>
      <w:pPr>
        <w:tabs>
          <w:tab w:val="left" w:pos="709"/>
        </w:tabs>
        <w:ind w:firstLine="283" w:firstLineChars="118"/>
        <w:rPr>
          <w:rFonts w:cs="Times New Roman"/>
        </w:rPr>
      </w:pPr>
      <w:r>
        <w:rPr>
          <w:rFonts w:cs="Times New Roman"/>
        </w:rPr>
        <w:t>(9)</w:t>
      </w:r>
      <w:r>
        <w:rPr>
          <w:rFonts w:cs="Times New Roman"/>
        </w:rPr>
        <w:tab/>
      </w:r>
      <w:r>
        <w:rPr>
          <w:rFonts w:cs="Times New Roman"/>
        </w:rPr>
        <w:t>设备开箱及搬运中的违规操作。</w:t>
      </w:r>
    </w:p>
    <w:p>
      <w:pPr>
        <w:tabs>
          <w:tab w:val="left" w:pos="709"/>
          <w:tab w:val="left" w:pos="993"/>
        </w:tabs>
        <w:ind w:firstLine="283" w:firstLineChars="118"/>
        <w:rPr>
          <w:rFonts w:cs="Times New Roman"/>
        </w:rPr>
      </w:pPr>
      <w:r>
        <w:rPr>
          <w:rFonts w:cs="Times New Roman"/>
        </w:rPr>
        <w:t>(10)铁件加工及安装过程中的违规操作。</w:t>
      </w:r>
    </w:p>
    <w:p>
      <w:pPr>
        <w:tabs>
          <w:tab w:val="left" w:pos="709"/>
        </w:tabs>
        <w:ind w:firstLine="283" w:firstLineChars="118"/>
        <w:rPr>
          <w:rFonts w:cs="Times New Roman"/>
        </w:rPr>
      </w:pPr>
      <w:r>
        <w:rPr>
          <w:rFonts w:cs="Times New Roman"/>
        </w:rPr>
        <w:t>(11) 未做好设备接地。</w:t>
      </w:r>
    </w:p>
    <w:p>
      <w:pPr>
        <w:tabs>
          <w:tab w:val="left" w:pos="709"/>
        </w:tabs>
        <w:ind w:firstLine="283" w:firstLineChars="118"/>
        <w:rPr>
          <w:rFonts w:cs="Times New Roman"/>
        </w:rPr>
      </w:pPr>
      <w:r>
        <w:rPr>
          <w:rFonts w:cs="Times New Roman"/>
        </w:rPr>
        <w:t>(12) 设备加电测试中的违规操作。</w:t>
      </w:r>
    </w:p>
    <w:p>
      <w:pPr>
        <w:ind w:firstLine="480"/>
        <w:rPr>
          <w:rFonts w:cs="Times New Roman"/>
        </w:rPr>
      </w:pPr>
    </w:p>
    <w:p>
      <w:pPr>
        <w:ind w:firstLine="480"/>
        <w:rPr>
          <w:rFonts w:cs="Times New Roman"/>
        </w:rPr>
      </w:pPr>
      <w:r>
        <w:rPr>
          <w:rFonts w:cs="Times New Roman"/>
        </w:rPr>
        <w:t>设备安装所涉及的工程安全风险点如下：</w:t>
      </w:r>
    </w:p>
    <w:p>
      <w:pPr>
        <w:ind w:firstLine="240" w:firstLineChars="100"/>
        <w:rPr>
          <w:rFonts w:cs="Times New Roman"/>
        </w:rPr>
      </w:pPr>
      <w:r>
        <w:rPr>
          <w:rFonts w:cs="Times New Roman"/>
        </w:rPr>
        <w:t>（1）技术风险：通信设备安装工程所采用的设备都是正规厂家出厂的合格产品，在技术性能上都达到合同规定的要求，技术风险较低。</w:t>
      </w:r>
    </w:p>
    <w:p>
      <w:pPr>
        <w:ind w:firstLine="240" w:firstLineChars="100"/>
        <w:rPr>
          <w:rFonts w:cs="Times New Roman"/>
        </w:rPr>
      </w:pPr>
      <w:r>
        <w:rPr>
          <w:rFonts w:cs="Times New Roman"/>
        </w:rPr>
        <w:t>（2）管理风险：项目施工单位有差异，施工人员有流动，尤其无线基站设备安装工程的施工单位因为分工不同，分为前期施工单位、后期施工单位，在多单位配合施工中，存在协同工作风险，施工单位应做好项目实施计划，建设单位（监理单位）应做好项目实施的过程把控。</w:t>
      </w:r>
    </w:p>
    <w:p>
      <w:pPr>
        <w:ind w:firstLine="240" w:firstLineChars="100"/>
        <w:rPr>
          <w:rFonts w:cs="Times New Roman"/>
        </w:rPr>
      </w:pPr>
      <w:r>
        <w:rPr>
          <w:rFonts w:cs="Times New Roman"/>
        </w:rPr>
        <w:t>（3）资源风险：无线基站设备安装工程涉及在居民区进行作业建设，在站址资源获取或续租上存在资源风险。</w:t>
      </w:r>
    </w:p>
    <w:p>
      <w:pPr>
        <w:ind w:firstLine="240" w:firstLineChars="100"/>
        <w:rPr>
          <w:rFonts w:cs="Times New Roman"/>
        </w:rPr>
      </w:pPr>
      <w:r>
        <w:rPr>
          <w:rFonts w:cs="Times New Roman"/>
        </w:rPr>
        <w:t>（4）质量风险：施工中工艺水平差异，存在施工质量偏差风险，施工工人对环境或设备不熟悉存在操作风险。</w:t>
      </w:r>
    </w:p>
    <w:p>
      <w:pPr>
        <w:ind w:firstLine="240" w:firstLineChars="100"/>
        <w:rPr>
          <w:rFonts w:cs="Times New Roman"/>
        </w:rPr>
      </w:pPr>
      <w:r>
        <w:rPr>
          <w:rFonts w:cs="Times New Roman"/>
        </w:rPr>
        <w:t>（5）环境风险：施工地点有正在运行的设备，在运行安全方面可能存在风险；施工粉尘对在网运行的设备也可能存在危害；有限空间作业时可能存在有毒有害气体等对施工人员的危害。其中无线基站设备安装施工所处居民区，存在业主干扰施工的可能，因此存在业主干扰风险。</w:t>
      </w:r>
    </w:p>
    <w:p>
      <w:pPr>
        <w:ind w:firstLine="480"/>
        <w:rPr>
          <w:rFonts w:cs="Times New Roman"/>
        </w:rPr>
      </w:pPr>
      <w:r>
        <w:rPr>
          <w:rFonts w:cs="Times New Roman"/>
        </w:rPr>
        <w:t>此外，具体设备安装施工作业中主要涉及设备安装前开箱、在已有运行设备的机房内作业、需现场进行铁件加工及安装、机架安装和线缆布放以及设备加电测试等关键环节，存在较多涉电作业。</w:t>
      </w:r>
    </w:p>
    <w:p>
      <w:pPr>
        <w:ind w:firstLine="480"/>
        <w:rPr>
          <w:rFonts w:cs="Times New Roman"/>
        </w:rPr>
      </w:pPr>
      <w:r>
        <w:rPr>
          <w:rFonts w:cs="Times New Roman"/>
        </w:rPr>
        <w:t>涉及危险因素主要有如下几项：</w:t>
      </w:r>
    </w:p>
    <w:p>
      <w:pPr>
        <w:ind w:firstLine="283" w:firstLineChars="118"/>
        <w:rPr>
          <w:rFonts w:cs="Times New Roman"/>
        </w:rPr>
      </w:pPr>
      <w:r>
        <w:rPr>
          <w:rFonts w:cs="Times New Roman"/>
        </w:rPr>
        <w:t>（1）设备开箱及搬运中的违规操作</w:t>
      </w:r>
    </w:p>
    <w:p>
      <w:pPr>
        <w:ind w:firstLine="283" w:firstLineChars="118"/>
        <w:rPr>
          <w:rFonts w:cs="Times New Roman"/>
        </w:rPr>
      </w:pPr>
      <w:r>
        <w:rPr>
          <w:rFonts w:cs="Times New Roman"/>
        </w:rPr>
        <w:t>（2）未做好设备抗震加固</w:t>
      </w:r>
    </w:p>
    <w:p>
      <w:pPr>
        <w:ind w:firstLine="283" w:firstLineChars="118"/>
        <w:rPr>
          <w:rFonts w:cs="Times New Roman"/>
        </w:rPr>
      </w:pPr>
      <w:r>
        <w:rPr>
          <w:rFonts w:cs="Times New Roman"/>
        </w:rPr>
        <w:t>（3）在已有运行设备的机房内作业时违规操作</w:t>
      </w:r>
    </w:p>
    <w:p>
      <w:pPr>
        <w:ind w:firstLine="283" w:firstLineChars="118"/>
        <w:rPr>
          <w:rFonts w:cs="Times New Roman"/>
        </w:rPr>
      </w:pPr>
      <w:r>
        <w:rPr>
          <w:rFonts w:cs="Times New Roman"/>
        </w:rPr>
        <w:t>（4）各项涉电作业中的违规操做</w:t>
      </w:r>
    </w:p>
    <w:p>
      <w:pPr>
        <w:ind w:firstLine="283" w:firstLineChars="118"/>
        <w:rPr>
          <w:rFonts w:cs="Times New Roman"/>
        </w:rPr>
      </w:pPr>
      <w:r>
        <w:rPr>
          <w:rFonts w:cs="Times New Roman"/>
        </w:rPr>
        <w:t>（5）铁件加工及安装过程中的违规操作</w:t>
      </w:r>
    </w:p>
    <w:p>
      <w:pPr>
        <w:ind w:firstLine="283" w:firstLineChars="118"/>
        <w:rPr>
          <w:rFonts w:cs="Times New Roman"/>
        </w:rPr>
      </w:pPr>
      <w:r>
        <w:rPr>
          <w:rFonts w:cs="Times New Roman"/>
        </w:rPr>
        <w:t>（6）机架安装和线缆布放过程中的违规操作</w:t>
      </w:r>
    </w:p>
    <w:p>
      <w:pPr>
        <w:ind w:firstLine="283" w:firstLineChars="118"/>
        <w:rPr>
          <w:rFonts w:cs="Times New Roman"/>
        </w:rPr>
      </w:pPr>
      <w:r>
        <w:rPr>
          <w:rFonts w:cs="Times New Roman"/>
        </w:rPr>
        <w:t>（7）未做好设备接地</w:t>
      </w:r>
    </w:p>
    <w:p>
      <w:pPr>
        <w:ind w:firstLine="283" w:firstLineChars="118"/>
        <w:rPr>
          <w:rFonts w:cs="Times New Roman"/>
        </w:rPr>
      </w:pPr>
      <w:r>
        <w:rPr>
          <w:rFonts w:cs="Times New Roman"/>
        </w:rPr>
        <w:t>（8）设备加电测试中的违规操作</w:t>
      </w:r>
    </w:p>
    <w:p>
      <w:pPr>
        <w:pStyle w:val="6"/>
        <w:rPr>
          <w:rFonts w:cs="Times New Roman"/>
        </w:rPr>
      </w:pPr>
      <w:r>
        <w:rPr>
          <w:rFonts w:cs="Times New Roman"/>
        </w:rPr>
        <w:t>天馈线安装易发问题及安全风险点说明</w:t>
      </w:r>
    </w:p>
    <w:p>
      <w:pPr>
        <w:ind w:firstLine="480"/>
        <w:rPr>
          <w:rFonts w:cs="Times New Roman"/>
        </w:rPr>
      </w:pPr>
      <w:r>
        <w:rPr>
          <w:rFonts w:cs="Times New Roman"/>
        </w:rPr>
        <w:t>天馈线安装易发问题主要有：</w:t>
      </w:r>
    </w:p>
    <w:p>
      <w:pPr>
        <w:tabs>
          <w:tab w:val="left" w:pos="709"/>
        </w:tabs>
        <w:ind w:firstLine="283" w:firstLineChars="118"/>
        <w:rPr>
          <w:rFonts w:cs="Times New Roman"/>
        </w:rPr>
      </w:pPr>
      <w:r>
        <w:rPr>
          <w:rFonts w:cs="Times New Roman"/>
        </w:rPr>
        <w:t>(1)</w:t>
      </w:r>
      <w:r>
        <w:rPr>
          <w:rFonts w:cs="Times New Roman"/>
        </w:rPr>
        <w:tab/>
      </w:r>
      <w:r>
        <w:rPr>
          <w:rFonts w:cs="Times New Roman"/>
        </w:rPr>
        <w:t>在塔上安装天馈线工作中，没有认真检查塔的固定方式及其牢固程度，盲目上塔作业。</w:t>
      </w:r>
    </w:p>
    <w:p>
      <w:pPr>
        <w:tabs>
          <w:tab w:val="left" w:pos="709"/>
        </w:tabs>
        <w:ind w:firstLine="283" w:firstLineChars="118"/>
        <w:rPr>
          <w:rFonts w:cs="Times New Roman"/>
        </w:rPr>
      </w:pPr>
      <w:r>
        <w:rPr>
          <w:rFonts w:cs="Times New Roman"/>
        </w:rPr>
        <w:t>(2)</w:t>
      </w:r>
      <w:r>
        <w:rPr>
          <w:rFonts w:cs="Times New Roman"/>
        </w:rPr>
        <w:tab/>
      </w:r>
      <w:r>
        <w:rPr>
          <w:rFonts w:cs="Times New Roman"/>
        </w:rPr>
        <w:t>上、下塔时没按规定路由攀登，人与人之间距离小于3m，行动速度过快。</w:t>
      </w:r>
    </w:p>
    <w:p>
      <w:pPr>
        <w:tabs>
          <w:tab w:val="left" w:pos="709"/>
        </w:tabs>
        <w:ind w:firstLine="283" w:firstLineChars="118"/>
        <w:rPr>
          <w:rFonts w:cs="Times New Roman"/>
        </w:rPr>
      </w:pPr>
      <w:r>
        <w:rPr>
          <w:rFonts w:cs="Times New Roman"/>
        </w:rPr>
        <w:t>(3)</w:t>
      </w:r>
      <w:r>
        <w:rPr>
          <w:rFonts w:cs="Times New Roman"/>
        </w:rPr>
        <w:tab/>
      </w:r>
      <w:r>
        <w:rPr>
          <w:rFonts w:cs="Times New Roman"/>
        </w:rPr>
        <w:t>天馈线安装现场未对作业面所处危险环境进行提示。</w:t>
      </w:r>
    </w:p>
    <w:p>
      <w:pPr>
        <w:tabs>
          <w:tab w:val="left" w:pos="709"/>
        </w:tabs>
        <w:ind w:firstLine="283" w:firstLineChars="118"/>
        <w:rPr>
          <w:rFonts w:cs="Times New Roman"/>
        </w:rPr>
      </w:pPr>
      <w:r>
        <w:rPr>
          <w:rFonts w:cs="Times New Roman"/>
        </w:rPr>
        <w:t>(4)</w:t>
      </w:r>
      <w:r>
        <w:rPr>
          <w:rFonts w:cs="Times New Roman"/>
        </w:rPr>
        <w:tab/>
      </w:r>
      <w:r>
        <w:rPr>
          <w:rFonts w:cs="Times New Roman"/>
        </w:rPr>
        <w:t>天馈线安装现场处于市区内时未对作业现场封闭围挡。</w:t>
      </w:r>
    </w:p>
    <w:p>
      <w:pPr>
        <w:tabs>
          <w:tab w:val="left" w:pos="709"/>
        </w:tabs>
        <w:ind w:firstLine="283" w:firstLineChars="118"/>
        <w:rPr>
          <w:rFonts w:cs="Times New Roman"/>
        </w:rPr>
      </w:pPr>
      <w:r>
        <w:rPr>
          <w:rFonts w:cs="Times New Roman"/>
        </w:rPr>
        <w:t>(5)</w:t>
      </w:r>
      <w:r>
        <w:rPr>
          <w:rFonts w:cs="Times New Roman"/>
        </w:rPr>
        <w:tab/>
      </w:r>
      <w:r>
        <w:rPr>
          <w:rFonts w:cs="Times New Roman"/>
        </w:rPr>
        <w:t>天馈线安装现场没有设置围栏，导致非作业人员误入作业区。</w:t>
      </w:r>
    </w:p>
    <w:p>
      <w:pPr>
        <w:tabs>
          <w:tab w:val="left" w:pos="709"/>
        </w:tabs>
        <w:ind w:firstLine="283" w:firstLineChars="118"/>
        <w:rPr>
          <w:rFonts w:cs="Times New Roman"/>
        </w:rPr>
      </w:pPr>
      <w:r>
        <w:rPr>
          <w:rFonts w:cs="Times New Roman"/>
        </w:rPr>
        <w:t>(6)</w:t>
      </w:r>
      <w:r>
        <w:rPr>
          <w:rFonts w:cs="Times New Roman"/>
        </w:rPr>
        <w:tab/>
      </w:r>
      <w:r>
        <w:rPr>
          <w:rFonts w:cs="Times New Roman"/>
        </w:rPr>
        <w:t>天线基础的混凝土浇筑没有达到养护期和强度要求就进行天线安装。</w:t>
      </w:r>
    </w:p>
    <w:p>
      <w:pPr>
        <w:tabs>
          <w:tab w:val="left" w:pos="709"/>
        </w:tabs>
        <w:ind w:firstLine="283" w:firstLineChars="118"/>
        <w:rPr>
          <w:rFonts w:cs="Times New Roman"/>
        </w:rPr>
      </w:pPr>
      <w:r>
        <w:rPr>
          <w:rFonts w:cs="Times New Roman"/>
        </w:rPr>
        <w:t>(7)</w:t>
      </w:r>
      <w:r>
        <w:rPr>
          <w:rFonts w:cs="Times New Roman"/>
        </w:rPr>
        <w:tab/>
      </w:r>
      <w:r>
        <w:rPr>
          <w:rFonts w:cs="Times New Roman"/>
        </w:rPr>
        <w:t>天馈线安装工程涉电作业中的违规操做。</w:t>
      </w:r>
    </w:p>
    <w:p>
      <w:pPr>
        <w:tabs>
          <w:tab w:val="left" w:pos="709"/>
        </w:tabs>
        <w:ind w:firstLine="283" w:firstLineChars="118"/>
        <w:rPr>
          <w:rFonts w:cs="Times New Roman"/>
        </w:rPr>
      </w:pPr>
      <w:r>
        <w:rPr>
          <w:rFonts w:cs="Times New Roman"/>
        </w:rPr>
        <w:t>(8)</w:t>
      </w:r>
      <w:r>
        <w:rPr>
          <w:rFonts w:cs="Times New Roman"/>
        </w:rPr>
        <w:tab/>
      </w:r>
      <w:r>
        <w:rPr>
          <w:rFonts w:cs="Times New Roman"/>
        </w:rPr>
        <w:t>天馈线安装工程涉及在电力设施附近施工时未做好人员防护。</w:t>
      </w:r>
    </w:p>
    <w:p>
      <w:pPr>
        <w:tabs>
          <w:tab w:val="left" w:pos="709"/>
        </w:tabs>
        <w:ind w:firstLine="283" w:firstLineChars="118"/>
        <w:rPr>
          <w:rFonts w:cs="Times New Roman"/>
        </w:rPr>
      </w:pPr>
      <w:r>
        <w:rPr>
          <w:rFonts w:cs="Times New Roman"/>
        </w:rPr>
        <w:t>(9)</w:t>
      </w:r>
      <w:r>
        <w:rPr>
          <w:rFonts w:cs="Times New Roman"/>
        </w:rPr>
        <w:tab/>
      </w:r>
      <w:r>
        <w:rPr>
          <w:rFonts w:cs="Times New Roman"/>
        </w:rPr>
        <w:t>作业人员在上塔调整天馈线前，网优工程师没有向上塔人员进行技术交底，没有确认所调整的平台、天线和调整的内容。</w:t>
      </w:r>
    </w:p>
    <w:p>
      <w:pPr>
        <w:ind w:firstLine="480"/>
        <w:rPr>
          <w:rFonts w:cs="Times New Roman"/>
        </w:rPr>
      </w:pPr>
      <w:r>
        <w:rPr>
          <w:rFonts w:cs="Times New Roman"/>
        </w:rPr>
        <w:t>天馈线安装所涉及的工程安全风险点如下：</w:t>
      </w:r>
    </w:p>
    <w:p>
      <w:pPr>
        <w:ind w:firstLine="240" w:firstLineChars="100"/>
        <w:rPr>
          <w:rFonts w:cs="Times New Roman"/>
        </w:rPr>
      </w:pPr>
      <w:r>
        <w:rPr>
          <w:rFonts w:cs="Times New Roman"/>
        </w:rPr>
        <w:t>（1）技术风险：天馈线系统安装工程，采用的天线、馈线及相关附属设备都是正规厂家出厂的合格产品，在技术性能上都达到合同规定的要求，技术风险较低。</w:t>
      </w:r>
    </w:p>
    <w:p>
      <w:pPr>
        <w:ind w:firstLine="480"/>
        <w:rPr>
          <w:rFonts w:cs="Times New Roman"/>
        </w:rPr>
      </w:pPr>
      <w:r>
        <w:rPr>
          <w:rFonts w:cs="Times New Roman"/>
        </w:rPr>
        <w:t>同时也应该根据各施工地区地理和环境情况不同（如大风、高腐蚀、高寒、多雨），选取相应技术指标和具有针对性的天馈线产品。</w:t>
      </w:r>
    </w:p>
    <w:p>
      <w:pPr>
        <w:ind w:firstLine="240" w:firstLineChars="100"/>
        <w:rPr>
          <w:rFonts w:cs="Times New Roman"/>
        </w:rPr>
      </w:pPr>
      <w:r>
        <w:rPr>
          <w:rFonts w:cs="Times New Roman"/>
        </w:rPr>
        <w:t>（2）管理风险：天馈线系统安装工程涉及基础铁塔、抱杆、简易杆（灯杆）等基础设施，施工单位因为分工不同，分为前期施工单位、后期施工单位，在多单位需求沟通及施工配合中，存在协同工作风险，各施工单位应做好项目实施计划，建设单位（监理单位）应做好项目实施的过程把控。</w:t>
      </w:r>
    </w:p>
    <w:p>
      <w:pPr>
        <w:ind w:firstLine="480"/>
        <w:rPr>
          <w:rFonts w:cs="Times New Roman"/>
        </w:rPr>
      </w:pPr>
      <w:r>
        <w:rPr>
          <w:rFonts w:cs="Times New Roman"/>
        </w:rPr>
        <w:t>当租用第三方基础铁塔、抱杆、简易杆（灯杆）等基础设施时，应在第三方确定我方天馈线系统安装技术要求后，协同施工单位做好项目实施工作。</w:t>
      </w:r>
    </w:p>
    <w:p>
      <w:pPr>
        <w:ind w:firstLine="240" w:firstLineChars="100"/>
        <w:rPr>
          <w:rFonts w:cs="Times New Roman"/>
        </w:rPr>
      </w:pPr>
      <w:r>
        <w:rPr>
          <w:rFonts w:cs="Times New Roman"/>
        </w:rPr>
        <w:t>（3）资源风险：天馈线系统安装工程涉及在建筑天面、外墙、简易杆（灯杆）或铁塔上进行施工作业建设，在基础资源获取或续租上存在资源风险。</w:t>
      </w:r>
    </w:p>
    <w:p>
      <w:pPr>
        <w:ind w:firstLine="240" w:firstLineChars="100"/>
        <w:rPr>
          <w:rFonts w:cs="Times New Roman"/>
        </w:rPr>
      </w:pPr>
      <w:r>
        <w:rPr>
          <w:rFonts w:cs="Times New Roman"/>
        </w:rPr>
        <w:t>（4）质量风险：天馈线系统安装工程在施工中存在工艺水平差异，存在施工质量偏差风险；施工工人对环境或设备不熟悉存在操作风险。</w:t>
      </w:r>
    </w:p>
    <w:p>
      <w:pPr>
        <w:ind w:firstLine="240" w:firstLineChars="100"/>
        <w:rPr>
          <w:rFonts w:cs="Times New Roman"/>
        </w:rPr>
      </w:pPr>
      <w:r>
        <w:rPr>
          <w:rFonts w:cs="Times New Roman"/>
        </w:rPr>
        <w:t>（5）环境风险：天馈线系统安装工程涉及塔上、杆上及建筑物顶部或外墙的施工作业，恶劣天气条件会增加施工作业中的风险，且施工地点很可能存在已有开通的天馈系统正在运行中，一方面，存在施工登高作业风险；另一方面，在运行安全方面也可能存在风险。还可能存在施工所处物业业主干扰施工的业主干扰风险。</w:t>
      </w:r>
    </w:p>
    <w:p>
      <w:pPr>
        <w:ind w:firstLine="480"/>
        <w:rPr>
          <w:rFonts w:cs="Times New Roman"/>
        </w:rPr>
      </w:pPr>
      <w:r>
        <w:rPr>
          <w:rFonts w:cs="Times New Roman"/>
        </w:rPr>
        <w:t>此外，具体设备安装施工作业中主要涉及施工人员上下塔、上下杆、天馈线等物件吊装作业、塔上、杆上安装天线馈线作业、天馈线防雷接地、天馈线测试及调整等关键环节，存在较多塔上、杆上、塔周或登高作业。</w:t>
      </w:r>
    </w:p>
    <w:p>
      <w:pPr>
        <w:ind w:firstLine="480"/>
        <w:rPr>
          <w:rFonts w:cs="Times New Roman"/>
        </w:rPr>
      </w:pPr>
      <w:r>
        <w:rPr>
          <w:rFonts w:cs="Times New Roman"/>
        </w:rPr>
        <w:t>涉及危险因素主要有如下几项：</w:t>
      </w:r>
    </w:p>
    <w:p>
      <w:pPr>
        <w:ind w:firstLine="283" w:firstLineChars="118"/>
        <w:rPr>
          <w:rFonts w:cs="Times New Roman"/>
        </w:rPr>
      </w:pPr>
      <w:r>
        <w:rPr>
          <w:rFonts w:cs="Times New Roman"/>
        </w:rPr>
        <w:t>（1）上下塔、上下杆中的违规操做；</w:t>
      </w:r>
    </w:p>
    <w:p>
      <w:pPr>
        <w:ind w:firstLine="283" w:firstLineChars="118"/>
        <w:rPr>
          <w:rFonts w:cs="Times New Roman"/>
        </w:rPr>
      </w:pPr>
      <w:r>
        <w:rPr>
          <w:rFonts w:cs="Times New Roman"/>
        </w:rPr>
        <w:t>（2）未做好安装现场的施工防护；</w:t>
      </w:r>
    </w:p>
    <w:p>
      <w:pPr>
        <w:ind w:firstLine="283" w:firstLineChars="118"/>
        <w:rPr>
          <w:rFonts w:cs="Times New Roman"/>
        </w:rPr>
      </w:pPr>
      <w:r>
        <w:rPr>
          <w:rFonts w:cs="Times New Roman"/>
        </w:rPr>
        <w:t>（3）天馈线等物件吊装时的违规操作；</w:t>
      </w:r>
    </w:p>
    <w:p>
      <w:pPr>
        <w:ind w:firstLine="283" w:firstLineChars="118"/>
        <w:rPr>
          <w:rFonts w:cs="Times New Roman"/>
        </w:rPr>
      </w:pPr>
      <w:r>
        <w:rPr>
          <w:rFonts w:cs="Times New Roman"/>
        </w:rPr>
        <w:t>（4）塔上、杆上安装天线馈线时的违规操作；</w:t>
      </w:r>
    </w:p>
    <w:p>
      <w:pPr>
        <w:ind w:firstLine="283" w:firstLineChars="118"/>
        <w:rPr>
          <w:rFonts w:cs="Times New Roman"/>
        </w:rPr>
      </w:pPr>
      <w:r>
        <w:rPr>
          <w:rFonts w:cs="Times New Roman"/>
        </w:rPr>
        <w:t>（5）未按规范要求做好天馈线防雷接地；</w:t>
      </w:r>
    </w:p>
    <w:p>
      <w:pPr>
        <w:ind w:firstLine="283" w:firstLineChars="118"/>
        <w:rPr>
          <w:rFonts w:cs="Times New Roman"/>
        </w:rPr>
      </w:pPr>
      <w:r>
        <w:rPr>
          <w:rFonts w:cs="Times New Roman"/>
        </w:rPr>
        <w:t>（6）渉电作业中的违规操做；</w:t>
      </w:r>
    </w:p>
    <w:p>
      <w:pPr>
        <w:ind w:firstLine="283" w:firstLineChars="118"/>
        <w:rPr>
          <w:rFonts w:cs="Times New Roman"/>
        </w:rPr>
      </w:pPr>
      <w:r>
        <w:rPr>
          <w:rFonts w:cs="Times New Roman"/>
        </w:rPr>
        <w:t>（7）天馈线测试及调整等规划优化过程中的违规操作。</w:t>
      </w:r>
    </w:p>
    <w:p>
      <w:pPr>
        <w:pStyle w:val="5"/>
        <w:rPr>
          <w:rFonts w:cs="Times New Roman"/>
        </w:rPr>
      </w:pPr>
      <w:bookmarkStart w:id="1010" w:name="_Toc2868732"/>
      <w:bookmarkStart w:id="1011" w:name="_Toc424051624"/>
      <w:bookmarkStart w:id="1012" w:name="_Toc452131650"/>
      <w:bookmarkStart w:id="1013" w:name="_Toc447204580"/>
      <w:bookmarkStart w:id="1014" w:name="_Toc447202531"/>
      <w:bookmarkStart w:id="1015" w:name="_Toc1685"/>
      <w:r>
        <w:rPr>
          <w:rFonts w:cs="Times New Roman"/>
        </w:rPr>
        <w:t>安全生产要求</w:t>
      </w:r>
      <w:bookmarkEnd w:id="1010"/>
      <w:bookmarkEnd w:id="1011"/>
      <w:bookmarkEnd w:id="1012"/>
      <w:bookmarkEnd w:id="1013"/>
      <w:bookmarkEnd w:id="1014"/>
      <w:bookmarkEnd w:id="1015"/>
    </w:p>
    <w:p>
      <w:pPr>
        <w:ind w:firstLine="480"/>
        <w:rPr>
          <w:rFonts w:cs="Times New Roman"/>
        </w:rPr>
      </w:pPr>
      <w:r>
        <w:rPr>
          <w:rFonts w:cs="Times New Roman"/>
        </w:rPr>
        <w:t>通信生产过程中应全程遵照执行《通信建设工程安全生产操作规范（YD 5201- 2014）》的各项具体要求，严格执行，确保通信系统的正常运行，促进通信建设事业发展。</w:t>
      </w:r>
    </w:p>
    <w:p>
      <w:pPr>
        <w:ind w:firstLine="480"/>
        <w:rPr>
          <w:rFonts w:cs="Times New Roman"/>
        </w:rPr>
      </w:pPr>
      <w:r>
        <w:rPr>
          <w:rFonts w:cs="Times New Roman"/>
        </w:rPr>
        <w:t>本设计文件中作为重点详细列出相关强制性条文的要求，其他要求请参照《通信建设工程安全生产操作规范（YD 5201- 2014）》的详细内容。</w:t>
      </w:r>
    </w:p>
    <w:p>
      <w:pPr>
        <w:pStyle w:val="6"/>
        <w:rPr>
          <w:rFonts w:cs="Times New Roman"/>
        </w:rPr>
      </w:pPr>
      <w:r>
        <w:rPr>
          <w:rFonts w:cs="Times New Roman"/>
        </w:rPr>
        <w:t>基本规定</w:t>
      </w:r>
    </w:p>
    <w:p>
      <w:pPr>
        <w:ind w:firstLine="480"/>
        <w:rPr>
          <w:rFonts w:cs="Times New Roman"/>
        </w:rPr>
      </w:pPr>
      <w:r>
        <w:rPr>
          <w:rFonts w:cs="Times New Roman"/>
        </w:rPr>
        <w:t>根据通信行业标准文件YD 5201-2014《通信建设工程安全生产操作规范》“3 基本规定”的具体条款，施工现场、施工驻地、野外作业、施工现场防火须严格遵守各项强制性要求。</w:t>
      </w:r>
    </w:p>
    <w:p>
      <w:pPr>
        <w:ind w:firstLine="480"/>
        <w:rPr>
          <w:rFonts w:cs="Times New Roman"/>
        </w:rPr>
      </w:pPr>
      <w:r>
        <w:rPr>
          <w:rFonts w:cs="Times New Roman"/>
        </w:rPr>
        <w:t>根据通信行业标准文件YD 5201-2014第3.2.1条要求，在公路、高速公路、铁路、桥梁、通航的河道等特殊地段和城镇交通繁忙、人员密集处施工时必须设置有关部门规定的警示标志，必要时派专人警戒看守。</w:t>
      </w:r>
    </w:p>
    <w:p>
      <w:pPr>
        <w:ind w:firstLine="480"/>
        <w:rPr>
          <w:rFonts w:cs="Times New Roman"/>
        </w:rPr>
      </w:pPr>
      <w:r>
        <w:rPr>
          <w:rFonts w:cs="Times New Roman"/>
        </w:rPr>
        <w:t>根据通信行业标准文件YD 5201-2014第3.2.8条要求，从事高处作业的施工人员，必须正确使用安全带、安全帽。</w:t>
      </w:r>
    </w:p>
    <w:p>
      <w:pPr>
        <w:ind w:firstLine="480"/>
        <w:rPr>
          <w:rFonts w:cs="Times New Roman"/>
        </w:rPr>
      </w:pPr>
      <w:r>
        <w:rPr>
          <w:rFonts w:cs="Times New Roman"/>
        </w:rPr>
        <w:t>根据通信行业标准文件YD 5201-2014第3.3.1条要求，临时搭建的员工宿舍、办公室等设施必须安全、牢固、符合消防安全规定，严禁使用易燃材料搭建临时设施。临时设施严禁靠近电力设施，与高压架空电线的水平距离必须符合相关规定。</w:t>
      </w:r>
    </w:p>
    <w:p>
      <w:pPr>
        <w:ind w:firstLine="480"/>
        <w:rPr>
          <w:rFonts w:cs="Times New Roman"/>
        </w:rPr>
      </w:pPr>
      <w:r>
        <w:rPr>
          <w:rFonts w:cs="Times New Roman"/>
        </w:rPr>
        <w:t>根据通信行业标准文件YD 5201-2014第3.4.7条要求，严禁在有塌方、山洪、泥石流危害的地方搭建住房或搭设帐篷。</w:t>
      </w:r>
    </w:p>
    <w:p>
      <w:pPr>
        <w:ind w:firstLine="480"/>
        <w:rPr>
          <w:rFonts w:cs="Times New Roman"/>
        </w:rPr>
      </w:pPr>
      <w:r>
        <w:rPr>
          <w:rFonts w:cs="Times New Roman"/>
        </w:rPr>
        <w:t>根据通信行业标准文件YD 5201-2014第3.4.10条要求，在江河、湖泊及水库等水面上作业时，必须携带必要的救生用具，作业人员必须穿好救生衣，听从统一指挥。</w:t>
      </w:r>
    </w:p>
    <w:p>
      <w:pPr>
        <w:ind w:firstLine="480"/>
        <w:rPr>
          <w:rFonts w:cs="Times New Roman"/>
        </w:rPr>
      </w:pPr>
      <w:r>
        <w:rPr>
          <w:rFonts w:cs="Times New Roman"/>
        </w:rPr>
        <w:t>根据通信行业标准文件YD 5201-2014第3.6.6条要求，在光（电）缆进线室、水线房、机房、无（有）人站、木工场地、仓库、林区、草原等处施工时，严禁烟火。施工车辆进入禁火区必须加装排气管防火装置。</w:t>
      </w:r>
    </w:p>
    <w:p>
      <w:pPr>
        <w:ind w:firstLine="480"/>
        <w:rPr>
          <w:rFonts w:cs="Times New Roman"/>
        </w:rPr>
      </w:pPr>
      <w:r>
        <w:rPr>
          <w:rFonts w:cs="Times New Roman"/>
        </w:rPr>
        <w:t>根据通信行业标准文件YD 5201-2014第3.6.8条要求，电缆等各种贯穿物穿越墙壁或楼板时，必须按要求用防火封堵材料封堵洞口。</w:t>
      </w:r>
    </w:p>
    <w:p>
      <w:pPr>
        <w:ind w:firstLine="480"/>
        <w:rPr>
          <w:rFonts w:cs="Times New Roman"/>
        </w:rPr>
      </w:pPr>
      <w:r>
        <w:rPr>
          <w:rFonts w:cs="Times New Roman"/>
        </w:rPr>
        <w:t>根据通信行业标准文件YD 5201-2014第3.6.9条要求，电气设备着火时，必须首先切断电源。</w:t>
      </w:r>
    </w:p>
    <w:p>
      <w:pPr>
        <w:pStyle w:val="6"/>
        <w:rPr>
          <w:rFonts w:cs="Times New Roman"/>
        </w:rPr>
      </w:pPr>
      <w:r>
        <w:rPr>
          <w:rFonts w:cs="Times New Roman"/>
        </w:rPr>
        <w:t>工器具和仪表相关安全规定</w:t>
      </w:r>
    </w:p>
    <w:p>
      <w:pPr>
        <w:ind w:firstLine="480"/>
        <w:rPr>
          <w:rFonts w:cs="Times New Roman"/>
        </w:rPr>
      </w:pPr>
      <w:r>
        <w:rPr>
          <w:rFonts w:cs="Times New Roman"/>
        </w:rPr>
        <w:t>根据通信行业标准文件YD 5201-2014《通信建设工程安全生产操作规范》“4 工器具和仪表”的具体条款，施工过程中工器具和仪表在选择和使用中须严格遵守各项强制性要求。</w:t>
      </w:r>
    </w:p>
    <w:p>
      <w:pPr>
        <w:ind w:firstLine="480"/>
        <w:rPr>
          <w:rFonts w:cs="Times New Roman"/>
        </w:rPr>
      </w:pPr>
      <w:r>
        <w:rPr>
          <w:rFonts w:cs="Times New Roman"/>
        </w:rPr>
        <w:t>根据通信行业标准文件YD 5201-2014第4.3.9条要求，伸缩梯伸缩长度严禁超过其规定值。在电力线、电力设备下方或危险范围内，严禁使用金属伸缩梯。</w:t>
      </w:r>
    </w:p>
    <w:p>
      <w:pPr>
        <w:ind w:firstLine="480"/>
        <w:rPr>
          <w:rFonts w:cs="Times New Roman"/>
        </w:rPr>
      </w:pPr>
      <w:r>
        <w:rPr>
          <w:rFonts w:cs="Times New Roman"/>
        </w:rPr>
        <w:t>根据通信行业标准文件YD 5201-2014第4.4.1条要求，配发的安全带必须符合国家标准。严禁用一般绳索、电线等代替安全带。</w:t>
      </w:r>
    </w:p>
    <w:p>
      <w:pPr>
        <w:ind w:firstLine="480"/>
        <w:rPr>
          <w:rFonts w:cs="Times New Roman"/>
        </w:rPr>
      </w:pPr>
      <w:r>
        <w:rPr>
          <w:rFonts w:cs="Times New Roman"/>
        </w:rPr>
        <w:t>根据通信行业标准文件YD 5201-2014第4.6.4条要求，在易燃、易爆场所，必须使用防爆式用电工具。</w:t>
      </w:r>
    </w:p>
    <w:p>
      <w:pPr>
        <w:ind w:firstLine="480"/>
        <w:rPr>
          <w:rFonts w:cs="Times New Roman"/>
        </w:rPr>
      </w:pPr>
      <w:r>
        <w:rPr>
          <w:rFonts w:cs="Times New Roman"/>
        </w:rPr>
        <w:t>根据通信行业标准文件YD 5201-2014第4.7.1条要求，焊接现场必须有防火措施，严禁存放易燃、易爆物品及其他杂物。禁火区内严禁焊接、切割作业，需要焊接、切割时，必须把工件移到指定的安全区内进行。当必须在禁火区内焊接、切割作业时，必须报请有关部门批准，办理许可证，采取可靠防护措施后，方可作业。</w:t>
      </w:r>
    </w:p>
    <w:p>
      <w:pPr>
        <w:ind w:firstLine="480"/>
        <w:rPr>
          <w:rFonts w:cs="Times New Roman"/>
        </w:rPr>
      </w:pPr>
      <w:r>
        <w:rPr>
          <w:rFonts w:cs="Times New Roman"/>
        </w:rPr>
        <w:t>根据通信行业标准文件YD 5201-2014第4.7.5条要求，焊接带电的设备时必须先断电。焊接贮存过易燃、易爆、有毒物质的容器或管道，必须清洗干净，并将所有孔口打开。严禁在带压力的容器或管道上施焊。</w:t>
      </w:r>
    </w:p>
    <w:p>
      <w:pPr>
        <w:ind w:firstLine="480"/>
        <w:rPr>
          <w:rFonts w:cs="Times New Roman"/>
        </w:rPr>
      </w:pPr>
      <w:r>
        <w:rPr>
          <w:rFonts w:cs="Times New Roman"/>
        </w:rPr>
        <w:t>根据通信行业标准文件YD 5201-2014第4.7.7条要求，使用氧气瓶应符合以下要求:</w:t>
      </w:r>
    </w:p>
    <w:p>
      <w:pPr>
        <w:ind w:firstLine="480"/>
        <w:rPr>
          <w:rFonts w:cs="Times New Roman"/>
        </w:rPr>
      </w:pPr>
      <w:r>
        <w:rPr>
          <w:rFonts w:cs="Times New Roman"/>
        </w:rPr>
        <w:t>1.严禁接触或靠近油脂物和其他易燃品。严禁氧气瓶的瓶阀及其附件沾附油脂。手臂或手套上沾附油污后，严禁操作氧气瓶。</w:t>
      </w:r>
    </w:p>
    <w:p>
      <w:pPr>
        <w:ind w:firstLine="480"/>
        <w:rPr>
          <w:rFonts w:cs="Times New Roman"/>
        </w:rPr>
      </w:pPr>
      <w:r>
        <w:rPr>
          <w:rFonts w:cs="Times New Roman"/>
        </w:rPr>
        <w:t>2.严禁与乙炔等可燃气体的气瓶放在一起或同车运输。</w:t>
      </w:r>
    </w:p>
    <w:p>
      <w:pPr>
        <w:ind w:firstLine="480"/>
        <w:rPr>
          <w:rFonts w:cs="Times New Roman"/>
        </w:rPr>
      </w:pPr>
      <w:r>
        <w:rPr>
          <w:rFonts w:cs="Times New Roman"/>
        </w:rPr>
        <w:t>3.瓶体必须安装防震圈，轻装轻卸，严禁剧烈震动和撞击;储运时，瓶阀必须戴安全帽。</w:t>
      </w:r>
    </w:p>
    <w:p>
      <w:pPr>
        <w:ind w:firstLine="480"/>
        <w:rPr>
          <w:rFonts w:cs="Times New Roman"/>
        </w:rPr>
      </w:pPr>
      <w:r>
        <w:rPr>
          <w:rFonts w:cs="Times New Roman"/>
        </w:rPr>
        <w:t>4.严禁手掌满握手柄开启瓶阀，且开启速度应缓慢。开启瓶阀时，人应在瓶体一侧且人体和面部应避开出气口及减压气的表盘。</w:t>
      </w:r>
    </w:p>
    <w:p>
      <w:pPr>
        <w:ind w:firstLine="480"/>
        <w:rPr>
          <w:rFonts w:cs="Times New Roman"/>
        </w:rPr>
      </w:pPr>
      <w:r>
        <w:rPr>
          <w:rFonts w:cs="Times New Roman"/>
        </w:rPr>
        <w:t>5 .严禁使用气压表指示不正常的氧气瓶。严禁氧气瓶内气体用尽。</w:t>
      </w:r>
    </w:p>
    <w:p>
      <w:pPr>
        <w:ind w:firstLine="480"/>
        <w:rPr>
          <w:rFonts w:cs="Times New Roman"/>
        </w:rPr>
      </w:pPr>
      <w:r>
        <w:rPr>
          <w:rFonts w:cs="Times New Roman"/>
        </w:rPr>
        <w:t>6 .氧气瓶必须直立存放和使用。</w:t>
      </w:r>
    </w:p>
    <w:p>
      <w:pPr>
        <w:ind w:firstLine="480"/>
        <w:rPr>
          <w:rFonts w:cs="Times New Roman"/>
        </w:rPr>
      </w:pPr>
      <w:r>
        <w:rPr>
          <w:rFonts w:cs="Times New Roman"/>
        </w:rPr>
        <w:t>7.检查压缩气瓶有无漏气时，应用浓肥皂水，严禁使用明火。</w:t>
      </w:r>
    </w:p>
    <w:p>
      <w:pPr>
        <w:ind w:firstLine="480"/>
        <w:rPr>
          <w:rFonts w:cs="Times New Roman"/>
        </w:rPr>
      </w:pPr>
      <w:r>
        <w:rPr>
          <w:rFonts w:cs="Times New Roman"/>
        </w:rPr>
        <w:t>8.氧气瓶严禁靠近热源或在阳光下长时间曝晒。</w:t>
      </w:r>
    </w:p>
    <w:p>
      <w:pPr>
        <w:ind w:firstLine="480"/>
        <w:rPr>
          <w:rFonts w:cs="Times New Roman"/>
        </w:rPr>
      </w:pPr>
      <w:r>
        <w:rPr>
          <w:rFonts w:cs="Times New Roman"/>
        </w:rPr>
        <w:t>根据通信行业标准文件YD 5201-2014第4.7.8条要求，使用乙炔瓶应符合以下要求:</w:t>
      </w:r>
    </w:p>
    <w:p>
      <w:pPr>
        <w:ind w:firstLine="480"/>
        <w:rPr>
          <w:rFonts w:cs="Times New Roman"/>
        </w:rPr>
      </w:pPr>
      <w:r>
        <w:rPr>
          <w:rFonts w:cs="Times New Roman"/>
        </w:rPr>
        <w:t>1.检查有无漏气应用浓肥皂水，严禁使用明火。</w:t>
      </w:r>
    </w:p>
    <w:p>
      <w:pPr>
        <w:ind w:firstLine="480"/>
        <w:rPr>
          <w:rFonts w:cs="Times New Roman"/>
        </w:rPr>
      </w:pPr>
      <w:r>
        <w:rPr>
          <w:rFonts w:cs="Times New Roman"/>
        </w:rPr>
        <w:t>2.乙炔瓶必须直立存放和使用。</w:t>
      </w:r>
    </w:p>
    <w:p>
      <w:pPr>
        <w:ind w:firstLine="480"/>
        <w:rPr>
          <w:rFonts w:cs="Times New Roman"/>
        </w:rPr>
      </w:pPr>
      <w:r>
        <w:rPr>
          <w:rFonts w:cs="Times New Roman"/>
        </w:rPr>
        <w:t>3.焊接时，乙炔瓶5m内严禁存放易燃、易爆物质。</w:t>
      </w:r>
    </w:p>
    <w:p>
      <w:pPr>
        <w:ind w:firstLine="480"/>
        <w:rPr>
          <w:rFonts w:cs="Times New Roman"/>
        </w:rPr>
      </w:pPr>
      <w:r>
        <w:rPr>
          <w:rFonts w:cs="Times New Roman"/>
        </w:rPr>
        <w:t>根据通信行业标准文件YD 5201-2014第4.8.1条要求，严禁使用汽油、煤油洗刷空气压缩机曲轴箱、滤清器或空气通路的零部件。严禁曝晒、烧烤储气罐。</w:t>
      </w:r>
    </w:p>
    <w:p>
      <w:pPr>
        <w:ind w:firstLine="480"/>
        <w:rPr>
          <w:rFonts w:cs="Times New Roman"/>
        </w:rPr>
      </w:pPr>
      <w:r>
        <w:rPr>
          <w:rFonts w:cs="Times New Roman"/>
        </w:rPr>
        <w:t>根据通信行业标准文件YD 5201-2014第4.8.4条要求，严禁发电机的排气口直对易燃物品。严禁在发电机周围吸烟或使用明火。作业人员必须远离发电机排出的热废气。严禁在密闭环境下使用发电机。</w:t>
      </w:r>
    </w:p>
    <w:p>
      <w:pPr>
        <w:ind w:firstLine="480"/>
        <w:rPr>
          <w:rFonts w:cs="Times New Roman"/>
        </w:rPr>
      </w:pPr>
      <w:r>
        <w:rPr>
          <w:rFonts w:cs="Times New Roman"/>
        </w:rPr>
        <w:t>根据通信行业标准文件YD 5201-2014第4.8.7条要求，潜水泵保护接地及漏电保护装置必须完好。</w:t>
      </w:r>
    </w:p>
    <w:p>
      <w:pPr>
        <w:ind w:firstLine="480"/>
        <w:rPr>
          <w:rFonts w:cs="Times New Roman"/>
        </w:rPr>
      </w:pPr>
      <w:r>
        <w:rPr>
          <w:rFonts w:cs="Times New Roman"/>
        </w:rPr>
        <w:t>根据通信行业标准文件YD 5201-2014第4.8.10条要求，搅拌机检修或清洗时，必须先切断电源，并把料斗固定好。进入滚筒内检查、清洗，必须设专人监护。</w:t>
      </w:r>
    </w:p>
    <w:p>
      <w:pPr>
        <w:ind w:firstLine="480"/>
        <w:rPr>
          <w:rFonts w:cs="Times New Roman"/>
        </w:rPr>
      </w:pPr>
      <w:r>
        <w:rPr>
          <w:rFonts w:cs="Times New Roman"/>
        </w:rPr>
        <w:t>根据通信行业标准文件YD 5201-2014第4.8.12条要求，使用砂轮切割机时，严禁在砂轮切割片侧面磨削。</w:t>
      </w:r>
    </w:p>
    <w:p>
      <w:pPr>
        <w:ind w:firstLine="480"/>
        <w:rPr>
          <w:rFonts w:cs="Times New Roman"/>
        </w:rPr>
      </w:pPr>
      <w:r>
        <w:rPr>
          <w:rFonts w:cs="Times New Roman"/>
        </w:rPr>
        <w:t>根据通信行业标准文件YD 5201-2014第4.8.14条要求，严禁用挖掘机运输器材。</w:t>
      </w:r>
    </w:p>
    <w:p>
      <w:pPr>
        <w:ind w:firstLine="480"/>
        <w:rPr>
          <w:rFonts w:cs="Times New Roman"/>
        </w:rPr>
      </w:pPr>
      <w:r>
        <w:rPr>
          <w:rFonts w:cs="Times New Roman"/>
        </w:rPr>
        <w:t>根据通信行业标准文件YD 5201-2014第4.8.17条要求，推土机在行驶和作业过程中严禁上下人，停车或在坡道上熄火时必须将刀铲落地。</w:t>
      </w:r>
    </w:p>
    <w:p>
      <w:pPr>
        <w:ind w:firstLine="480"/>
        <w:rPr>
          <w:rFonts w:cs="Times New Roman"/>
        </w:rPr>
      </w:pPr>
      <w:r>
        <w:rPr>
          <w:rFonts w:cs="Times New Roman"/>
        </w:rPr>
        <w:t>根据通信行业标准文件YD 5201-2014第4.8.19条要求，使用吊车吊装物件时，严禁有人在吊臂下停留或走动，严禁在吊具上或被吊物上站人，严禁用人在吊装物上配重、找平衡。严禁用吊车拖拉物件或车辆。严禁吊拉固定在地面或设备上的物件。</w:t>
      </w:r>
    </w:p>
    <w:p>
      <w:pPr>
        <w:pStyle w:val="6"/>
        <w:rPr>
          <w:rFonts w:cs="Times New Roman"/>
        </w:rPr>
      </w:pPr>
      <w:r>
        <w:rPr>
          <w:rFonts w:cs="Times New Roman"/>
        </w:rPr>
        <w:t>器材储运相关安全规定</w:t>
      </w:r>
    </w:p>
    <w:p>
      <w:pPr>
        <w:ind w:firstLine="480"/>
        <w:rPr>
          <w:rFonts w:cs="Times New Roman"/>
        </w:rPr>
      </w:pPr>
      <w:r>
        <w:rPr>
          <w:rFonts w:cs="Times New Roman"/>
        </w:rPr>
        <w:t>根据通信行业标准文件YD 5201-2014《通信建设工程安全生产操作规范》“5 器材储运”第5.5.6条要求，易燃、易爆化学危险品和压缩可燃气体容器等必须按其性质分类放置并保持安全距离。易燃、易爆物必须远离火源和高温。严禁将危险品存放在职工宿舍或办公室内。废弃的易燃、易爆化学危险品必须按照相关部门的有关规定及时清除。</w:t>
      </w:r>
    </w:p>
    <w:p>
      <w:pPr>
        <w:pStyle w:val="6"/>
        <w:rPr>
          <w:rFonts w:cs="Times New Roman"/>
        </w:rPr>
      </w:pPr>
      <w:r>
        <w:rPr>
          <w:rFonts w:cs="Times New Roman"/>
        </w:rPr>
        <w:t>通信设备工程相关安全规定</w:t>
      </w:r>
    </w:p>
    <w:p>
      <w:pPr>
        <w:ind w:firstLine="480"/>
        <w:rPr>
          <w:rFonts w:cs="Times New Roman"/>
          <w:highlight w:val="darkGray"/>
        </w:rPr>
      </w:pPr>
      <w:r>
        <w:rPr>
          <w:rFonts w:cs="Times New Roman"/>
        </w:rPr>
        <w:t>根据通信行业标准文件YD 5201-2014《通信建设工程安全生产操作规范》“8 通信设备工程”第8.1.3条要求，严禁擅自关断运行设备的电源开关。</w:t>
      </w:r>
    </w:p>
    <w:p>
      <w:pPr>
        <w:ind w:firstLine="480"/>
        <w:rPr>
          <w:rFonts w:cs="Times New Roman"/>
          <w:color w:val="FF0000"/>
        </w:rPr>
      </w:pPr>
    </w:p>
    <w:p>
      <w:pPr>
        <w:pStyle w:val="5"/>
        <w:rPr>
          <w:rFonts w:cs="Times New Roman"/>
        </w:rPr>
      </w:pPr>
      <w:bookmarkStart w:id="1016" w:name="_Toc18925"/>
      <w:bookmarkStart w:id="1017" w:name="_Toc2868733"/>
      <w:bookmarkStart w:id="1018" w:name="_Toc433817709"/>
      <w:bookmarkStart w:id="1019" w:name="_Toc447202533"/>
      <w:bookmarkStart w:id="1020" w:name="_Toc447204582"/>
      <w:bookmarkStart w:id="1021" w:name="_Toc452131652"/>
      <w:r>
        <w:rPr>
          <w:rFonts w:cs="Times New Roman"/>
        </w:rPr>
        <w:t>安全生产保障措施</w:t>
      </w:r>
      <w:bookmarkEnd w:id="1016"/>
      <w:bookmarkEnd w:id="1017"/>
      <w:bookmarkEnd w:id="1018"/>
      <w:bookmarkEnd w:id="1019"/>
      <w:bookmarkEnd w:id="1020"/>
      <w:bookmarkEnd w:id="1021"/>
    </w:p>
    <w:p>
      <w:pPr>
        <w:pStyle w:val="6"/>
        <w:rPr>
          <w:rFonts w:cs="Times New Roman"/>
        </w:rPr>
      </w:pPr>
      <w:r>
        <w:rPr>
          <w:rFonts w:cs="Times New Roman"/>
        </w:rPr>
        <w:t>安全生产培训</w:t>
      </w:r>
    </w:p>
    <w:p>
      <w:pPr>
        <w:ind w:firstLine="240" w:firstLineChars="100"/>
        <w:rPr>
          <w:rFonts w:cs="Times New Roman"/>
        </w:rPr>
      </w:pPr>
      <w:r>
        <w:rPr>
          <w:rFonts w:cs="Times New Roman"/>
        </w:rPr>
        <w:t>（1）安全教育对象是生产经营企业所有员工，包括各级领导、管理人员及所有施工人员。安全培训教育是企业所有人员上岗的先决条件，任何人都不可以例外。</w:t>
      </w:r>
    </w:p>
    <w:p>
      <w:pPr>
        <w:ind w:firstLine="240" w:firstLineChars="100"/>
        <w:rPr>
          <w:rFonts w:cs="Times New Roman"/>
        </w:rPr>
      </w:pPr>
      <w:r>
        <w:rPr>
          <w:rFonts w:cs="Times New Roman"/>
        </w:rPr>
        <w:t>（2）生产经营单位要负责购置、编印安全生产书籍、刊物、影像资料等发放给员工。</w:t>
      </w:r>
    </w:p>
    <w:p>
      <w:pPr>
        <w:ind w:firstLine="240" w:firstLineChars="100"/>
        <w:rPr>
          <w:rFonts w:cs="Times New Roman"/>
        </w:rPr>
      </w:pPr>
      <w:r>
        <w:rPr>
          <w:rFonts w:cs="Times New Roman"/>
        </w:rPr>
        <w:t>（3）生产经营单位要长期、定期举办安全生产展览和知识竞赛活动，设立陈列室、教育室等，组织员工参观、学习。全过程的安全教育是确保职工安全生产的基本前提条件。</w:t>
      </w:r>
    </w:p>
    <w:p>
      <w:pPr>
        <w:ind w:firstLine="240" w:firstLineChars="100"/>
        <w:rPr>
          <w:rFonts w:cs="Times New Roman"/>
        </w:rPr>
      </w:pPr>
      <w:r>
        <w:rPr>
          <w:rFonts w:cs="Times New Roman"/>
        </w:rPr>
        <w:t>（4）生产经营单位要定期召开安全生产专题会议，谈论近期生产安全工作重点，防范事故发生。</w:t>
      </w:r>
    </w:p>
    <w:p>
      <w:pPr>
        <w:ind w:firstLine="240" w:firstLineChars="100"/>
        <w:rPr>
          <w:rFonts w:cs="Times New Roman"/>
        </w:rPr>
      </w:pPr>
      <w:r>
        <w:rPr>
          <w:rFonts w:cs="Times New Roman"/>
        </w:rPr>
        <w:t>（5）安全教育培训要具有针对性。通信施工生产设计的专业广、内容多，受地形、水文、气象等环境影响大，因此必须具有针对性、专业性的培训，生产经营单位要组织专职安检人员、生产管理人员等参加安全生产专业培训。</w:t>
      </w:r>
    </w:p>
    <w:p>
      <w:pPr>
        <w:ind w:firstLine="240" w:firstLineChars="100"/>
        <w:rPr>
          <w:rFonts w:cs="Times New Roman"/>
        </w:rPr>
      </w:pPr>
      <w:r>
        <w:rPr>
          <w:rFonts w:cs="Times New Roman"/>
        </w:rPr>
        <w:t>（6）特种作业人员上岗作业前，必须进行专门的安全技术和操作技能的培训教育，增强安全生产意识，并获得证书后方可上岗。</w:t>
      </w:r>
    </w:p>
    <w:p>
      <w:pPr>
        <w:ind w:firstLine="240" w:firstLineChars="100"/>
        <w:rPr>
          <w:rFonts w:cs="Times New Roman"/>
        </w:rPr>
      </w:pPr>
      <w:r>
        <w:rPr>
          <w:rFonts w:cs="Times New Roman"/>
        </w:rPr>
        <w:t>（7）生产经营单位要制定安全应急救援预案，下发给所有员工学习，并组织预案演练，增强员工应对突发生产安全事故的经验。</w:t>
      </w:r>
    </w:p>
    <w:p>
      <w:pPr>
        <w:pStyle w:val="6"/>
        <w:rPr>
          <w:rFonts w:cs="Times New Roman"/>
        </w:rPr>
      </w:pPr>
      <w:r>
        <w:rPr>
          <w:rFonts w:cs="Times New Roman"/>
        </w:rPr>
        <w:t>安全生产保障措施</w:t>
      </w:r>
    </w:p>
    <w:p>
      <w:pPr>
        <w:ind w:firstLine="480"/>
        <w:rPr>
          <w:rFonts w:cs="Times New Roman"/>
        </w:rPr>
      </w:pPr>
      <w:r>
        <w:rPr>
          <w:rFonts w:cs="Times New Roman"/>
        </w:rPr>
        <w:t>针对可能存在的技术风险，工程开展前期应全面做好技术储备和专业技术培训，应在设备采购等环节严控设备技术功能与性能品质，确保设备合格入网。</w:t>
      </w:r>
    </w:p>
    <w:p>
      <w:pPr>
        <w:ind w:firstLine="480"/>
        <w:rPr>
          <w:rFonts w:cs="Times New Roman"/>
        </w:rPr>
      </w:pPr>
      <w:r>
        <w:rPr>
          <w:rFonts w:cs="Times New Roman"/>
        </w:rPr>
        <w:t>针对管理协调中可能面临的风险，在项目开展初期即制定出完备的管理控制流程，明确各单位责任分工，确定责任人和接口人，明确上下级联系沟通机制，具体任务与责任明确到人，并在项目实施过程中严格执行管理流程。</w:t>
      </w:r>
    </w:p>
    <w:p>
      <w:pPr>
        <w:ind w:firstLine="480"/>
        <w:rPr>
          <w:rFonts w:cs="Times New Roman"/>
        </w:rPr>
      </w:pPr>
      <w:r>
        <w:rPr>
          <w:rFonts w:cs="Times New Roman"/>
        </w:rPr>
        <w:t>针对施工现场及周边环境可能给施工人员及周围居民造成危害的风险（如在居民稠密区施工、重要交通路口施工、桥上施工、铁路沿线施工、加油加气站附近施工、变电站附近施工、重要仓库附近施工等），应从技术措施上防止安全事故的发生，施工现场凡有危险存在的地方，一律设置安全警示标志；警示标志要规范，要符合我国安全标志规定；有危险性较大的部位、地段、除设制警示标志外，还应派专人看守。</w:t>
      </w:r>
    </w:p>
    <w:p>
      <w:pPr>
        <w:ind w:firstLine="480"/>
        <w:rPr>
          <w:rFonts w:cs="Times New Roman"/>
        </w:rPr>
      </w:pPr>
      <w:r>
        <w:rPr>
          <w:rFonts w:cs="Times New Roman"/>
        </w:rPr>
        <w:t>针对季节性施工所面临的风险，为保证作业人员及设备设施的安全，制定相应的技术措施：如夏季要制定防暑降温措施，雨季制定防雨、防滑、防触电、防雷电、防坍塌措施，冬季要制定防风、防火、防冻、防滑、防煤气中毒措施，在沿海地区施工要有防台风、防大潮措施，在山区施工要有防山体滑坡、防泥石流措施，在森林区施工要有防火措施，在沙漠地区施工要有防干渴、防迷失措施，还有防野兽，虫蛇叮咬措施等。</w:t>
      </w:r>
    </w:p>
    <w:p>
      <w:pPr>
        <w:ind w:firstLine="480"/>
        <w:rPr>
          <w:rFonts w:cs="Times New Roman"/>
        </w:rPr>
      </w:pPr>
      <w:r>
        <w:rPr>
          <w:rFonts w:cs="Times New Roman"/>
        </w:rPr>
        <w:t>针对施工现场可能发生的各类常见事故，应制定明确的安全急救措施，最大程度的保护生命财产安全。例如发生机械伤害事故时的措施主要有：</w:t>
      </w:r>
      <w:r>
        <w:rPr>
          <w:rFonts w:hint="eastAsia" w:ascii="宋体" w:hAnsi="宋体" w:cs="宋体"/>
        </w:rPr>
        <w:t>①</w:t>
      </w:r>
      <w:r>
        <w:rPr>
          <w:rFonts w:cs="Times New Roman"/>
        </w:rPr>
        <w:t>应先切断动力，再根据伤害部位和伤害性质进行处理。</w:t>
      </w:r>
      <w:r>
        <w:rPr>
          <w:rFonts w:hint="eastAsia" w:ascii="宋体" w:hAnsi="宋体" w:cs="宋体"/>
        </w:rPr>
        <w:t>②</w:t>
      </w:r>
      <w:r>
        <w:rPr>
          <w:rFonts w:cs="Times New Roman"/>
        </w:rPr>
        <w:t>根据现场人员被伤害的程度，通知急救医院，对轻伤人员进行现场救护。</w:t>
      </w:r>
      <w:r>
        <w:rPr>
          <w:rFonts w:hint="eastAsia" w:ascii="宋体" w:hAnsi="宋体" w:cs="宋体"/>
        </w:rPr>
        <w:t>③</w:t>
      </w:r>
      <w:r>
        <w:rPr>
          <w:rFonts w:cs="Times New Roman"/>
        </w:rPr>
        <w:t>对重伤者不明伤害部位和伤害程度的，不应盲目进行抢救，以免引起更严重的伤害。发生火灾、爆炸事故的措施主要有：</w:t>
      </w:r>
      <w:r>
        <w:rPr>
          <w:rFonts w:hint="eastAsia" w:ascii="宋体" w:hAnsi="宋体" w:cs="宋体"/>
        </w:rPr>
        <w:t>①</w:t>
      </w:r>
      <w:r>
        <w:rPr>
          <w:rFonts w:cs="Times New Roman"/>
        </w:rPr>
        <w:t>紧急事故发生后，发现人应立即报警，启动应急预案。</w:t>
      </w:r>
      <w:r>
        <w:rPr>
          <w:rFonts w:hint="eastAsia" w:ascii="宋体" w:hAnsi="宋体" w:cs="宋体"/>
        </w:rPr>
        <w:t>②</w:t>
      </w:r>
      <w:r>
        <w:rPr>
          <w:rFonts w:cs="Times New Roman"/>
        </w:rPr>
        <w:t>按事先制定的应急方案立即进行自救。</w:t>
      </w:r>
      <w:r>
        <w:rPr>
          <w:rFonts w:hint="eastAsia" w:ascii="宋体" w:hAnsi="宋体" w:cs="宋体"/>
        </w:rPr>
        <w:t>③</w:t>
      </w:r>
      <w:r>
        <w:rPr>
          <w:rFonts w:cs="Times New Roman"/>
        </w:rPr>
        <w:t>疏通事发现场道路，保证救援工作顺利进行；疏散人群至安全地带。</w:t>
      </w:r>
      <w:r>
        <w:rPr>
          <w:rFonts w:hint="eastAsia" w:ascii="宋体" w:hAnsi="宋体" w:cs="宋体"/>
        </w:rPr>
        <w:t>④</w:t>
      </w:r>
      <w:r>
        <w:rPr>
          <w:rFonts w:cs="Times New Roman"/>
        </w:rPr>
        <w:t>在急救过程中，遇有威胁人身安全情况时，应首先确保人身安全，迅速组织脱离危险区域或场所后，再采取急救措施。</w:t>
      </w:r>
      <w:r>
        <w:rPr>
          <w:rFonts w:hint="eastAsia" w:ascii="宋体" w:hAnsi="宋体" w:cs="宋体"/>
        </w:rPr>
        <w:t>⑤</w:t>
      </w:r>
      <w:r>
        <w:rPr>
          <w:rFonts w:cs="Times New Roman"/>
        </w:rPr>
        <w:t>切断电源、可燃气体(液体)的输送，防止事态扩大。</w:t>
      </w:r>
    </w:p>
    <w:p>
      <w:pPr>
        <w:ind w:firstLine="199" w:firstLineChars="83"/>
        <w:rPr>
          <w:rFonts w:cs="Times New Roman"/>
        </w:rPr>
      </w:pPr>
      <w:r>
        <w:rPr>
          <w:rFonts w:cs="Times New Roman"/>
        </w:rPr>
        <w:t>（1）设备安装安全风险因素及保障措施</w:t>
      </w:r>
    </w:p>
    <w:p>
      <w:pPr>
        <w:ind w:firstLine="480"/>
        <w:rPr>
          <w:rFonts w:cs="Times New Roman"/>
        </w:rPr>
      </w:pPr>
      <w:r>
        <w:rPr>
          <w:rFonts w:cs="Times New Roman"/>
        </w:rPr>
        <w:t>本工程设备安装所涉及施工作业中的风险因素及安全措施如下：</w:t>
      </w:r>
    </w:p>
    <w:p>
      <w:pPr>
        <w:pStyle w:val="603"/>
        <w:rPr>
          <w:rFonts w:cs="Times New Roman"/>
        </w:rPr>
      </w:pPr>
      <w:r>
        <w:rPr>
          <w:rFonts w:cs="Times New Roman"/>
        </w:rPr>
        <w:t>表21.4-1  设备安装安全风险因素及保障措施</w:t>
      </w:r>
    </w:p>
    <w:tbl>
      <w:tblPr>
        <w:tblStyle w:val="63"/>
        <w:tblW w:w="8660" w:type="dxa"/>
        <w:tblInd w:w="95" w:type="dxa"/>
        <w:tblLayout w:type="fixed"/>
        <w:tblCellMar>
          <w:top w:w="0" w:type="dxa"/>
          <w:left w:w="108" w:type="dxa"/>
          <w:bottom w:w="0" w:type="dxa"/>
          <w:right w:w="108" w:type="dxa"/>
        </w:tblCellMar>
      </w:tblPr>
      <w:tblGrid>
        <w:gridCol w:w="722"/>
        <w:gridCol w:w="708"/>
        <w:gridCol w:w="851"/>
        <w:gridCol w:w="851"/>
        <w:gridCol w:w="5528"/>
      </w:tblGrid>
      <w:tr>
        <w:tblPrEx>
          <w:tblCellMar>
            <w:top w:w="0" w:type="dxa"/>
            <w:left w:w="108" w:type="dxa"/>
            <w:bottom w:w="0" w:type="dxa"/>
            <w:right w:w="108" w:type="dxa"/>
          </w:tblCellMar>
        </w:tblPrEx>
        <w:trPr>
          <w:cantSplit/>
          <w:trHeight w:val="285" w:hRule="atLeast"/>
          <w:tblHeader/>
        </w:trPr>
        <w:tc>
          <w:tcPr>
            <w:tcW w:w="722"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施工作业内容</w:t>
            </w:r>
          </w:p>
        </w:tc>
        <w:tc>
          <w:tcPr>
            <w:tcW w:w="708" w:type="dxa"/>
            <w:tcBorders>
              <w:top w:val="single" w:color="auto" w:sz="4" w:space="0"/>
              <w:left w:val="nil"/>
              <w:bottom w:val="single" w:color="auto" w:sz="4" w:space="0"/>
              <w:right w:val="single" w:color="auto" w:sz="4" w:space="0"/>
            </w:tcBorders>
            <w:shd w:val="clear" w:color="auto" w:fill="auto"/>
            <w:vAlign w:val="center"/>
          </w:tcPr>
          <w:p>
            <w:pPr>
              <w:pStyle w:val="290"/>
            </w:pPr>
            <w:r>
              <w:t>风险因素序号</w:t>
            </w:r>
          </w:p>
        </w:tc>
        <w:tc>
          <w:tcPr>
            <w:tcW w:w="851" w:type="dxa"/>
            <w:tcBorders>
              <w:top w:val="single" w:color="auto" w:sz="4" w:space="0"/>
              <w:left w:val="nil"/>
              <w:bottom w:val="single" w:color="auto" w:sz="4" w:space="0"/>
              <w:right w:val="single" w:color="auto" w:sz="4" w:space="0"/>
            </w:tcBorders>
            <w:shd w:val="clear" w:color="auto" w:fill="auto"/>
            <w:vAlign w:val="center"/>
          </w:tcPr>
          <w:p>
            <w:pPr>
              <w:pStyle w:val="290"/>
            </w:pPr>
            <w:r>
              <w:t>风险因素</w:t>
            </w:r>
          </w:p>
        </w:tc>
        <w:tc>
          <w:tcPr>
            <w:tcW w:w="851" w:type="dxa"/>
            <w:tcBorders>
              <w:top w:val="single" w:color="auto" w:sz="4" w:space="0"/>
              <w:left w:val="nil"/>
              <w:bottom w:val="single" w:color="auto" w:sz="4" w:space="0"/>
              <w:right w:val="single" w:color="auto" w:sz="4" w:space="0"/>
            </w:tcBorders>
            <w:shd w:val="clear" w:color="auto" w:fill="auto"/>
            <w:vAlign w:val="center"/>
          </w:tcPr>
          <w:p>
            <w:pPr>
              <w:pStyle w:val="290"/>
            </w:pPr>
            <w:r>
              <w:t>风险说明</w:t>
            </w:r>
          </w:p>
        </w:tc>
        <w:tc>
          <w:tcPr>
            <w:tcW w:w="5528" w:type="dxa"/>
            <w:tcBorders>
              <w:top w:val="single" w:color="auto" w:sz="4" w:space="0"/>
              <w:left w:val="nil"/>
              <w:bottom w:val="single" w:color="auto" w:sz="4" w:space="0"/>
              <w:right w:val="single" w:color="auto" w:sz="4" w:space="0"/>
            </w:tcBorders>
            <w:shd w:val="clear" w:color="auto" w:fill="auto"/>
            <w:vAlign w:val="center"/>
          </w:tcPr>
          <w:p>
            <w:pPr>
              <w:pStyle w:val="290"/>
            </w:pPr>
            <w:r>
              <w:t>风险处置方案及安全施工说明</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人工搬运时，男工每人不超过40kg，女工每人不超过20kg。</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需要支搭脚手架时，脚手架要支搭牢固，脚后板要放置平稳，木板厚度不得少于5厘米，跨度不得超过2米，不得支“探头板”。</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设备安装</w:t>
            </w:r>
          </w:p>
        </w:tc>
        <w:tc>
          <w:tcPr>
            <w:tcW w:w="708" w:type="dxa"/>
            <w:tcBorders>
              <w:top w:val="nil"/>
              <w:left w:val="nil"/>
              <w:bottom w:val="nil"/>
              <w:right w:val="single" w:color="auto" w:sz="4" w:space="0"/>
            </w:tcBorders>
            <w:shd w:val="clear" w:color="auto" w:fill="auto"/>
            <w:vAlign w:val="center"/>
          </w:tcPr>
          <w:p>
            <w:pPr>
              <w:pStyle w:val="290"/>
            </w:pPr>
            <w:r>
              <w:t>1</w:t>
            </w:r>
          </w:p>
        </w:tc>
        <w:tc>
          <w:tcPr>
            <w:tcW w:w="851" w:type="dxa"/>
            <w:tcBorders>
              <w:top w:val="nil"/>
              <w:left w:val="nil"/>
              <w:bottom w:val="nil"/>
              <w:right w:val="single" w:color="auto" w:sz="4" w:space="0"/>
            </w:tcBorders>
            <w:shd w:val="clear" w:color="auto" w:fill="auto"/>
            <w:vAlign w:val="center"/>
          </w:tcPr>
          <w:p>
            <w:pPr>
              <w:pStyle w:val="290"/>
            </w:pPr>
            <w:r>
              <w:t>设备重量大，登高作业</w:t>
            </w:r>
          </w:p>
        </w:tc>
        <w:tc>
          <w:tcPr>
            <w:tcW w:w="851" w:type="dxa"/>
            <w:tcBorders>
              <w:top w:val="nil"/>
              <w:left w:val="nil"/>
              <w:bottom w:val="nil"/>
              <w:right w:val="single" w:color="auto" w:sz="4" w:space="0"/>
            </w:tcBorders>
            <w:shd w:val="clear" w:color="auto" w:fill="auto"/>
            <w:vAlign w:val="center"/>
          </w:tcPr>
          <w:p>
            <w:pPr>
              <w:pStyle w:val="290"/>
            </w:pPr>
            <w:r>
              <w:t>易跌倒、砸伤、跌落等</w:t>
            </w:r>
          </w:p>
        </w:tc>
        <w:tc>
          <w:tcPr>
            <w:tcW w:w="5528" w:type="dxa"/>
            <w:tcBorders>
              <w:top w:val="nil"/>
              <w:left w:val="nil"/>
              <w:bottom w:val="single" w:color="auto" w:sz="4" w:space="0"/>
              <w:right w:val="single" w:color="auto" w:sz="4" w:space="0"/>
            </w:tcBorders>
            <w:shd w:val="clear" w:color="auto" w:fill="auto"/>
            <w:vAlign w:val="center"/>
          </w:tcPr>
          <w:p>
            <w:pPr>
              <w:pStyle w:val="290"/>
            </w:pPr>
            <w:r>
              <w:t>登高作业，严禁脚踩铁架、机架、上线电缆走道；严禁攀登配线架支架；严禁脚踩端子板、弹簧排。</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组立机架时，应铺木板或其他物品，防止机架滑动而伤人；当机架立起后，应立即做临时支撑，防止倾倒。</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放电缆时，不得硬拉并设人看管缆盘，防止盘倒伤人，用剖刀时，应避免划伤手。</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施工现场用电应采用三相五线制的供电方式。用电应符合三级配电结构，即由总配电箱经分配电箱到开关箱。每台用电设备应有各自专用的开关箱，实行“一机一箱”制。</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施工现场用电应遵照批准的临时用电方案，应采用绝缘护套导线，禁止各类用电电缆乱拉乱接、随地缠绕，严禁将线头直接插到插座内使用，防止发生短路事故线路。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安装、巡检、维修、移动或拆除临时用电设备和线路，应由电工完成，并应有人监护。</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检修各类配电箱、开关箱、电气设备和电力工具时，应切断电源，并在总配电箱或者分配电箱一侧悬挂“检修设备，请勿合闸”的警示标牌，必要时设专人看管。</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施工时严禁使用高热灯具（如太阳灯等）做临时照明，严禁使用电热水器、电炉等非施工用电热器具，使用照明灯时，灯具的相线应经过开关控制，不得直接引入灯具。</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施工现场用电</w:t>
            </w:r>
          </w:p>
        </w:tc>
        <w:tc>
          <w:tcPr>
            <w:tcW w:w="708" w:type="dxa"/>
            <w:tcBorders>
              <w:top w:val="nil"/>
              <w:left w:val="nil"/>
              <w:bottom w:val="nil"/>
              <w:right w:val="single" w:color="auto" w:sz="4" w:space="0"/>
            </w:tcBorders>
            <w:shd w:val="clear" w:color="auto" w:fill="auto"/>
            <w:vAlign w:val="center"/>
          </w:tcPr>
          <w:p>
            <w:pPr>
              <w:pStyle w:val="290"/>
            </w:pPr>
            <w:r>
              <w:t>2</w:t>
            </w:r>
          </w:p>
        </w:tc>
        <w:tc>
          <w:tcPr>
            <w:tcW w:w="851" w:type="dxa"/>
            <w:tcBorders>
              <w:top w:val="nil"/>
              <w:left w:val="nil"/>
              <w:bottom w:val="nil"/>
              <w:right w:val="single" w:color="auto" w:sz="4" w:space="0"/>
            </w:tcBorders>
            <w:shd w:val="clear" w:color="auto" w:fill="auto"/>
            <w:vAlign w:val="center"/>
          </w:tcPr>
          <w:p>
            <w:pPr>
              <w:pStyle w:val="290"/>
            </w:pPr>
            <w:r>
              <w:t>用电频繁</w:t>
            </w:r>
          </w:p>
        </w:tc>
        <w:tc>
          <w:tcPr>
            <w:tcW w:w="851" w:type="dxa"/>
            <w:tcBorders>
              <w:top w:val="nil"/>
              <w:left w:val="nil"/>
              <w:bottom w:val="nil"/>
              <w:right w:val="single" w:color="auto" w:sz="4" w:space="0"/>
            </w:tcBorders>
            <w:shd w:val="clear" w:color="auto" w:fill="auto"/>
            <w:vAlign w:val="center"/>
          </w:tcPr>
          <w:p>
            <w:pPr>
              <w:pStyle w:val="290"/>
            </w:pPr>
            <w:r>
              <w:t>易触电</w:t>
            </w:r>
          </w:p>
        </w:tc>
        <w:tc>
          <w:tcPr>
            <w:tcW w:w="5528" w:type="dxa"/>
            <w:tcBorders>
              <w:top w:val="nil"/>
              <w:left w:val="nil"/>
              <w:bottom w:val="single" w:color="auto" w:sz="4" w:space="0"/>
              <w:right w:val="single" w:color="auto" w:sz="4" w:space="0"/>
            </w:tcBorders>
            <w:shd w:val="clear" w:color="auto" w:fill="auto"/>
            <w:vAlign w:val="center"/>
          </w:tcPr>
          <w:p>
            <w:pPr>
              <w:pStyle w:val="290"/>
            </w:pPr>
            <w:r>
              <w:t>使用机房原有电源插座时应核实电源容量，用电设备的总功率不得超过供电负荷。</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当使用吸尘器、冲击钻、电烙铁或调试用的手提电脑等用电设备取电时，严禁使用UPS及通信设备使用的电源插座。</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使用带有金属的工具时，应避免触碰电力线或带电物体。</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在机房施工使用的电气设备，应安装漏电保护器，并标明所需电压。</w:t>
            </w:r>
          </w:p>
        </w:tc>
      </w:tr>
      <w:tr>
        <w:tblPrEx>
          <w:tblCellMar>
            <w:top w:w="0" w:type="dxa"/>
            <w:left w:w="108" w:type="dxa"/>
            <w:bottom w:w="0" w:type="dxa"/>
            <w:right w:w="108" w:type="dxa"/>
          </w:tblCellMar>
        </w:tblPrEx>
        <w:trPr>
          <w:cantSplit/>
          <w:trHeight w:val="85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涉电作业应使用绝缘良好的工具，使用的金属工具如改锥、扳手等应用胶布或绝缘塑料带缠绕，并由专业人员操作。在带电的设备、头柜、分支柜中操作时，不得佩戴金属饰物，并采取有效措施防止螺丝钉、垫片、金属屑等金属材料掉落，以防引起电源短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严禁擅自关断运行设备的电源开关。</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电源线中间严禁有接头。</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严禁在接地线、交流中性线中加装开关或熔断器。</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严禁在接闪器、引下线及其支持件上悬挂信号线及电力线。</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不得将交流电源线挂在通信设备上。</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设备在加电前应进行检查，设备内不得有金属碎屑，电源正负极不得接反和短路，设备保护地线应引接良好，各级电源熔断器和空气开关规格应符合设计和设备的技术要求。</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设备加电时，应逐级加电，逐级测量。</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插拔机盘、模块时应配戴接地良好的防静电手环。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测试仪表应接地，测量时仪表不得过载。</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插拔电源熔断器应使用专用工具，不得用其他工具代替。</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光纤激光不得正对眼睛</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插销板、电烙铁、电锤、行灯及手电钻等设备的电源线电源接线应绝缘良好，要布放合理，避免作业员踢碰或绊倒，并不得挂在通信设备上。</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铁架、机架及高凳上，不准存放工具和器材。工作需要必须往高凳上放工具或器材时，人离开时必须随手取下；当搬移高凳时，应先检查上面有无工具和器材。</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在运行设备顶部操作时，应对运行设备采取防护措施，避免工具、螺丝等金属物品落入机柜内。</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作业时，施工作业人员不得将有锋刃的工具插人腰间或放在衣服口袋内。运输或存放这些工具应平放，锋刃口不可朝上或向外，放人工具袋时刃口应向下。</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长条形工具或较大的工具应平放。长条形工具不得靠墙、汽车或电杆倚立。</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传递工具时，不得上扔下掷。</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使用手锤、榔头时不应戴手套，抡锤人对面不得站人。铁锤木柄应牢固，木柄与锤头连接处应用楔子固定牢固，防止锤头脱落。</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施工工器具使用</w:t>
            </w:r>
          </w:p>
        </w:tc>
        <w:tc>
          <w:tcPr>
            <w:tcW w:w="708" w:type="dxa"/>
            <w:tcBorders>
              <w:top w:val="nil"/>
              <w:left w:val="nil"/>
              <w:bottom w:val="nil"/>
              <w:right w:val="single" w:color="auto" w:sz="4" w:space="0"/>
            </w:tcBorders>
            <w:shd w:val="clear" w:color="auto" w:fill="auto"/>
            <w:vAlign w:val="center"/>
          </w:tcPr>
          <w:p>
            <w:pPr>
              <w:pStyle w:val="290"/>
            </w:pPr>
            <w:r>
              <w:t>3</w:t>
            </w:r>
          </w:p>
        </w:tc>
        <w:tc>
          <w:tcPr>
            <w:tcW w:w="851" w:type="dxa"/>
            <w:tcBorders>
              <w:top w:val="nil"/>
              <w:left w:val="nil"/>
              <w:bottom w:val="nil"/>
              <w:right w:val="single" w:color="auto" w:sz="4" w:space="0"/>
            </w:tcBorders>
            <w:shd w:val="clear" w:color="auto" w:fill="auto"/>
            <w:vAlign w:val="center"/>
          </w:tcPr>
          <w:p>
            <w:pPr>
              <w:pStyle w:val="290"/>
            </w:pPr>
            <w:r>
              <w:t>工器具经常使用</w:t>
            </w:r>
          </w:p>
        </w:tc>
        <w:tc>
          <w:tcPr>
            <w:tcW w:w="851" w:type="dxa"/>
            <w:tcBorders>
              <w:top w:val="nil"/>
              <w:left w:val="nil"/>
              <w:bottom w:val="nil"/>
              <w:right w:val="single" w:color="auto" w:sz="4" w:space="0"/>
            </w:tcBorders>
            <w:shd w:val="clear" w:color="auto" w:fill="auto"/>
            <w:vAlign w:val="center"/>
          </w:tcPr>
          <w:p>
            <w:pPr>
              <w:pStyle w:val="290"/>
            </w:pPr>
            <w:r>
              <w:t>易伤手、四肢和身体</w:t>
            </w:r>
          </w:p>
        </w:tc>
        <w:tc>
          <w:tcPr>
            <w:tcW w:w="5528" w:type="dxa"/>
            <w:tcBorders>
              <w:top w:val="nil"/>
              <w:left w:val="nil"/>
              <w:bottom w:val="single" w:color="auto" w:sz="4" w:space="0"/>
              <w:right w:val="single" w:color="auto" w:sz="4" w:space="0"/>
            </w:tcBorders>
            <w:shd w:val="clear" w:color="auto" w:fill="auto"/>
            <w:vAlign w:val="center"/>
          </w:tcPr>
          <w:p>
            <w:pPr>
              <w:pStyle w:val="290"/>
            </w:pPr>
            <w:r>
              <w:t>手持钢锯的锯条安装应松紧适度，使用时避免左右摆动。</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滑车、紧线器应定期进行注油保养，保持活动部位活动自如。使用时，不得以小代大或以大代小。紧线器手柄不得加装套管或接长。</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各种吊拉绳索在使用前应进行检查，如有磨损、断股、腐蚀、霉烂、碾压伤、烧伤现象之一者不得使用。在电力线下方或附近，不得使用钢丝绳、铁丝或潮湿的绳索进行牵、拉、吊等作业。</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使用铁锹、铁镐时，应与他人保持一定的安全距离。</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使用剖缆刀、壁纸刀等工具时，刀口应向下，用力均匀，不得向上挑拨。</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台虎钳应装在牢固的工作台上，使用台虎钳夹固工件时应夹固牢靠。</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使用砂轮机时，应站在砂轮侧面，佩戴防护眼镜，不得戴手套操作。</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固定工件的支架离砂轮不得大于3 mm，安装应牢固。工件对砂轮的压力不得过大。不得利用砂轮侧面磨工件，不得在砂轮上磨铅、铜等软金属。</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选用的梯子应能满足承重要求，长度适当，方便操作。带电作业或在运行的设备附近作业时，应选择绝缘梯子。</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伸缩梯伸缩长度严禁超过其规定值。在电力线、电力设备下方或危险范围内，严禁使用金属伸缩梯。</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高处施工应使用绝缘梯或高凳。严禁脚踩机架和布线走道。</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使用后未冷却的电烙铁、热风机不得随意丢放。</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遵守机房管理制度，严禁在机房内饮水、吸烟。</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施工现场防火</w:t>
            </w:r>
          </w:p>
        </w:tc>
        <w:tc>
          <w:tcPr>
            <w:tcW w:w="708" w:type="dxa"/>
            <w:tcBorders>
              <w:top w:val="nil"/>
              <w:left w:val="nil"/>
              <w:bottom w:val="nil"/>
              <w:right w:val="single" w:color="auto" w:sz="4" w:space="0"/>
            </w:tcBorders>
            <w:shd w:val="clear" w:color="auto" w:fill="auto"/>
            <w:vAlign w:val="center"/>
          </w:tcPr>
          <w:p>
            <w:pPr>
              <w:pStyle w:val="290"/>
            </w:pPr>
            <w:r>
              <w:t>4</w:t>
            </w:r>
          </w:p>
        </w:tc>
        <w:tc>
          <w:tcPr>
            <w:tcW w:w="851" w:type="dxa"/>
            <w:tcBorders>
              <w:top w:val="nil"/>
              <w:left w:val="nil"/>
              <w:bottom w:val="nil"/>
              <w:right w:val="single" w:color="auto" w:sz="4" w:space="0"/>
            </w:tcBorders>
            <w:shd w:val="clear" w:color="auto" w:fill="auto"/>
            <w:vAlign w:val="center"/>
          </w:tcPr>
          <w:p>
            <w:pPr>
              <w:pStyle w:val="290"/>
            </w:pPr>
            <w:r>
              <w:t>管理疏忽</w:t>
            </w:r>
          </w:p>
        </w:tc>
        <w:tc>
          <w:tcPr>
            <w:tcW w:w="851" w:type="dxa"/>
            <w:tcBorders>
              <w:top w:val="nil"/>
              <w:left w:val="nil"/>
              <w:bottom w:val="nil"/>
              <w:right w:val="single" w:color="auto" w:sz="4" w:space="0"/>
            </w:tcBorders>
            <w:shd w:val="clear" w:color="auto" w:fill="auto"/>
            <w:vAlign w:val="center"/>
          </w:tcPr>
          <w:p>
            <w:pPr>
              <w:pStyle w:val="290"/>
            </w:pPr>
            <w:r>
              <w:t>有失火风险</w:t>
            </w:r>
          </w:p>
        </w:tc>
        <w:tc>
          <w:tcPr>
            <w:tcW w:w="5528" w:type="dxa"/>
            <w:tcBorders>
              <w:top w:val="nil"/>
              <w:left w:val="nil"/>
              <w:bottom w:val="single" w:color="auto" w:sz="4" w:space="0"/>
              <w:right w:val="single" w:color="auto" w:sz="4" w:space="0"/>
            </w:tcBorders>
            <w:shd w:val="clear" w:color="auto" w:fill="auto"/>
            <w:vAlign w:val="center"/>
          </w:tcPr>
          <w:p>
            <w:pPr>
              <w:pStyle w:val="290"/>
            </w:pPr>
            <w:r>
              <w:t>机房内施工不得使用明火，需用明火时应经相关单位部门批准。</w:t>
            </w:r>
          </w:p>
        </w:tc>
      </w:tr>
      <w:tr>
        <w:tblPrEx>
          <w:tblCellMar>
            <w:top w:w="0" w:type="dxa"/>
            <w:left w:w="108" w:type="dxa"/>
            <w:bottom w:w="0" w:type="dxa"/>
            <w:right w:w="108" w:type="dxa"/>
          </w:tblCellMar>
        </w:tblPrEx>
        <w:trPr>
          <w:cantSplit/>
          <w:trHeight w:val="285" w:hRule="atLeast"/>
        </w:trPr>
        <w:tc>
          <w:tcPr>
            <w:tcW w:w="722" w:type="dxa"/>
            <w:tcBorders>
              <w:top w:val="nil"/>
              <w:left w:val="single" w:color="auto" w:sz="4" w:space="0"/>
              <w:bottom w:val="nil"/>
              <w:right w:val="single" w:color="auto" w:sz="4" w:space="0"/>
            </w:tcBorders>
            <w:shd w:val="clear" w:color="auto" w:fill="auto"/>
            <w:vAlign w:val="center"/>
          </w:tcPr>
          <w:p>
            <w:pPr>
              <w:pStyle w:val="290"/>
            </w:pPr>
            <w:r>
              <w:t>　</w:t>
            </w:r>
          </w:p>
        </w:tc>
        <w:tc>
          <w:tcPr>
            <w:tcW w:w="708"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851" w:type="dxa"/>
            <w:tcBorders>
              <w:top w:val="nil"/>
              <w:left w:val="nil"/>
              <w:bottom w:val="nil"/>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施工场地应配备消防器材。机房内严禁堆放易燃、易爆物品。</w:t>
            </w:r>
          </w:p>
        </w:tc>
      </w:tr>
      <w:tr>
        <w:tblPrEx>
          <w:tblCellMar>
            <w:top w:w="0" w:type="dxa"/>
            <w:left w:w="108" w:type="dxa"/>
            <w:bottom w:w="0" w:type="dxa"/>
            <w:right w:w="108" w:type="dxa"/>
          </w:tblCellMar>
        </w:tblPrEx>
        <w:trPr>
          <w:cantSplit/>
          <w:trHeight w:val="570" w:hRule="atLeast"/>
        </w:trPr>
        <w:tc>
          <w:tcPr>
            <w:tcW w:w="722" w:type="dxa"/>
            <w:tcBorders>
              <w:top w:val="nil"/>
              <w:left w:val="single" w:color="auto" w:sz="4" w:space="0"/>
              <w:bottom w:val="single" w:color="auto" w:sz="4" w:space="0"/>
              <w:right w:val="single" w:color="auto" w:sz="4" w:space="0"/>
            </w:tcBorders>
            <w:shd w:val="clear" w:color="auto" w:fill="auto"/>
            <w:vAlign w:val="center"/>
          </w:tcPr>
          <w:p>
            <w:pPr>
              <w:pStyle w:val="290"/>
            </w:pPr>
            <w:r>
              <w:t>　</w:t>
            </w:r>
          </w:p>
        </w:tc>
        <w:tc>
          <w:tcPr>
            <w:tcW w:w="708"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851" w:type="dxa"/>
            <w:tcBorders>
              <w:top w:val="nil"/>
              <w:left w:val="nil"/>
              <w:bottom w:val="single" w:color="auto" w:sz="4" w:space="0"/>
              <w:right w:val="single" w:color="auto" w:sz="4" w:space="0"/>
            </w:tcBorders>
            <w:shd w:val="clear" w:color="auto" w:fill="auto"/>
            <w:vAlign w:val="center"/>
          </w:tcPr>
          <w:p>
            <w:pPr>
              <w:pStyle w:val="290"/>
            </w:pPr>
            <w:r>
              <w:t>　</w:t>
            </w:r>
          </w:p>
        </w:tc>
        <w:tc>
          <w:tcPr>
            <w:tcW w:w="5528" w:type="dxa"/>
            <w:tcBorders>
              <w:top w:val="nil"/>
              <w:left w:val="nil"/>
              <w:bottom w:val="single" w:color="auto" w:sz="4" w:space="0"/>
              <w:right w:val="single" w:color="auto" w:sz="4" w:space="0"/>
            </w:tcBorders>
            <w:shd w:val="clear" w:color="auto" w:fill="auto"/>
            <w:vAlign w:val="center"/>
          </w:tcPr>
          <w:p>
            <w:pPr>
              <w:pStyle w:val="290"/>
            </w:pPr>
            <w:r>
              <w:t>在已有运行设备的机房内作业时，应划定施工作业区域。作业人员不得触碰在运设备；不得随意关断电源开关。</w:t>
            </w:r>
          </w:p>
        </w:tc>
      </w:tr>
    </w:tbl>
    <w:p>
      <w:pPr>
        <w:ind w:firstLine="480"/>
        <w:rPr>
          <w:rFonts w:cs="Times New Roman"/>
          <w:highlight w:val="green"/>
        </w:rPr>
      </w:pPr>
    </w:p>
    <w:p>
      <w:pPr>
        <w:ind w:firstLine="199" w:firstLineChars="83"/>
        <w:rPr>
          <w:rFonts w:cs="Times New Roman"/>
        </w:rPr>
      </w:pPr>
      <w:r>
        <w:rPr>
          <w:rFonts w:cs="Times New Roman"/>
        </w:rPr>
        <w:t>（2）天馈线安装安全风险因素及保障措施</w:t>
      </w:r>
    </w:p>
    <w:p>
      <w:pPr>
        <w:ind w:firstLine="480"/>
        <w:rPr>
          <w:rFonts w:cs="Times New Roman"/>
        </w:rPr>
      </w:pPr>
      <w:r>
        <w:rPr>
          <w:rFonts w:cs="Times New Roman"/>
        </w:rPr>
        <w:t>本工程天馈线安装所涉及施工作业中的风险因素及安全措施如下：</w:t>
      </w:r>
    </w:p>
    <w:p>
      <w:pPr>
        <w:pStyle w:val="603"/>
        <w:rPr>
          <w:rFonts w:cs="Times New Roman"/>
          <w:color w:val="FF0000"/>
        </w:rPr>
      </w:pPr>
      <w:r>
        <w:rPr>
          <w:rFonts w:cs="Times New Roman"/>
        </w:rPr>
        <w:t>表21.4-2  天馈线安装安全风险因素及保障措施</w:t>
      </w:r>
    </w:p>
    <w:tbl>
      <w:tblPr>
        <w:tblStyle w:val="63"/>
        <w:tblW w:w="8522" w:type="dxa"/>
        <w:tblInd w:w="0" w:type="dxa"/>
        <w:tblLayout w:type="fixed"/>
        <w:tblCellMar>
          <w:top w:w="0" w:type="dxa"/>
          <w:left w:w="108" w:type="dxa"/>
          <w:bottom w:w="0" w:type="dxa"/>
          <w:right w:w="108" w:type="dxa"/>
        </w:tblCellMar>
      </w:tblPr>
      <w:tblGrid>
        <w:gridCol w:w="2166"/>
        <w:gridCol w:w="742"/>
        <w:gridCol w:w="874"/>
        <w:gridCol w:w="992"/>
        <w:gridCol w:w="3748"/>
      </w:tblGrid>
      <w:tr>
        <w:tblPrEx>
          <w:tblCellMar>
            <w:top w:w="0" w:type="dxa"/>
            <w:left w:w="108" w:type="dxa"/>
            <w:bottom w:w="0" w:type="dxa"/>
            <w:right w:w="108" w:type="dxa"/>
          </w:tblCellMar>
        </w:tblPrEx>
        <w:trPr>
          <w:trHeight w:val="420" w:hRule="atLeast"/>
          <w:tblHeader/>
        </w:trPr>
        <w:tc>
          <w:tcPr>
            <w:tcW w:w="216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施工作业内容</w:t>
            </w:r>
          </w:p>
        </w:tc>
        <w:tc>
          <w:tcPr>
            <w:tcW w:w="742" w:type="dxa"/>
            <w:tcBorders>
              <w:top w:val="single" w:color="auto" w:sz="4" w:space="0"/>
              <w:left w:val="nil"/>
              <w:bottom w:val="single" w:color="auto" w:sz="4" w:space="0"/>
              <w:right w:val="single" w:color="auto" w:sz="4" w:space="0"/>
            </w:tcBorders>
            <w:shd w:val="clear" w:color="auto" w:fill="auto"/>
            <w:vAlign w:val="center"/>
          </w:tcPr>
          <w:p>
            <w:pPr>
              <w:pStyle w:val="290"/>
            </w:pPr>
            <w:r>
              <w:t>风险因素序号</w:t>
            </w:r>
          </w:p>
        </w:tc>
        <w:tc>
          <w:tcPr>
            <w:tcW w:w="874" w:type="dxa"/>
            <w:tcBorders>
              <w:top w:val="single" w:color="auto" w:sz="4" w:space="0"/>
              <w:left w:val="nil"/>
              <w:bottom w:val="single" w:color="auto" w:sz="4" w:space="0"/>
              <w:right w:val="single" w:color="auto" w:sz="4" w:space="0"/>
            </w:tcBorders>
            <w:shd w:val="clear" w:color="auto" w:fill="auto"/>
            <w:vAlign w:val="center"/>
          </w:tcPr>
          <w:p>
            <w:pPr>
              <w:pStyle w:val="290"/>
            </w:pPr>
            <w:r>
              <w:t>风险</w:t>
            </w:r>
          </w:p>
          <w:p>
            <w:pPr>
              <w:pStyle w:val="290"/>
            </w:pPr>
            <w:r>
              <w:t>因素</w:t>
            </w:r>
          </w:p>
        </w:tc>
        <w:tc>
          <w:tcPr>
            <w:tcW w:w="992" w:type="dxa"/>
            <w:tcBorders>
              <w:top w:val="single" w:color="auto" w:sz="4" w:space="0"/>
              <w:left w:val="nil"/>
              <w:bottom w:val="single" w:color="auto" w:sz="4" w:space="0"/>
              <w:right w:val="single" w:color="auto" w:sz="4" w:space="0"/>
            </w:tcBorders>
            <w:shd w:val="clear" w:color="auto" w:fill="auto"/>
            <w:vAlign w:val="center"/>
          </w:tcPr>
          <w:p>
            <w:pPr>
              <w:pStyle w:val="290"/>
            </w:pPr>
            <w:r>
              <w:t>风险说明</w:t>
            </w:r>
          </w:p>
        </w:tc>
        <w:tc>
          <w:tcPr>
            <w:tcW w:w="3748" w:type="dxa"/>
            <w:tcBorders>
              <w:top w:val="single" w:color="auto" w:sz="4" w:space="0"/>
              <w:left w:val="nil"/>
              <w:bottom w:val="single" w:color="auto" w:sz="4" w:space="0"/>
              <w:right w:val="single" w:color="auto" w:sz="4" w:space="0"/>
            </w:tcBorders>
            <w:shd w:val="clear" w:color="auto" w:fill="auto"/>
            <w:vAlign w:val="center"/>
          </w:tcPr>
          <w:p>
            <w:pPr>
              <w:pStyle w:val="290"/>
            </w:pPr>
            <w:r>
              <w:t>风险处置方案及安全施工说明</w:t>
            </w:r>
          </w:p>
        </w:tc>
      </w:tr>
      <w:tr>
        <w:tblPrEx>
          <w:tblCellMar>
            <w:top w:w="0" w:type="dxa"/>
            <w:left w:w="108" w:type="dxa"/>
            <w:bottom w:w="0" w:type="dxa"/>
            <w:right w:w="108" w:type="dxa"/>
          </w:tblCellMar>
        </w:tblPrEx>
        <w:trPr>
          <w:trHeight w:val="2100" w:hRule="atLeast"/>
        </w:trPr>
        <w:tc>
          <w:tcPr>
            <w:tcW w:w="2166"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pStyle w:val="290"/>
            </w:pPr>
            <w:r>
              <w:t>上下塔及塔上、高空作业</w:t>
            </w:r>
          </w:p>
        </w:tc>
        <w:tc>
          <w:tcPr>
            <w:tcW w:w="742" w:type="dxa"/>
            <w:tcBorders>
              <w:top w:val="nil"/>
              <w:left w:val="nil"/>
              <w:bottom w:val="single" w:color="auto" w:sz="4" w:space="0"/>
              <w:right w:val="single" w:color="auto" w:sz="4" w:space="0"/>
            </w:tcBorders>
            <w:shd w:val="clear" w:color="auto" w:fill="auto"/>
            <w:vAlign w:val="center"/>
          </w:tcPr>
          <w:p>
            <w:pPr>
              <w:pStyle w:val="290"/>
            </w:pPr>
            <w:r>
              <w:t>1</w:t>
            </w:r>
          </w:p>
        </w:tc>
        <w:tc>
          <w:tcPr>
            <w:tcW w:w="874" w:type="dxa"/>
            <w:tcBorders>
              <w:top w:val="single" w:color="auto" w:sz="4" w:space="0"/>
              <w:left w:val="nil"/>
              <w:bottom w:val="single" w:color="auto" w:sz="4" w:space="0"/>
              <w:right w:val="nil"/>
            </w:tcBorders>
            <w:shd w:val="clear" w:color="auto" w:fill="auto"/>
            <w:vAlign w:val="center"/>
          </w:tcPr>
          <w:p>
            <w:pPr>
              <w:pStyle w:val="290"/>
            </w:pPr>
            <w:r>
              <w:t>高空设备安装</w:t>
            </w:r>
          </w:p>
        </w:tc>
        <w:tc>
          <w:tcPr>
            <w:tcW w:w="992" w:type="dxa"/>
            <w:tcBorders>
              <w:top w:val="nil"/>
              <w:left w:val="single" w:color="auto" w:sz="4" w:space="0"/>
              <w:bottom w:val="single" w:color="auto" w:sz="4" w:space="0"/>
              <w:right w:val="single" w:color="auto" w:sz="4" w:space="0"/>
            </w:tcBorders>
            <w:shd w:val="clear" w:color="auto" w:fill="auto"/>
            <w:vAlign w:val="center"/>
          </w:tcPr>
          <w:p>
            <w:pPr>
              <w:pStyle w:val="290"/>
            </w:pPr>
            <w:r>
              <w:t>施工作业位于高处天面或铁塔、通信杆上，未做好安全措施，易导致失足坠地的人员伤亡。</w:t>
            </w:r>
          </w:p>
        </w:tc>
        <w:tc>
          <w:tcPr>
            <w:tcW w:w="3748" w:type="dxa"/>
            <w:tcBorders>
              <w:top w:val="nil"/>
              <w:left w:val="nil"/>
              <w:bottom w:val="single" w:color="auto" w:sz="4" w:space="0"/>
              <w:right w:val="single" w:color="auto" w:sz="4" w:space="0"/>
            </w:tcBorders>
            <w:shd w:val="clear" w:color="auto" w:fill="auto"/>
            <w:vAlign w:val="center"/>
          </w:tcPr>
          <w:p>
            <w:pPr>
              <w:pStyle w:val="290"/>
            </w:pPr>
            <w:r>
              <w:t>高处作业人员必须持证上岗，应该严格遵守施工单位编制的经过审核的高处施工安全技术措施。</w:t>
            </w:r>
            <w:r>
              <w:br w:type="textWrapping"/>
            </w:r>
            <w:r>
              <w:t>施工人员作业时要求遵守工程施工安全规范，不在高温环境下作业、不超负荷作业、不疲劳作业、不在酒后作业，确保工作的安全和质量。</w:t>
            </w:r>
            <w:r>
              <w:br w:type="textWrapping"/>
            </w:r>
            <w:r>
              <w:t>工作时必需使用符合国家标准的安全帽、安全带以及其他相应的劳保用品，严禁穿拖鞋、硬底鞋或赤脚上塔作业。作业中切勿接触潮湿的墙面、导电性高的物体，不能靠近避雷器装置。</w:t>
            </w:r>
            <w:r>
              <w:br w:type="textWrapping"/>
            </w:r>
            <w:r>
              <w:t>安全用品及工具用完后必需放在规定的位置，不得与其他杂物放在一起。</w:t>
            </w:r>
          </w:p>
        </w:tc>
      </w:tr>
      <w:tr>
        <w:tblPrEx>
          <w:tblCellMar>
            <w:top w:w="0" w:type="dxa"/>
            <w:left w:w="108" w:type="dxa"/>
            <w:bottom w:w="0" w:type="dxa"/>
            <w:right w:w="108" w:type="dxa"/>
          </w:tblCellMar>
        </w:tblPrEx>
        <w:trPr>
          <w:trHeight w:val="126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2</w:t>
            </w:r>
          </w:p>
        </w:tc>
        <w:tc>
          <w:tcPr>
            <w:tcW w:w="874" w:type="dxa"/>
            <w:tcBorders>
              <w:top w:val="single" w:color="auto" w:sz="4" w:space="0"/>
              <w:left w:val="nil"/>
              <w:bottom w:val="single" w:color="auto" w:sz="4" w:space="0"/>
              <w:right w:val="nil"/>
            </w:tcBorders>
            <w:shd w:val="clear" w:color="auto" w:fill="auto"/>
            <w:vAlign w:val="center"/>
          </w:tcPr>
          <w:p>
            <w:pPr>
              <w:pStyle w:val="290"/>
            </w:pPr>
            <w:r>
              <w:t>高空物件掉落</w:t>
            </w:r>
          </w:p>
        </w:tc>
        <w:tc>
          <w:tcPr>
            <w:tcW w:w="992" w:type="dxa"/>
            <w:tcBorders>
              <w:top w:val="nil"/>
              <w:left w:val="single" w:color="auto" w:sz="4" w:space="0"/>
              <w:bottom w:val="single" w:color="auto" w:sz="4" w:space="0"/>
              <w:right w:val="single" w:color="auto" w:sz="4" w:space="0"/>
            </w:tcBorders>
            <w:shd w:val="clear" w:color="auto" w:fill="auto"/>
            <w:vAlign w:val="center"/>
          </w:tcPr>
          <w:p>
            <w:pPr>
              <w:pStyle w:val="290"/>
            </w:pPr>
            <w:r>
              <w:t>作业使用的器具未做好安全防护可能滑落，比如暂不使用的塔上的工具、金属安装件等物体掉落，造成塔下人员伤亡</w:t>
            </w:r>
          </w:p>
        </w:tc>
        <w:tc>
          <w:tcPr>
            <w:tcW w:w="3748" w:type="dxa"/>
            <w:tcBorders>
              <w:top w:val="nil"/>
              <w:left w:val="nil"/>
              <w:bottom w:val="single" w:color="auto" w:sz="4" w:space="0"/>
              <w:right w:val="single" w:color="auto" w:sz="4" w:space="0"/>
            </w:tcBorders>
            <w:shd w:val="clear" w:color="auto" w:fill="auto"/>
            <w:vAlign w:val="center"/>
          </w:tcPr>
          <w:p>
            <w:pPr>
              <w:pStyle w:val="290"/>
            </w:pPr>
            <w:r>
              <w:t>在高空作业时，应严格遵守高空作业施工规范。</w:t>
            </w:r>
            <w:r>
              <w:br w:type="textWrapping"/>
            </w:r>
            <w:r>
              <w:t>在施工前做好防护及隔离措施，安装现场设置围栏，确保施工的安全性。</w:t>
            </w:r>
            <w:r>
              <w:br w:type="textWrapping"/>
            </w:r>
            <w:r>
              <w:t>在天线吊装现场(包括市内楼房吊装)应设置安全作业警示区域，禁止车辆及无关人员穿行。</w:t>
            </w:r>
            <w:r>
              <w:br w:type="textWrapping"/>
            </w:r>
            <w:r>
              <w:t>施工现场人员必须配带相应的劳动保护用品。</w:t>
            </w:r>
          </w:p>
        </w:tc>
      </w:tr>
      <w:tr>
        <w:tblPrEx>
          <w:tblCellMar>
            <w:top w:w="0" w:type="dxa"/>
            <w:left w:w="108" w:type="dxa"/>
            <w:bottom w:w="0" w:type="dxa"/>
            <w:right w:w="108" w:type="dxa"/>
          </w:tblCellMar>
        </w:tblPrEx>
        <w:trPr>
          <w:trHeight w:val="583"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3</w:t>
            </w:r>
          </w:p>
        </w:tc>
        <w:tc>
          <w:tcPr>
            <w:tcW w:w="874" w:type="dxa"/>
            <w:tcBorders>
              <w:top w:val="single" w:color="auto" w:sz="4" w:space="0"/>
              <w:left w:val="nil"/>
              <w:bottom w:val="single" w:color="auto" w:sz="4" w:space="0"/>
              <w:right w:val="nil"/>
            </w:tcBorders>
            <w:shd w:val="clear" w:color="auto" w:fill="auto"/>
            <w:vAlign w:val="center"/>
          </w:tcPr>
          <w:p>
            <w:pPr>
              <w:pStyle w:val="290"/>
            </w:pPr>
            <w:r>
              <w:t>恶劣天气</w:t>
            </w:r>
          </w:p>
        </w:tc>
        <w:tc>
          <w:tcPr>
            <w:tcW w:w="992" w:type="dxa"/>
            <w:tcBorders>
              <w:top w:val="nil"/>
              <w:left w:val="single" w:color="auto" w:sz="4" w:space="0"/>
              <w:bottom w:val="single" w:color="auto" w:sz="4" w:space="0"/>
              <w:right w:val="single" w:color="auto" w:sz="4" w:space="0"/>
            </w:tcBorders>
            <w:shd w:val="clear" w:color="auto" w:fill="auto"/>
            <w:vAlign w:val="center"/>
          </w:tcPr>
          <w:p>
            <w:pPr>
              <w:pStyle w:val="290"/>
            </w:pPr>
            <w:r>
              <w:t>高温环境下，强风、大雾、雷雨中户外作业，存在一定安全隐患</w:t>
            </w:r>
          </w:p>
        </w:tc>
        <w:tc>
          <w:tcPr>
            <w:tcW w:w="3748" w:type="dxa"/>
            <w:tcBorders>
              <w:top w:val="nil"/>
              <w:left w:val="nil"/>
              <w:bottom w:val="single" w:color="auto" w:sz="4" w:space="0"/>
              <w:right w:val="single" w:color="auto" w:sz="4" w:space="0"/>
            </w:tcBorders>
            <w:shd w:val="clear" w:color="auto" w:fill="auto"/>
            <w:vAlign w:val="center"/>
          </w:tcPr>
          <w:p>
            <w:pPr>
              <w:pStyle w:val="290"/>
            </w:pPr>
            <w:r>
              <w:t>气候环境条件不符合施工要求时，严禁上塔施工作业。</w:t>
            </w:r>
            <w:r>
              <w:br w:type="textWrapping"/>
            </w:r>
            <w:r>
              <w:t>雷雨天气应停止户外作业防止遭遇雷击伤害，应到安全地点躲避，等雷电消除后方可继续施工。</w:t>
            </w:r>
            <w:r>
              <w:br w:type="textWrapping"/>
            </w:r>
            <w:r>
              <w:t>遇到强风、大雾等天气时，也应停止户外作业。</w:t>
            </w:r>
            <w:r>
              <w:br w:type="textWrapping"/>
            </w:r>
            <w:r>
              <w:t>可作业情况下，施工作业中应做好各项安全防护措施。</w:t>
            </w:r>
          </w:p>
        </w:tc>
      </w:tr>
      <w:tr>
        <w:tblPrEx>
          <w:tblCellMar>
            <w:top w:w="0" w:type="dxa"/>
            <w:left w:w="108" w:type="dxa"/>
            <w:bottom w:w="0" w:type="dxa"/>
            <w:right w:w="108" w:type="dxa"/>
          </w:tblCellMar>
        </w:tblPrEx>
        <w:trPr>
          <w:trHeight w:val="1260" w:hRule="atLeast"/>
        </w:trPr>
        <w:tc>
          <w:tcPr>
            <w:tcW w:w="2166" w:type="dxa"/>
            <w:vMerge w:val="restart"/>
            <w:tcBorders>
              <w:top w:val="single" w:color="000000" w:sz="4" w:space="0"/>
              <w:left w:val="single" w:color="auto" w:sz="4" w:space="0"/>
              <w:bottom w:val="single" w:color="000000" w:sz="4" w:space="0"/>
              <w:right w:val="single" w:color="auto" w:sz="4" w:space="0"/>
            </w:tcBorders>
            <w:shd w:val="clear" w:color="auto" w:fill="auto"/>
            <w:vAlign w:val="center"/>
          </w:tcPr>
          <w:p>
            <w:pPr>
              <w:pStyle w:val="290"/>
            </w:pPr>
            <w:r>
              <w:t>天馈线设备安装作业</w:t>
            </w:r>
          </w:p>
        </w:tc>
        <w:tc>
          <w:tcPr>
            <w:tcW w:w="742" w:type="dxa"/>
            <w:tcBorders>
              <w:top w:val="nil"/>
              <w:left w:val="nil"/>
              <w:bottom w:val="single" w:color="auto" w:sz="4" w:space="0"/>
              <w:right w:val="single" w:color="auto" w:sz="4" w:space="0"/>
            </w:tcBorders>
            <w:shd w:val="clear" w:color="auto" w:fill="auto"/>
            <w:vAlign w:val="center"/>
          </w:tcPr>
          <w:p>
            <w:pPr>
              <w:pStyle w:val="290"/>
            </w:pPr>
            <w:r>
              <w:t>4</w:t>
            </w:r>
          </w:p>
        </w:tc>
        <w:tc>
          <w:tcPr>
            <w:tcW w:w="874" w:type="dxa"/>
            <w:tcBorders>
              <w:top w:val="single" w:color="auto" w:sz="4" w:space="0"/>
              <w:left w:val="nil"/>
              <w:bottom w:val="single" w:color="auto" w:sz="4" w:space="0"/>
              <w:right w:val="single" w:color="auto" w:sz="4" w:space="0"/>
            </w:tcBorders>
            <w:shd w:val="clear" w:color="auto" w:fill="auto"/>
            <w:vAlign w:val="center"/>
          </w:tcPr>
          <w:p>
            <w:pPr>
              <w:pStyle w:val="290"/>
            </w:pPr>
            <w:r>
              <w:t>天馈线安装基础</w:t>
            </w:r>
          </w:p>
        </w:tc>
        <w:tc>
          <w:tcPr>
            <w:tcW w:w="992" w:type="dxa"/>
            <w:tcBorders>
              <w:top w:val="nil"/>
              <w:left w:val="nil"/>
              <w:bottom w:val="single" w:color="auto" w:sz="4" w:space="0"/>
              <w:right w:val="single" w:color="auto" w:sz="4" w:space="0"/>
            </w:tcBorders>
            <w:shd w:val="clear" w:color="auto" w:fill="auto"/>
            <w:vAlign w:val="center"/>
          </w:tcPr>
          <w:p>
            <w:pPr>
              <w:pStyle w:val="290"/>
            </w:pPr>
            <w:r>
              <w:t>天线基础的混凝土浇筑未达到养护期和强度要求</w:t>
            </w:r>
            <w:r>
              <w:br w:type="textWrapping"/>
            </w:r>
            <w:r>
              <w:t>安装杆塔时没有检查房屋结构或没有按照杆塔安装规范施工，造成房屋漏水或抱杆倒塌造成人身伤害</w:t>
            </w:r>
          </w:p>
        </w:tc>
        <w:tc>
          <w:tcPr>
            <w:tcW w:w="3748" w:type="dxa"/>
            <w:tcBorders>
              <w:top w:val="nil"/>
              <w:left w:val="nil"/>
              <w:bottom w:val="single" w:color="auto" w:sz="4" w:space="0"/>
              <w:right w:val="single" w:color="auto" w:sz="4" w:space="0"/>
            </w:tcBorders>
            <w:shd w:val="clear" w:color="auto" w:fill="auto"/>
            <w:vAlign w:val="center"/>
          </w:tcPr>
          <w:p>
            <w:pPr>
              <w:pStyle w:val="290"/>
            </w:pPr>
            <w:r>
              <w:t>应确保天线基础的混凝土浇筑达到养护期和强度要求后方可进行天线安装。</w:t>
            </w:r>
            <w:r>
              <w:br w:type="textWrapping"/>
            </w:r>
            <w:r>
              <w:t>安装杆塔时应该按照杆塔安装规范施工。对于有隔热层的天面，应该先拆除隔热层，把杆塔安装件固定在实体天面上，安装完成后需要做好防水处理。</w:t>
            </w:r>
          </w:p>
        </w:tc>
      </w:tr>
      <w:tr>
        <w:tblPrEx>
          <w:tblCellMar>
            <w:top w:w="0" w:type="dxa"/>
            <w:left w:w="108" w:type="dxa"/>
            <w:bottom w:w="0" w:type="dxa"/>
            <w:right w:w="108" w:type="dxa"/>
          </w:tblCellMar>
        </w:tblPrEx>
        <w:trPr>
          <w:trHeight w:val="126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5</w:t>
            </w:r>
          </w:p>
        </w:tc>
        <w:tc>
          <w:tcPr>
            <w:tcW w:w="874" w:type="dxa"/>
            <w:tcBorders>
              <w:top w:val="nil"/>
              <w:left w:val="nil"/>
              <w:bottom w:val="single" w:color="auto" w:sz="4" w:space="0"/>
              <w:right w:val="single" w:color="auto" w:sz="4" w:space="0"/>
            </w:tcBorders>
            <w:shd w:val="clear" w:color="auto" w:fill="auto"/>
            <w:vAlign w:val="center"/>
          </w:tcPr>
          <w:p>
            <w:pPr>
              <w:pStyle w:val="290"/>
            </w:pPr>
            <w:r>
              <w:t>设备运输搬运</w:t>
            </w:r>
          </w:p>
        </w:tc>
        <w:tc>
          <w:tcPr>
            <w:tcW w:w="992" w:type="dxa"/>
            <w:tcBorders>
              <w:top w:val="nil"/>
              <w:left w:val="nil"/>
              <w:bottom w:val="single" w:color="auto" w:sz="4" w:space="0"/>
              <w:right w:val="single" w:color="auto" w:sz="4" w:space="0"/>
            </w:tcBorders>
            <w:shd w:val="clear" w:color="auto" w:fill="auto"/>
            <w:vAlign w:val="center"/>
          </w:tcPr>
          <w:p>
            <w:pPr>
              <w:pStyle w:val="290"/>
            </w:pPr>
            <w:r>
              <w:t>设备、材料运输途中人货混装、设备搬运操作不当，导致物体打击伤害</w:t>
            </w:r>
            <w:r>
              <w:br w:type="textWrapping"/>
            </w:r>
            <w:r>
              <w:t>在重要设备或重要客户设备旁边施工，发生设备碰撞或线缆拉扯现象，造成通信中断</w:t>
            </w:r>
          </w:p>
        </w:tc>
        <w:tc>
          <w:tcPr>
            <w:tcW w:w="3748" w:type="dxa"/>
            <w:tcBorders>
              <w:top w:val="nil"/>
              <w:left w:val="nil"/>
              <w:bottom w:val="single" w:color="auto" w:sz="4" w:space="0"/>
              <w:right w:val="single" w:color="auto" w:sz="4" w:space="0"/>
            </w:tcBorders>
            <w:shd w:val="clear" w:color="auto" w:fill="auto"/>
            <w:vAlign w:val="center"/>
          </w:tcPr>
          <w:p>
            <w:pPr>
              <w:pStyle w:val="290"/>
            </w:pPr>
            <w:r>
              <w:t>驾驶人员需严格遵守交通规则，按规范操作。</w:t>
            </w:r>
            <w:r>
              <w:br w:type="textWrapping"/>
            </w:r>
            <w:r>
              <w:t>施工人员在设备搬运前后应该对设备做好防护措施，确保设备搬运过程中的安全，搬运时注意不要碰撞楼梯或电梯，设备搬运要遵守规定。</w:t>
            </w:r>
          </w:p>
        </w:tc>
      </w:tr>
      <w:tr>
        <w:tblPrEx>
          <w:tblCellMar>
            <w:top w:w="0" w:type="dxa"/>
            <w:left w:w="108" w:type="dxa"/>
            <w:bottom w:w="0" w:type="dxa"/>
            <w:right w:w="108" w:type="dxa"/>
          </w:tblCellMar>
        </w:tblPrEx>
        <w:trPr>
          <w:trHeight w:val="1665"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6</w:t>
            </w:r>
          </w:p>
        </w:tc>
        <w:tc>
          <w:tcPr>
            <w:tcW w:w="874" w:type="dxa"/>
            <w:tcBorders>
              <w:top w:val="nil"/>
              <w:left w:val="nil"/>
              <w:bottom w:val="single" w:color="auto" w:sz="4" w:space="0"/>
              <w:right w:val="single" w:color="auto" w:sz="4" w:space="0"/>
            </w:tcBorders>
            <w:shd w:val="clear" w:color="auto" w:fill="auto"/>
            <w:vAlign w:val="center"/>
          </w:tcPr>
          <w:p>
            <w:pPr>
              <w:pStyle w:val="290"/>
            </w:pPr>
            <w:r>
              <w:t>天馈线设备吊装</w:t>
            </w:r>
          </w:p>
        </w:tc>
        <w:tc>
          <w:tcPr>
            <w:tcW w:w="992" w:type="dxa"/>
            <w:tcBorders>
              <w:top w:val="nil"/>
              <w:left w:val="nil"/>
              <w:bottom w:val="single" w:color="auto" w:sz="4" w:space="0"/>
              <w:right w:val="single" w:color="auto" w:sz="4" w:space="0"/>
            </w:tcBorders>
            <w:shd w:val="clear" w:color="auto" w:fill="auto"/>
            <w:vAlign w:val="center"/>
          </w:tcPr>
          <w:p>
            <w:pPr>
              <w:pStyle w:val="290"/>
            </w:pPr>
            <w:r>
              <w:t>无专人指挥或指挥混乱</w:t>
            </w:r>
            <w:r>
              <w:br w:type="textWrapping"/>
            </w:r>
            <w:r>
              <w:t>未按照吊装作业规范操作造成人员、设备及环境的损害</w:t>
            </w:r>
          </w:p>
        </w:tc>
        <w:tc>
          <w:tcPr>
            <w:tcW w:w="3748" w:type="dxa"/>
            <w:tcBorders>
              <w:top w:val="nil"/>
              <w:left w:val="nil"/>
              <w:bottom w:val="single" w:color="auto" w:sz="4" w:space="0"/>
              <w:right w:val="single" w:color="auto" w:sz="4" w:space="0"/>
            </w:tcBorders>
            <w:shd w:val="clear" w:color="auto" w:fill="auto"/>
            <w:vAlign w:val="center"/>
          </w:tcPr>
          <w:p>
            <w:pPr>
              <w:pStyle w:val="290"/>
            </w:pPr>
            <w:r>
              <w:t>应严格按照操作规程实施吊装作业：</w:t>
            </w:r>
            <w:r>
              <w:br w:type="textWrapping"/>
            </w:r>
            <w:r>
              <w:t>起吊天线、天线座安装就位时，应有专人负责指挥。</w:t>
            </w:r>
            <w:r>
              <w:br w:type="textWrapping"/>
            </w:r>
            <w:r>
              <w:t>吊装天馈线等物件时，应系好尾绳，严格控制物件上升的轨迹，应使天馈线与铁塔或楼房保持安全距离；拉尾绳的作业人员应密切注意指挥人员的口令，松绳、放绳时应平稳，不得大幅度摆动；向建筑物的楼顶吊装时，绳索不得摩擦楼体。</w:t>
            </w:r>
          </w:p>
        </w:tc>
      </w:tr>
      <w:tr>
        <w:tblPrEx>
          <w:tblCellMar>
            <w:top w:w="0" w:type="dxa"/>
            <w:left w:w="108" w:type="dxa"/>
            <w:bottom w:w="0" w:type="dxa"/>
            <w:right w:w="108" w:type="dxa"/>
          </w:tblCellMar>
        </w:tblPrEx>
        <w:trPr>
          <w:trHeight w:val="256"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7</w:t>
            </w:r>
          </w:p>
        </w:tc>
        <w:tc>
          <w:tcPr>
            <w:tcW w:w="874" w:type="dxa"/>
            <w:tcBorders>
              <w:top w:val="nil"/>
              <w:left w:val="nil"/>
              <w:bottom w:val="single" w:color="auto" w:sz="4" w:space="0"/>
              <w:right w:val="single" w:color="auto" w:sz="4" w:space="0"/>
            </w:tcBorders>
            <w:shd w:val="clear" w:color="auto" w:fill="auto"/>
            <w:vAlign w:val="center"/>
          </w:tcPr>
          <w:p>
            <w:pPr>
              <w:pStyle w:val="290"/>
            </w:pPr>
            <w:r>
              <w:t>抗震加固</w:t>
            </w:r>
          </w:p>
        </w:tc>
        <w:tc>
          <w:tcPr>
            <w:tcW w:w="992" w:type="dxa"/>
            <w:tcBorders>
              <w:top w:val="nil"/>
              <w:left w:val="nil"/>
              <w:bottom w:val="single" w:color="auto" w:sz="4" w:space="0"/>
              <w:right w:val="single" w:color="auto" w:sz="4" w:space="0"/>
            </w:tcBorders>
            <w:shd w:val="clear" w:color="auto" w:fill="auto"/>
            <w:vAlign w:val="center"/>
          </w:tcPr>
          <w:p>
            <w:pPr>
              <w:pStyle w:val="290"/>
            </w:pPr>
            <w:r>
              <w:t>未按抗震加固规范进行天馈线设备加固，存在较大安全隐患，易造成设备滑落、倒塌等情况，带来人员伤亡及财产损失</w:t>
            </w:r>
          </w:p>
        </w:tc>
        <w:tc>
          <w:tcPr>
            <w:tcW w:w="3748" w:type="dxa"/>
            <w:tcBorders>
              <w:top w:val="nil"/>
              <w:left w:val="nil"/>
              <w:bottom w:val="single" w:color="auto" w:sz="4" w:space="0"/>
              <w:right w:val="single" w:color="auto" w:sz="4" w:space="0"/>
            </w:tcBorders>
            <w:shd w:val="clear" w:color="auto" w:fill="auto"/>
            <w:vAlign w:val="center"/>
          </w:tcPr>
          <w:p>
            <w:pPr>
              <w:pStyle w:val="290"/>
            </w:pPr>
            <w:r>
              <w:t>天线：室外天线与天线支撑杆的连结应不少于两处。室外天线与支撑杆连结处的连接螺栓直径应不小于M8。</w:t>
            </w:r>
            <w:r>
              <w:br w:type="textWrapping"/>
            </w:r>
            <w:r>
              <w:t>室内天线的安装应用不小于M6的螺栓固定。</w:t>
            </w:r>
            <w:r>
              <w:br w:type="textWrapping"/>
            </w:r>
            <w:r>
              <w:t>对于特殊场合的天线安装应专门设计，并符合抗震加固要求。</w:t>
            </w:r>
          </w:p>
          <w:p>
            <w:pPr>
              <w:pStyle w:val="290"/>
            </w:pPr>
            <w:r>
              <w:t>馈线：馈线安装应采用专用的走线架（槽）或者走线管道。</w:t>
            </w:r>
            <w:r>
              <w:br w:type="textWrapping"/>
            </w:r>
            <w:r>
              <w:t>馈线安装在走线架（槽）中时，水平方向至少每隔1.5m用馈线卡固定一次，垂直方向至少每隔1m用馈线卡固定一次。</w:t>
            </w:r>
            <w:r>
              <w:br w:type="textWrapping"/>
            </w:r>
            <w:r>
              <w:t>馈线与天线的连结处馈线不宜太紧，接头处宜留有一定富余度。</w:t>
            </w:r>
          </w:p>
        </w:tc>
      </w:tr>
      <w:tr>
        <w:tblPrEx>
          <w:tblCellMar>
            <w:top w:w="0" w:type="dxa"/>
            <w:left w:w="108" w:type="dxa"/>
            <w:bottom w:w="0" w:type="dxa"/>
            <w:right w:w="108" w:type="dxa"/>
          </w:tblCellMar>
        </w:tblPrEx>
        <w:trPr>
          <w:trHeight w:val="42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8</w:t>
            </w:r>
          </w:p>
        </w:tc>
        <w:tc>
          <w:tcPr>
            <w:tcW w:w="874" w:type="dxa"/>
            <w:tcBorders>
              <w:top w:val="nil"/>
              <w:left w:val="nil"/>
              <w:bottom w:val="single" w:color="auto" w:sz="4" w:space="0"/>
              <w:right w:val="single" w:color="auto" w:sz="4" w:space="0"/>
            </w:tcBorders>
            <w:shd w:val="clear" w:color="auto" w:fill="auto"/>
            <w:vAlign w:val="center"/>
          </w:tcPr>
          <w:p>
            <w:pPr>
              <w:pStyle w:val="290"/>
            </w:pPr>
            <w:r>
              <w:t>防雷接地</w:t>
            </w:r>
          </w:p>
        </w:tc>
        <w:tc>
          <w:tcPr>
            <w:tcW w:w="992" w:type="dxa"/>
            <w:tcBorders>
              <w:top w:val="nil"/>
              <w:left w:val="nil"/>
              <w:bottom w:val="single" w:color="auto" w:sz="4" w:space="0"/>
              <w:right w:val="single" w:color="auto" w:sz="4" w:space="0"/>
            </w:tcBorders>
            <w:shd w:val="clear" w:color="auto" w:fill="auto"/>
            <w:vAlign w:val="center"/>
          </w:tcPr>
          <w:p>
            <w:pPr>
              <w:pStyle w:val="290"/>
            </w:pPr>
            <w:r>
              <w:t>未按规范要求做好防雷基地措施</w:t>
            </w:r>
          </w:p>
        </w:tc>
        <w:tc>
          <w:tcPr>
            <w:tcW w:w="3748" w:type="dxa"/>
            <w:tcBorders>
              <w:top w:val="nil"/>
              <w:left w:val="nil"/>
              <w:bottom w:val="single" w:color="auto" w:sz="4" w:space="0"/>
              <w:right w:val="single" w:color="auto" w:sz="4" w:space="0"/>
            </w:tcBorders>
            <w:shd w:val="clear" w:color="auto" w:fill="auto"/>
            <w:vAlign w:val="bottom"/>
          </w:tcPr>
          <w:p>
            <w:pPr>
              <w:pStyle w:val="290"/>
            </w:pPr>
            <w:r>
              <w:t>应遵循国家或行业规范要求，做好天馈线系统的防雷接地措施，符合安全生产操作规范，符合工程项目设计要求。</w:t>
            </w:r>
          </w:p>
        </w:tc>
      </w:tr>
      <w:tr>
        <w:tblPrEx>
          <w:tblCellMar>
            <w:top w:w="0" w:type="dxa"/>
            <w:left w:w="108" w:type="dxa"/>
            <w:bottom w:w="0" w:type="dxa"/>
            <w:right w:w="108" w:type="dxa"/>
          </w:tblCellMar>
        </w:tblPrEx>
        <w:trPr>
          <w:trHeight w:val="630" w:hRule="atLeast"/>
        </w:trPr>
        <w:tc>
          <w:tcPr>
            <w:tcW w:w="2166" w:type="dxa"/>
            <w:vMerge w:val="continue"/>
            <w:tcBorders>
              <w:top w:val="single" w:color="000000"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9</w:t>
            </w:r>
          </w:p>
        </w:tc>
        <w:tc>
          <w:tcPr>
            <w:tcW w:w="874" w:type="dxa"/>
            <w:tcBorders>
              <w:top w:val="nil"/>
              <w:left w:val="nil"/>
              <w:bottom w:val="single" w:color="auto" w:sz="4" w:space="0"/>
              <w:right w:val="single" w:color="auto" w:sz="4" w:space="0"/>
            </w:tcBorders>
            <w:shd w:val="clear" w:color="auto" w:fill="auto"/>
            <w:vAlign w:val="center"/>
          </w:tcPr>
          <w:p>
            <w:pPr>
              <w:pStyle w:val="290"/>
            </w:pPr>
            <w:r>
              <w:t>破坏已有天面设备或天馈系统</w:t>
            </w:r>
          </w:p>
        </w:tc>
        <w:tc>
          <w:tcPr>
            <w:tcW w:w="992" w:type="dxa"/>
            <w:tcBorders>
              <w:top w:val="nil"/>
              <w:left w:val="nil"/>
              <w:bottom w:val="single" w:color="auto" w:sz="4" w:space="0"/>
              <w:right w:val="single" w:color="auto" w:sz="4" w:space="0"/>
            </w:tcBorders>
            <w:shd w:val="clear" w:color="auto" w:fill="auto"/>
            <w:vAlign w:val="center"/>
          </w:tcPr>
          <w:p>
            <w:pPr>
              <w:pStyle w:val="290"/>
            </w:pPr>
            <w:r>
              <w:t>施工现场已有复杂多样的天面设备，施工时容易破坏其他设备</w:t>
            </w:r>
          </w:p>
        </w:tc>
        <w:tc>
          <w:tcPr>
            <w:tcW w:w="3748" w:type="dxa"/>
            <w:tcBorders>
              <w:top w:val="nil"/>
              <w:left w:val="nil"/>
              <w:bottom w:val="single" w:color="auto" w:sz="4" w:space="0"/>
              <w:right w:val="single" w:color="auto" w:sz="4" w:space="0"/>
            </w:tcBorders>
            <w:shd w:val="clear" w:color="auto" w:fill="auto"/>
            <w:vAlign w:val="center"/>
          </w:tcPr>
          <w:p>
            <w:pPr>
              <w:pStyle w:val="290"/>
            </w:pPr>
            <w:r>
              <w:t>施工时应结合周围情况做好防护措施，不得随意触动已有设备，不得踩踏走线架、馈线等设备，避免对已有系统造成任何不利影响。</w:t>
            </w:r>
          </w:p>
        </w:tc>
      </w:tr>
      <w:tr>
        <w:tblPrEx>
          <w:tblCellMar>
            <w:top w:w="0" w:type="dxa"/>
            <w:left w:w="108" w:type="dxa"/>
            <w:bottom w:w="0" w:type="dxa"/>
            <w:right w:w="108" w:type="dxa"/>
          </w:tblCellMar>
        </w:tblPrEx>
        <w:trPr>
          <w:trHeight w:val="630" w:hRule="atLeast"/>
        </w:trPr>
        <w:tc>
          <w:tcPr>
            <w:tcW w:w="2166" w:type="dxa"/>
            <w:vMerge w:val="restart"/>
            <w:tcBorders>
              <w:top w:val="single" w:color="000000" w:sz="4" w:space="0"/>
              <w:left w:val="single" w:color="auto" w:sz="4" w:space="0"/>
              <w:bottom w:val="nil"/>
              <w:right w:val="single" w:color="auto" w:sz="4" w:space="0"/>
            </w:tcBorders>
            <w:shd w:val="clear" w:color="auto" w:fill="auto"/>
            <w:vAlign w:val="center"/>
          </w:tcPr>
          <w:p>
            <w:pPr>
              <w:pStyle w:val="290"/>
            </w:pPr>
            <w:r>
              <w:t>涉电作业</w:t>
            </w:r>
          </w:p>
        </w:tc>
        <w:tc>
          <w:tcPr>
            <w:tcW w:w="742" w:type="dxa"/>
            <w:tcBorders>
              <w:top w:val="nil"/>
              <w:left w:val="nil"/>
              <w:bottom w:val="single" w:color="auto" w:sz="4" w:space="0"/>
              <w:right w:val="single" w:color="auto" w:sz="4" w:space="0"/>
            </w:tcBorders>
            <w:shd w:val="clear" w:color="auto" w:fill="auto"/>
            <w:vAlign w:val="center"/>
          </w:tcPr>
          <w:p>
            <w:pPr>
              <w:pStyle w:val="290"/>
            </w:pPr>
            <w:r>
              <w:t>10</w:t>
            </w:r>
          </w:p>
        </w:tc>
        <w:tc>
          <w:tcPr>
            <w:tcW w:w="874" w:type="dxa"/>
            <w:tcBorders>
              <w:top w:val="nil"/>
              <w:left w:val="nil"/>
              <w:bottom w:val="single" w:color="auto" w:sz="4" w:space="0"/>
              <w:right w:val="single" w:color="auto" w:sz="4" w:space="0"/>
            </w:tcBorders>
            <w:shd w:val="clear" w:color="auto" w:fill="auto"/>
            <w:vAlign w:val="center"/>
          </w:tcPr>
          <w:p>
            <w:pPr>
              <w:pStyle w:val="290"/>
            </w:pPr>
            <w:r>
              <w:t>不检查电源极性及相位</w:t>
            </w:r>
          </w:p>
        </w:tc>
        <w:tc>
          <w:tcPr>
            <w:tcW w:w="992" w:type="dxa"/>
            <w:tcBorders>
              <w:top w:val="nil"/>
              <w:left w:val="nil"/>
              <w:bottom w:val="single" w:color="auto" w:sz="4" w:space="0"/>
              <w:right w:val="single" w:color="auto" w:sz="4" w:space="0"/>
            </w:tcBorders>
            <w:shd w:val="clear" w:color="auto" w:fill="auto"/>
            <w:vAlign w:val="center"/>
          </w:tcPr>
          <w:p>
            <w:pPr>
              <w:pStyle w:val="290"/>
            </w:pPr>
            <w:r>
              <w:t>送电前不检查极性及相位导致短路或错相，送电不通知、不挂牌、不看护，导致触电伤害</w:t>
            </w:r>
          </w:p>
        </w:tc>
        <w:tc>
          <w:tcPr>
            <w:tcW w:w="3748" w:type="dxa"/>
            <w:tcBorders>
              <w:top w:val="nil"/>
              <w:left w:val="nil"/>
              <w:bottom w:val="single" w:color="auto" w:sz="4" w:space="0"/>
              <w:right w:val="single" w:color="auto" w:sz="4" w:space="0"/>
            </w:tcBorders>
            <w:shd w:val="clear" w:color="auto" w:fill="auto"/>
            <w:vAlign w:val="center"/>
          </w:tcPr>
          <w:p>
            <w:pPr>
              <w:pStyle w:val="290"/>
            </w:pPr>
            <w:r>
              <w:t>施工时要求遵守工程施工安全规范。</w:t>
            </w:r>
            <w:r>
              <w:br w:type="textWrapping"/>
            </w:r>
            <w:r>
              <w:t>送电前，先核实电源情况，做好送电前的通知，挂牌和看护。</w:t>
            </w:r>
          </w:p>
        </w:tc>
      </w:tr>
      <w:tr>
        <w:tblPrEx>
          <w:tblCellMar>
            <w:top w:w="0" w:type="dxa"/>
            <w:left w:w="108" w:type="dxa"/>
            <w:bottom w:w="0" w:type="dxa"/>
            <w:right w:w="108" w:type="dxa"/>
          </w:tblCellMar>
        </w:tblPrEx>
        <w:trPr>
          <w:trHeight w:val="630" w:hRule="atLeast"/>
        </w:trPr>
        <w:tc>
          <w:tcPr>
            <w:tcW w:w="2166" w:type="dxa"/>
            <w:vMerge w:val="continue"/>
            <w:tcBorders>
              <w:top w:val="nil"/>
              <w:left w:val="single" w:color="auto" w:sz="4" w:space="0"/>
              <w:bottom w:val="nil"/>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11</w:t>
            </w:r>
          </w:p>
        </w:tc>
        <w:tc>
          <w:tcPr>
            <w:tcW w:w="874" w:type="dxa"/>
            <w:tcBorders>
              <w:top w:val="nil"/>
              <w:left w:val="nil"/>
              <w:bottom w:val="single" w:color="auto" w:sz="4" w:space="0"/>
              <w:right w:val="single" w:color="auto" w:sz="4" w:space="0"/>
            </w:tcBorders>
            <w:shd w:val="clear" w:color="auto" w:fill="auto"/>
            <w:vAlign w:val="center"/>
          </w:tcPr>
          <w:p>
            <w:pPr>
              <w:pStyle w:val="290"/>
            </w:pPr>
            <w:r>
              <w:t>插座、插头漏电</w:t>
            </w:r>
          </w:p>
        </w:tc>
        <w:tc>
          <w:tcPr>
            <w:tcW w:w="992" w:type="dxa"/>
            <w:tcBorders>
              <w:top w:val="nil"/>
              <w:left w:val="nil"/>
              <w:bottom w:val="single" w:color="auto" w:sz="4" w:space="0"/>
              <w:right w:val="single" w:color="auto" w:sz="4" w:space="0"/>
            </w:tcBorders>
            <w:shd w:val="clear" w:color="auto" w:fill="auto"/>
            <w:vAlign w:val="center"/>
          </w:tcPr>
          <w:p>
            <w:pPr>
              <w:pStyle w:val="290"/>
            </w:pPr>
            <w:r>
              <w:t>各类电气插座、插头老化、电动工具漏电，带电更换附件导致机械或触电伤害</w:t>
            </w:r>
          </w:p>
        </w:tc>
        <w:tc>
          <w:tcPr>
            <w:tcW w:w="3748" w:type="dxa"/>
            <w:tcBorders>
              <w:top w:val="nil"/>
              <w:left w:val="nil"/>
              <w:bottom w:val="single" w:color="auto" w:sz="4" w:space="0"/>
              <w:right w:val="single" w:color="auto" w:sz="4" w:space="0"/>
            </w:tcBorders>
            <w:shd w:val="clear" w:color="auto" w:fill="auto"/>
            <w:vAlign w:val="center"/>
          </w:tcPr>
          <w:p>
            <w:pPr>
              <w:pStyle w:val="290"/>
            </w:pPr>
            <w:r>
              <w:t>施工前需做好用电设备、工具的检查，及时更换各类老化电器设备、工具，施工时要求遵守工程施工安全规范。</w:t>
            </w:r>
          </w:p>
        </w:tc>
      </w:tr>
      <w:tr>
        <w:tblPrEx>
          <w:tblCellMar>
            <w:top w:w="0" w:type="dxa"/>
            <w:left w:w="108" w:type="dxa"/>
            <w:bottom w:w="0" w:type="dxa"/>
            <w:right w:w="108" w:type="dxa"/>
          </w:tblCellMar>
        </w:tblPrEx>
        <w:trPr>
          <w:trHeight w:val="630" w:hRule="atLeast"/>
        </w:trPr>
        <w:tc>
          <w:tcPr>
            <w:tcW w:w="2166" w:type="dxa"/>
            <w:vMerge w:val="continue"/>
            <w:tcBorders>
              <w:top w:val="nil"/>
              <w:left w:val="single" w:color="auto" w:sz="4" w:space="0"/>
              <w:bottom w:val="nil"/>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12</w:t>
            </w:r>
          </w:p>
        </w:tc>
        <w:tc>
          <w:tcPr>
            <w:tcW w:w="874" w:type="dxa"/>
            <w:tcBorders>
              <w:top w:val="nil"/>
              <w:left w:val="nil"/>
              <w:bottom w:val="single" w:color="auto" w:sz="4" w:space="0"/>
              <w:right w:val="single" w:color="auto" w:sz="4" w:space="0"/>
            </w:tcBorders>
            <w:shd w:val="clear" w:color="auto" w:fill="auto"/>
            <w:vAlign w:val="center"/>
          </w:tcPr>
          <w:p>
            <w:pPr>
              <w:pStyle w:val="290"/>
            </w:pPr>
            <w:r>
              <w:t>高压线风险</w:t>
            </w:r>
          </w:p>
        </w:tc>
        <w:tc>
          <w:tcPr>
            <w:tcW w:w="992" w:type="dxa"/>
            <w:tcBorders>
              <w:top w:val="nil"/>
              <w:left w:val="nil"/>
              <w:bottom w:val="single" w:color="auto" w:sz="4" w:space="0"/>
              <w:right w:val="single" w:color="auto" w:sz="4" w:space="0"/>
            </w:tcBorders>
            <w:shd w:val="clear" w:color="auto" w:fill="auto"/>
            <w:vAlign w:val="center"/>
          </w:tcPr>
          <w:p>
            <w:pPr>
              <w:pStyle w:val="290"/>
            </w:pPr>
            <w:r>
              <w:t>高压线离基站举例比较近时，施工队在进行新建移动基站施工时容易碰到高压线造成人员伤亡</w:t>
            </w:r>
          </w:p>
        </w:tc>
        <w:tc>
          <w:tcPr>
            <w:tcW w:w="3748" w:type="dxa"/>
            <w:tcBorders>
              <w:top w:val="nil"/>
              <w:left w:val="nil"/>
              <w:bottom w:val="single" w:color="auto" w:sz="4" w:space="0"/>
              <w:right w:val="single" w:color="auto" w:sz="4" w:space="0"/>
            </w:tcBorders>
            <w:shd w:val="clear" w:color="auto" w:fill="auto"/>
            <w:vAlign w:val="center"/>
          </w:tcPr>
          <w:p>
            <w:pPr>
              <w:pStyle w:val="290"/>
            </w:pPr>
            <w:r>
              <w:t>施工前必需核实与高压的安全距离，施工时严格按照工程施工规范安装，同时做好安全防范措施</w:t>
            </w:r>
          </w:p>
        </w:tc>
      </w:tr>
      <w:tr>
        <w:tblPrEx>
          <w:tblCellMar>
            <w:top w:w="0" w:type="dxa"/>
            <w:left w:w="108" w:type="dxa"/>
            <w:bottom w:w="0" w:type="dxa"/>
            <w:right w:w="108" w:type="dxa"/>
          </w:tblCellMar>
        </w:tblPrEx>
        <w:trPr>
          <w:trHeight w:val="630" w:hRule="atLeast"/>
        </w:trPr>
        <w:tc>
          <w:tcPr>
            <w:tcW w:w="2166"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pStyle w:val="290"/>
            </w:pPr>
            <w:r>
              <w:t>规划优化作业</w:t>
            </w:r>
          </w:p>
        </w:tc>
        <w:tc>
          <w:tcPr>
            <w:tcW w:w="742" w:type="dxa"/>
            <w:tcBorders>
              <w:top w:val="nil"/>
              <w:left w:val="nil"/>
              <w:bottom w:val="single" w:color="auto" w:sz="4" w:space="0"/>
              <w:right w:val="single" w:color="auto" w:sz="4" w:space="0"/>
            </w:tcBorders>
            <w:shd w:val="clear" w:color="auto" w:fill="auto"/>
            <w:vAlign w:val="center"/>
          </w:tcPr>
          <w:p>
            <w:pPr>
              <w:pStyle w:val="290"/>
            </w:pPr>
            <w:r>
              <w:t>13</w:t>
            </w:r>
          </w:p>
        </w:tc>
        <w:tc>
          <w:tcPr>
            <w:tcW w:w="874" w:type="dxa"/>
            <w:tcBorders>
              <w:top w:val="nil"/>
              <w:left w:val="nil"/>
              <w:bottom w:val="single" w:color="auto" w:sz="4" w:space="0"/>
              <w:right w:val="single" w:color="auto" w:sz="4" w:space="0"/>
            </w:tcBorders>
            <w:shd w:val="clear" w:color="auto" w:fill="auto"/>
            <w:vAlign w:val="center"/>
          </w:tcPr>
          <w:p>
            <w:pPr>
              <w:pStyle w:val="290"/>
            </w:pPr>
            <w:r>
              <w:t>通信维护网络被病毒攻击</w:t>
            </w:r>
          </w:p>
        </w:tc>
        <w:tc>
          <w:tcPr>
            <w:tcW w:w="992" w:type="dxa"/>
            <w:tcBorders>
              <w:top w:val="nil"/>
              <w:left w:val="nil"/>
              <w:bottom w:val="single" w:color="auto" w:sz="4" w:space="0"/>
              <w:right w:val="single" w:color="auto" w:sz="4" w:space="0"/>
            </w:tcBorders>
            <w:shd w:val="clear" w:color="auto" w:fill="auto"/>
            <w:vAlign w:val="center"/>
          </w:tcPr>
          <w:p>
            <w:pPr>
              <w:pStyle w:val="290"/>
            </w:pPr>
            <w:r>
              <w:t>测试计算机带病毒连接到移动通信的维护网络造成对网络的攻击。</w:t>
            </w:r>
          </w:p>
        </w:tc>
        <w:tc>
          <w:tcPr>
            <w:tcW w:w="3748" w:type="dxa"/>
            <w:tcBorders>
              <w:top w:val="nil"/>
              <w:left w:val="nil"/>
              <w:bottom w:val="single" w:color="auto" w:sz="4" w:space="0"/>
              <w:right w:val="single" w:color="auto" w:sz="4" w:space="0"/>
            </w:tcBorders>
            <w:shd w:val="clear" w:color="auto" w:fill="auto"/>
            <w:vAlign w:val="center"/>
          </w:tcPr>
          <w:p>
            <w:pPr>
              <w:pStyle w:val="290"/>
            </w:pPr>
            <w:r>
              <w:t>测试计算机应安装查杀病毒软件并及时更新病毒库，定期查杀病毒。个人计算机不得连接到移动通信的维护网络上去，应防止计算机上的病毒攻击移动通信网络。</w:t>
            </w:r>
          </w:p>
        </w:tc>
      </w:tr>
      <w:tr>
        <w:tblPrEx>
          <w:tblCellMar>
            <w:top w:w="0" w:type="dxa"/>
            <w:left w:w="108" w:type="dxa"/>
            <w:bottom w:w="0" w:type="dxa"/>
            <w:right w:w="108" w:type="dxa"/>
          </w:tblCellMar>
        </w:tblPrEx>
        <w:trPr>
          <w:trHeight w:val="1833" w:hRule="atLeast"/>
        </w:trPr>
        <w:tc>
          <w:tcPr>
            <w:tcW w:w="2166" w:type="dxa"/>
            <w:vMerge w:val="continue"/>
            <w:tcBorders>
              <w:top w:val="single" w:color="auto" w:sz="4" w:space="0"/>
              <w:left w:val="single" w:color="auto" w:sz="4" w:space="0"/>
              <w:bottom w:val="single" w:color="000000" w:sz="4" w:space="0"/>
              <w:right w:val="single" w:color="auto" w:sz="4" w:space="0"/>
            </w:tcBorders>
            <w:vAlign w:val="center"/>
          </w:tcPr>
          <w:p>
            <w:pPr>
              <w:pStyle w:val="290"/>
            </w:pPr>
          </w:p>
        </w:tc>
        <w:tc>
          <w:tcPr>
            <w:tcW w:w="742" w:type="dxa"/>
            <w:tcBorders>
              <w:top w:val="nil"/>
              <w:left w:val="nil"/>
              <w:bottom w:val="single" w:color="auto" w:sz="4" w:space="0"/>
              <w:right w:val="single" w:color="auto" w:sz="4" w:space="0"/>
            </w:tcBorders>
            <w:shd w:val="clear" w:color="auto" w:fill="auto"/>
            <w:vAlign w:val="center"/>
          </w:tcPr>
          <w:p>
            <w:pPr>
              <w:pStyle w:val="290"/>
            </w:pPr>
            <w:r>
              <w:t>14</w:t>
            </w:r>
          </w:p>
        </w:tc>
        <w:tc>
          <w:tcPr>
            <w:tcW w:w="874" w:type="dxa"/>
            <w:tcBorders>
              <w:top w:val="nil"/>
              <w:left w:val="nil"/>
              <w:bottom w:val="single" w:color="auto" w:sz="4" w:space="0"/>
              <w:right w:val="single" w:color="auto" w:sz="4" w:space="0"/>
            </w:tcBorders>
            <w:shd w:val="clear" w:color="auto" w:fill="auto"/>
            <w:vAlign w:val="center"/>
          </w:tcPr>
          <w:p>
            <w:pPr>
              <w:pStyle w:val="290"/>
            </w:pPr>
            <w:r>
              <w:t>天馈线测试和调整应未遵守操作规程</w:t>
            </w:r>
          </w:p>
        </w:tc>
        <w:tc>
          <w:tcPr>
            <w:tcW w:w="992" w:type="dxa"/>
            <w:tcBorders>
              <w:top w:val="nil"/>
              <w:left w:val="nil"/>
              <w:bottom w:val="single" w:color="auto" w:sz="4" w:space="0"/>
              <w:right w:val="single" w:color="auto" w:sz="4" w:space="0"/>
            </w:tcBorders>
            <w:shd w:val="clear" w:color="auto" w:fill="auto"/>
            <w:vAlign w:val="center"/>
          </w:tcPr>
          <w:p>
            <w:pPr>
              <w:pStyle w:val="290"/>
            </w:pPr>
            <w:r>
              <w:t>调整天馈线时，遇到铁架生锈松动、天线抱杆不牢固等现象，仍冒险登高作业。</w:t>
            </w:r>
            <w:r>
              <w:br w:type="textWrapping"/>
            </w:r>
            <w:r>
              <w:t>网优工程师未按规范要求完成向上塔人员的技术交底</w:t>
            </w:r>
            <w:r>
              <w:br w:type="textWrapping"/>
            </w:r>
            <w:r>
              <w:t>误操作调整本次工程或本专业范围以外的网元参数。</w:t>
            </w:r>
            <w:r>
              <w:br w:type="textWrapping"/>
            </w:r>
            <w:r>
              <w:t>数据修改前和修改后，未严格按照操作规范流程操作，导致造成影响网络运行正常的安全问题。</w:t>
            </w:r>
          </w:p>
        </w:tc>
        <w:tc>
          <w:tcPr>
            <w:tcW w:w="3748" w:type="dxa"/>
            <w:tcBorders>
              <w:top w:val="nil"/>
              <w:left w:val="nil"/>
              <w:bottom w:val="single" w:color="auto" w:sz="4" w:space="0"/>
              <w:right w:val="single" w:color="auto" w:sz="4" w:space="0"/>
            </w:tcBorders>
            <w:shd w:val="clear" w:color="auto" w:fill="auto"/>
            <w:vAlign w:val="bottom"/>
          </w:tcPr>
          <w:p>
            <w:pPr>
              <w:pStyle w:val="290"/>
            </w:pPr>
            <w:r>
              <w:t>调整天馈线时，如遇到铁架生锈松动、天线抱杆不牢固等现象，应报相关单位处理后再调整，不得要求或强制天馈线操作人员冒险登高作业。</w:t>
            </w:r>
            <w:r>
              <w:br w:type="textWrapping"/>
            </w:r>
            <w:r>
              <w:t>作业人员在上塔调整天馈线前，网优工程师应向上塔人员进行技术交底，确认所调整的平台、天线和调整的内容。</w:t>
            </w:r>
            <w:r>
              <w:br w:type="textWrapping"/>
            </w:r>
            <w:r>
              <w:t>不得调整本次工程或本专业范围以外的网元参数。</w:t>
            </w:r>
            <w:r>
              <w:br w:type="textWrapping"/>
            </w:r>
            <w:r>
              <w:t>数据修改前，应检查在维护过程中由于操作失误而造成的重大数据隐患；检查历次数据修改纪录及修改效果记录，对以前的数据应有充分的了解；检查基站控制器(BSC)、基站收发信系统(BTS)版本，了解版本中应该注意的安全事项。</w:t>
            </w:r>
            <w:r>
              <w:br w:type="textWrapping"/>
            </w:r>
            <w:r>
              <w:t>数据修改前，应制定详细的基站数据修改方案和数据修改失败后返回的应急预案，报建设单位审核、批准；应对设备和系统的原有数据进行备份，并注明日期。</w:t>
            </w:r>
            <w:r>
              <w:br w:type="textWrapping"/>
            </w:r>
            <w:r>
              <w:t>数据修改后的检测应遵守以下要求：</w:t>
            </w:r>
            <w:r>
              <w:br w:type="textWrapping"/>
            </w:r>
            <w:r>
              <w:t xml:space="preserve"> 1.修改完成后应通过基站维护台检测各基站载频、信道的工作状态是否正常。同时宜采用拨打测试进行检查，保证数据修改后的通信业务正常。</w:t>
            </w:r>
            <w:r>
              <w:br w:type="textWrapping"/>
            </w:r>
            <w:r>
              <w:t xml:space="preserve"> 2. 5个基站以上的大范围数据修改后，应及时组织路测，确保网络运行正常。</w:t>
            </w:r>
            <w:r>
              <w:br w:type="textWrapping"/>
            </w:r>
            <w:r>
              <w:t xml:space="preserve"> 3.仔细观察话务统计，检查修改后是否有异常情况发生，特别是拥塞率、掉话率等技术指标。当发现异常情况时应及时处理，恢复设备正常运行。</w:t>
            </w:r>
            <w:r>
              <w:br w:type="textWrapping"/>
            </w:r>
            <w:r>
              <w:t>在优化过程中发现存在涉及网络安全的重大问题，应在规定时间内上报相关单位。</w:t>
            </w:r>
          </w:p>
        </w:tc>
      </w:tr>
    </w:tbl>
    <w:p>
      <w:pPr>
        <w:ind w:firstLine="480"/>
        <w:rPr>
          <w:rFonts w:cs="Times New Roman"/>
          <w:color w:val="FF0000"/>
          <w:highlight w:val="lightGray"/>
        </w:rPr>
      </w:pPr>
    </w:p>
    <w:p>
      <w:pPr>
        <w:pStyle w:val="5"/>
        <w:rPr>
          <w:rFonts w:cs="Times New Roman"/>
        </w:rPr>
      </w:pPr>
      <w:bookmarkStart w:id="1022" w:name="_Toc447202534"/>
      <w:bookmarkStart w:id="1023" w:name="_Toc447204583"/>
      <w:bookmarkStart w:id="1024" w:name="_Toc452131653"/>
      <w:bookmarkStart w:id="1025" w:name="_Toc2868734"/>
      <w:bookmarkStart w:id="1026" w:name="_Toc24480"/>
      <w:r>
        <w:rPr>
          <w:rFonts w:cs="Times New Roman"/>
        </w:rPr>
        <w:t>安全应急预案</w:t>
      </w:r>
      <w:bookmarkEnd w:id="1022"/>
      <w:bookmarkEnd w:id="1023"/>
      <w:bookmarkEnd w:id="1024"/>
      <w:bookmarkEnd w:id="1025"/>
      <w:bookmarkEnd w:id="1026"/>
    </w:p>
    <w:p>
      <w:pPr>
        <w:ind w:firstLine="240" w:firstLineChars="100"/>
        <w:rPr>
          <w:rFonts w:cs="Times New Roman"/>
        </w:rPr>
      </w:pPr>
      <w:r>
        <w:rPr>
          <w:rFonts w:cs="Times New Roman"/>
        </w:rPr>
        <w:t>（1）</w:t>
      </w:r>
      <w:bookmarkStart w:id="1027" w:name="_Toc376966973"/>
      <w:bookmarkStart w:id="1028" w:name="_Toc376782207"/>
      <w:bookmarkStart w:id="1029" w:name="_Toc406508104"/>
      <w:r>
        <w:rPr>
          <w:rFonts w:cs="Times New Roman"/>
        </w:rPr>
        <w:t>配备必要的应急救援器材、设备和现场作业人员安全防护物品</w:t>
      </w:r>
      <w:bookmarkEnd w:id="1027"/>
      <w:bookmarkEnd w:id="1028"/>
      <w:bookmarkEnd w:id="1029"/>
      <w:r>
        <w:rPr>
          <w:rFonts w:cs="Times New Roman"/>
        </w:rPr>
        <w:t>。如：应急照明、通风、抽水设备及锹镐铲、千斤顶、急救药箱及器材。</w:t>
      </w:r>
    </w:p>
    <w:p>
      <w:pPr>
        <w:ind w:firstLine="240" w:firstLineChars="100"/>
        <w:rPr>
          <w:rFonts w:cs="Times New Roman"/>
        </w:rPr>
      </w:pPr>
      <w:r>
        <w:rPr>
          <w:rFonts w:cs="Times New Roman"/>
        </w:rPr>
        <w:t>（2）施工现场发生交通事故、触电、落水、火灾、人员高空坠落等事故时，现场人员应立即抢救伤员，同时应向上级应急预案组织和当地医疗、消防、交通及相关部门报警。</w:t>
      </w:r>
    </w:p>
    <w:p>
      <w:pPr>
        <w:ind w:firstLine="240" w:firstLineChars="100"/>
        <w:rPr>
          <w:rFonts w:cs="Times New Roman"/>
        </w:rPr>
      </w:pPr>
      <w:r>
        <w:rPr>
          <w:rFonts w:cs="Times New Roman"/>
        </w:rPr>
        <w:t>（3）施工现场发生电路阻断、电源短路、造成设备损坏或使正在运行的设备停机事故时，现场负责人应立即向建设单位和项目经理报告，按照应急预案要求尽快恢复。</w:t>
      </w:r>
    </w:p>
    <w:p>
      <w:pPr>
        <w:ind w:firstLine="240" w:firstLineChars="100"/>
        <w:rPr>
          <w:rFonts w:cs="Times New Roman"/>
        </w:rPr>
      </w:pPr>
      <w:r>
        <w:rPr>
          <w:rFonts w:cs="Times New Roman"/>
        </w:rPr>
        <w:t>（4）发生任何事故，必须及时逐级上报。</w:t>
      </w:r>
    </w:p>
    <w:p>
      <w:pPr>
        <w:ind w:firstLine="240" w:firstLineChars="100"/>
        <w:rPr>
          <w:rFonts w:cs="Times New Roman"/>
        </w:rPr>
      </w:pPr>
      <w:r>
        <w:rPr>
          <w:rFonts w:cs="Times New Roman"/>
        </w:rPr>
        <w:t>（5）项目负责人接到事故报告后，应迅速采取有效措施，积极组织救护、抢险，减少人员伤亡和财产损失，防止事故继续扩大，并立即报告安全生产主管部门或上级应急指挥中心。</w:t>
      </w:r>
    </w:p>
    <w:p>
      <w:pPr>
        <w:ind w:firstLine="240" w:firstLineChars="100"/>
        <w:rPr>
          <w:rFonts w:cs="Times New Roman"/>
        </w:rPr>
      </w:pPr>
      <w:r>
        <w:rPr>
          <w:rFonts w:cs="Times New Roman"/>
        </w:rPr>
        <w:t>（6）对重伤及死亡事故，必须保护好现场，不得破坏与事故有关的物体、痕迹、状态；为抢救伤员需移动现场物体时，必须做好标记，未经批准任何人不得擅自清理或破坏现场。</w:t>
      </w:r>
    </w:p>
    <w:p>
      <w:pPr>
        <w:pStyle w:val="4"/>
        <w:rPr>
          <w:rFonts w:cs="Times New Roman"/>
        </w:rPr>
      </w:pPr>
      <w:bookmarkStart w:id="1030" w:name="_Toc3076"/>
      <w:bookmarkStart w:id="1031" w:name="_Toc452131654"/>
      <w:bookmarkStart w:id="1032" w:name="_Toc2868735"/>
      <w:bookmarkStart w:id="1033" w:name="_Toc176345520"/>
      <w:bookmarkStart w:id="1034" w:name="_Toc162879757"/>
      <w:bookmarkStart w:id="1035" w:name="_Toc447202535"/>
      <w:bookmarkStart w:id="1036" w:name="_Toc447204584"/>
      <w:r>
        <w:rPr>
          <w:rFonts w:cs="Times New Roman"/>
        </w:rPr>
        <w:t>人员编制和人员培训</w:t>
      </w:r>
      <w:bookmarkEnd w:id="1030"/>
      <w:bookmarkEnd w:id="1031"/>
      <w:bookmarkEnd w:id="1032"/>
      <w:bookmarkEnd w:id="1033"/>
      <w:bookmarkEnd w:id="1034"/>
      <w:bookmarkEnd w:id="1035"/>
      <w:bookmarkEnd w:id="1036"/>
    </w:p>
    <w:p>
      <w:pPr>
        <w:pStyle w:val="5"/>
        <w:rPr>
          <w:rFonts w:cs="Times New Roman"/>
        </w:rPr>
      </w:pPr>
      <w:bookmarkStart w:id="1037" w:name="_Toc22608"/>
      <w:bookmarkStart w:id="1038" w:name="_Toc2868736"/>
      <w:bookmarkStart w:id="1039" w:name="_Toc447202538"/>
      <w:bookmarkStart w:id="1040" w:name="_Toc447204587"/>
      <w:bookmarkStart w:id="1041" w:name="_Toc452131657"/>
      <w:r>
        <w:rPr>
          <w:rFonts w:cs="Times New Roman"/>
        </w:rPr>
        <w:t>人员编制</w:t>
      </w:r>
      <w:bookmarkEnd w:id="1037"/>
      <w:bookmarkEnd w:id="1038"/>
    </w:p>
    <w:p>
      <w:pPr>
        <w:ind w:firstLine="480"/>
        <w:rPr>
          <w:rFonts w:cs="Times New Roman"/>
        </w:rPr>
      </w:pPr>
      <w:r>
        <w:rPr>
          <w:rFonts w:cs="Times New Roman"/>
        </w:rPr>
        <w:t>根据5G项目具体情况，本项目维护管理人员与2G、3G、4G基站维护人员一并设置，不再另外增加。</w:t>
      </w:r>
    </w:p>
    <w:p>
      <w:pPr>
        <w:pStyle w:val="5"/>
        <w:rPr>
          <w:rFonts w:cs="Times New Roman"/>
        </w:rPr>
      </w:pPr>
      <w:bookmarkStart w:id="1042" w:name="_Toc207355559"/>
      <w:bookmarkEnd w:id="1042"/>
      <w:bookmarkStart w:id="1043" w:name="_Toc207451738"/>
      <w:bookmarkEnd w:id="1043"/>
      <w:bookmarkStart w:id="1044" w:name="_Toc207451535"/>
      <w:bookmarkEnd w:id="1044"/>
      <w:bookmarkStart w:id="1045" w:name="_Toc516487491"/>
      <w:bookmarkStart w:id="1046" w:name="_Toc2868737"/>
      <w:bookmarkStart w:id="1047" w:name="_Toc28982"/>
      <w:bookmarkStart w:id="1048" w:name="_Toc337931548"/>
      <w:bookmarkStart w:id="1049" w:name="_Toc272155634"/>
      <w:r>
        <w:rPr>
          <w:rFonts w:cs="Times New Roman"/>
        </w:rPr>
        <w:t>人员培训</w:t>
      </w:r>
      <w:bookmarkEnd w:id="1045"/>
      <w:bookmarkEnd w:id="1046"/>
      <w:bookmarkEnd w:id="1047"/>
      <w:bookmarkEnd w:id="1048"/>
      <w:bookmarkEnd w:id="1049"/>
    </w:p>
    <w:p>
      <w:pPr>
        <w:ind w:firstLine="480"/>
        <w:rPr>
          <w:rFonts w:cs="Times New Roman"/>
        </w:rPr>
      </w:pPr>
      <w:r>
        <w:rPr>
          <w:rFonts w:cs="Times New Roman"/>
        </w:rPr>
        <w:t>本工程为5G新技术工程，建议对上岗人员，尤其是工程技术人员加强技术培训，提高网络技术、网络规划、设备维护、网络优化等方面的专业水平。培训方式可采用集中授课和现场指导相结合的方式进行。</w:t>
      </w:r>
    </w:p>
    <w:p>
      <w:pPr>
        <w:pStyle w:val="4"/>
        <w:rPr>
          <w:rFonts w:cs="Times New Roman"/>
        </w:rPr>
      </w:pPr>
      <w:bookmarkStart w:id="1050" w:name="_Toc2868738"/>
      <w:bookmarkStart w:id="1051" w:name="_Toc5776"/>
      <w:r>
        <w:rPr>
          <w:rFonts w:cs="Times New Roman"/>
        </w:rPr>
        <w:t>工程验收</w:t>
      </w:r>
      <w:bookmarkEnd w:id="1039"/>
      <w:bookmarkEnd w:id="1040"/>
      <w:bookmarkEnd w:id="1041"/>
      <w:bookmarkEnd w:id="1050"/>
      <w:bookmarkEnd w:id="1051"/>
    </w:p>
    <w:p>
      <w:pPr>
        <w:pStyle w:val="5"/>
        <w:rPr>
          <w:rFonts w:cs="Times New Roman"/>
        </w:rPr>
      </w:pPr>
      <w:bookmarkStart w:id="1052" w:name="_Toc447204588"/>
      <w:bookmarkStart w:id="1053" w:name="_Toc23051"/>
      <w:bookmarkStart w:id="1054" w:name="_Toc447202539"/>
      <w:bookmarkStart w:id="1055" w:name="_Toc452131658"/>
      <w:bookmarkStart w:id="1056" w:name="_Toc2868739"/>
      <w:r>
        <w:rPr>
          <w:rFonts w:cs="Times New Roman"/>
        </w:rPr>
        <w:t>工程验收前检查</w:t>
      </w:r>
      <w:bookmarkEnd w:id="1052"/>
      <w:bookmarkEnd w:id="1053"/>
      <w:bookmarkEnd w:id="1054"/>
      <w:bookmarkEnd w:id="1055"/>
      <w:bookmarkEnd w:id="1056"/>
    </w:p>
    <w:p>
      <w:pPr>
        <w:ind w:firstLine="480"/>
        <w:rPr>
          <w:rFonts w:cs="Times New Roman"/>
        </w:rPr>
      </w:pPr>
      <w:r>
        <w:rPr>
          <w:rFonts w:cs="Times New Roman"/>
        </w:rPr>
        <w:t>工程验收前检查包括机房环境检查、机房电缆走道（或电缆槽道）安装检查、线缆布放工艺检查、室内设备安装检查、钢塔桅及室外走线架检查、天馈线系统及室外设备检查、设备供电及监控系统检查、防雷接地系统检查等内容。</w:t>
      </w:r>
    </w:p>
    <w:p>
      <w:pPr>
        <w:ind w:firstLine="480"/>
        <w:rPr>
          <w:rFonts w:cs="Times New Roman"/>
        </w:rPr>
      </w:pPr>
      <w:r>
        <w:rPr>
          <w:rFonts w:cs="Times New Roman"/>
        </w:rPr>
        <w:t>应按照相应验收规范及设计要求，做好相应的工程验收前的工艺检查。</w:t>
      </w:r>
    </w:p>
    <w:p>
      <w:pPr>
        <w:pStyle w:val="5"/>
        <w:rPr>
          <w:rFonts w:cs="Times New Roman"/>
        </w:rPr>
      </w:pPr>
      <w:bookmarkStart w:id="1057" w:name="_Toc10738"/>
      <w:bookmarkStart w:id="1058" w:name="_Toc2868740"/>
      <w:bookmarkStart w:id="1059" w:name="_Toc447204589"/>
      <w:bookmarkStart w:id="1060" w:name="_Toc447202540"/>
      <w:bookmarkStart w:id="1061" w:name="_Toc452131659"/>
      <w:r>
        <w:rPr>
          <w:rFonts w:cs="Times New Roman"/>
        </w:rPr>
        <w:t>工程初验</w:t>
      </w:r>
      <w:bookmarkEnd w:id="1057"/>
      <w:bookmarkEnd w:id="1058"/>
      <w:bookmarkEnd w:id="1059"/>
      <w:bookmarkEnd w:id="1060"/>
      <w:bookmarkEnd w:id="1061"/>
    </w:p>
    <w:p>
      <w:pPr>
        <w:ind w:firstLine="523" w:firstLineChars="218"/>
        <w:rPr>
          <w:rFonts w:cs="Times New Roman"/>
        </w:rPr>
      </w:pPr>
      <w:r>
        <w:rPr>
          <w:rFonts w:cs="Times New Roman"/>
        </w:rPr>
        <w:t>设备安装完毕，经过检查测试全部合格，可具备初验条件。</w:t>
      </w:r>
    </w:p>
    <w:p>
      <w:pPr>
        <w:ind w:firstLine="523" w:firstLineChars="218"/>
        <w:rPr>
          <w:rFonts w:cs="Times New Roman"/>
        </w:rPr>
      </w:pPr>
      <w:r>
        <w:rPr>
          <w:rFonts w:cs="Times New Roman"/>
        </w:rPr>
        <w:t>工程初验包括基站子系统验收、操作维护中心（OMC—R）验收和无线网指标验收等内容。</w:t>
      </w:r>
    </w:p>
    <w:p>
      <w:pPr>
        <w:ind w:firstLine="523" w:firstLineChars="218"/>
        <w:rPr>
          <w:rFonts w:cs="Times New Roman"/>
        </w:rPr>
      </w:pPr>
      <w:r>
        <w:rPr>
          <w:rFonts w:cs="Times New Roman"/>
        </w:rPr>
        <w:t>基站子系统验收主要检查软硬件安装是否正确；频率、码资源及信道等系统参数配置是否正确；邻区配置是否正确。</w:t>
      </w:r>
    </w:p>
    <w:p>
      <w:pPr>
        <w:ind w:firstLine="523" w:firstLineChars="218"/>
        <w:rPr>
          <w:rFonts w:cs="Times New Roman"/>
        </w:rPr>
      </w:pPr>
      <w:r>
        <w:rPr>
          <w:rFonts w:cs="Times New Roman"/>
        </w:rPr>
        <w:t>操作维护中心（OMC—R）验收主要检查用户接口、安全、维护、配置、性能、告警等管理功能是否通过。</w:t>
      </w:r>
    </w:p>
    <w:p>
      <w:pPr>
        <w:ind w:firstLine="523" w:firstLineChars="218"/>
        <w:rPr>
          <w:rFonts w:cs="Times New Roman"/>
        </w:rPr>
      </w:pPr>
      <w:r>
        <w:rPr>
          <w:rFonts w:cs="Times New Roman"/>
        </w:rPr>
        <w:t>无线网指标验收主要包括对5G室外连续覆盖、单站覆盖、室内覆盖系统的验收指标，应达到设计指标或验收指标的要求。</w:t>
      </w:r>
    </w:p>
    <w:p>
      <w:pPr>
        <w:pStyle w:val="5"/>
        <w:rPr>
          <w:rFonts w:cs="Times New Roman"/>
        </w:rPr>
      </w:pPr>
      <w:bookmarkStart w:id="1062" w:name="_Toc2868741"/>
      <w:bookmarkStart w:id="1063" w:name="_Toc452131660"/>
      <w:bookmarkStart w:id="1064" w:name="_Toc447202541"/>
      <w:bookmarkStart w:id="1065" w:name="_Toc3178"/>
      <w:bookmarkStart w:id="1066" w:name="_Toc447204590"/>
      <w:r>
        <w:rPr>
          <w:rFonts w:cs="Times New Roman"/>
        </w:rPr>
        <w:t>工程试运行</w:t>
      </w:r>
      <w:bookmarkEnd w:id="1062"/>
      <w:bookmarkEnd w:id="1063"/>
      <w:bookmarkEnd w:id="1064"/>
      <w:bookmarkEnd w:id="1065"/>
      <w:bookmarkEnd w:id="1066"/>
    </w:p>
    <w:p>
      <w:pPr>
        <w:ind w:firstLine="480"/>
        <w:rPr>
          <w:rFonts w:cs="Times New Roman"/>
        </w:rPr>
      </w:pPr>
      <w:r>
        <w:rPr>
          <w:rFonts w:cs="Times New Roman"/>
        </w:rPr>
        <w:t>试运行应从初验测试通过后开始，时间不应少于三个月。试运行相关测试项目与工程初验相同。如果主要指标不符合要求，应从次月开始重新进行。在试运行期间，如果故障率总指标合格，但某月的指标不合格时，应追加一个月，直到合格为止。</w:t>
      </w:r>
    </w:p>
    <w:p>
      <w:pPr>
        <w:pStyle w:val="5"/>
        <w:rPr>
          <w:rFonts w:cs="Times New Roman"/>
        </w:rPr>
      </w:pPr>
      <w:bookmarkStart w:id="1067" w:name="_Toc447202542"/>
      <w:bookmarkStart w:id="1068" w:name="_Toc2868742"/>
      <w:bookmarkStart w:id="1069" w:name="_Toc452131661"/>
      <w:bookmarkStart w:id="1070" w:name="_Toc19179"/>
      <w:bookmarkStart w:id="1071" w:name="_Toc447204591"/>
      <w:r>
        <w:rPr>
          <w:rFonts w:cs="Times New Roman"/>
        </w:rPr>
        <w:t>工程终验</w:t>
      </w:r>
      <w:bookmarkEnd w:id="1067"/>
      <w:bookmarkEnd w:id="1068"/>
      <w:bookmarkEnd w:id="1069"/>
      <w:bookmarkEnd w:id="1070"/>
      <w:bookmarkEnd w:id="1071"/>
    </w:p>
    <w:p>
      <w:pPr>
        <w:ind w:firstLine="480"/>
        <w:rPr>
          <w:rFonts w:cs="Times New Roman"/>
          <w:sz w:val="21"/>
          <w:szCs w:val="24"/>
        </w:rPr>
      </w:pPr>
      <w:r>
        <w:rPr>
          <w:rFonts w:cs="Times New Roman"/>
        </w:rPr>
        <w:t>试运行测试的主要性能和指标应达到要求方可进行工程终验。终验前由施工单位向建设单位提交竣工技术文件。在工程终验过程中，应主要检验系统的稳定、可靠和安全性能，并对工程初步验收提出的遗留问题的处理情况、工程试运行情况报告、工程档案的整理情况等进行检查。</w:t>
      </w:r>
    </w:p>
    <w:p>
      <w:pPr>
        <w:ind w:firstLine="480"/>
        <w:rPr>
          <w:rFonts w:cs="Times New Roman"/>
          <w:sz w:val="21"/>
          <w:szCs w:val="24"/>
        </w:rPr>
      </w:pPr>
      <w:r>
        <w:rPr>
          <w:rFonts w:cs="Times New Roman"/>
        </w:rPr>
        <w:t>工程终验应对工程质量和工程档案进行评价。对工程设计、施工、监理和相关管理部门的工作进行总结。</w:t>
      </w:r>
    </w:p>
    <w:p>
      <w:pPr>
        <w:pStyle w:val="4"/>
        <w:rPr>
          <w:rFonts w:cs="Times New Roman"/>
        </w:rPr>
      </w:pPr>
      <w:bookmarkStart w:id="1072" w:name="_Toc2868743"/>
      <w:bookmarkStart w:id="1073" w:name="_Toc2136"/>
      <w:r>
        <w:rPr>
          <w:rFonts w:cs="Times New Roman"/>
        </w:rPr>
        <w:t>工程合理使用年限</w:t>
      </w:r>
      <w:bookmarkEnd w:id="1072"/>
      <w:bookmarkEnd w:id="1073"/>
    </w:p>
    <w:p>
      <w:pPr>
        <w:ind w:firstLine="523" w:firstLineChars="218"/>
        <w:rPr>
          <w:rFonts w:cs="Times New Roman"/>
          <w:color w:val="000000"/>
        </w:rPr>
      </w:pPr>
      <w:r>
        <w:rPr>
          <w:rFonts w:cs="Times New Roman"/>
          <w:color w:val="000000"/>
        </w:rPr>
        <w:t>工程合理使用年限，是从工程投产或试运行开始，至工程大修或设备已无法正常使用需要退网的年限。是以整个工程为主体，以工程中主要设备的使用年限为主因素考虑。</w:t>
      </w:r>
    </w:p>
    <w:p>
      <w:pPr>
        <w:ind w:firstLine="523" w:firstLineChars="218"/>
        <w:rPr>
          <w:rFonts w:cs="Times New Roman"/>
          <w:color w:val="000000"/>
        </w:rPr>
      </w:pPr>
      <w:r>
        <w:rPr>
          <w:rFonts w:cs="Times New Roman"/>
          <w:color w:val="000000"/>
        </w:rPr>
        <w:t>通信设备的使用年限与设备设计使用寿命、应用场景、设备维护情况相关，并受通信技术发展推动现有设备退网的影响，同时还受到集团相关指导意见对设备退网规定的影响。</w:t>
      </w:r>
    </w:p>
    <w:p>
      <w:pPr>
        <w:ind w:firstLine="523" w:firstLineChars="218"/>
        <w:rPr>
          <w:rFonts w:cs="Times New Roman"/>
          <w:sz w:val="21"/>
          <w:szCs w:val="24"/>
        </w:rPr>
      </w:pPr>
      <w:r>
        <w:rPr>
          <w:rFonts w:cs="Times New Roman"/>
          <w:color w:val="000000"/>
        </w:rPr>
        <w:t>根据对现网设备在网使用年限的调研数据，通过分析影响工程使用年限的各项因素，在排除技术演进、集团决策等因素后，本工程5G基站设备建议的工程合理使用年限为10年、室分设备建议的工程合理使用年限为8年。该合理使用年限，不作为设备退网的依据，具体的工程使用年限，将结合技术发展情况、管理部门的相关规定、设备的具体使用情况、实际使用场景等确定。</w:t>
      </w:r>
    </w:p>
    <w:p>
      <w:pPr>
        <w:pStyle w:val="4"/>
        <w:rPr>
          <w:rFonts w:cs="Times New Roman"/>
        </w:rPr>
      </w:pPr>
      <w:bookmarkStart w:id="1074" w:name="_Toc162879760"/>
      <w:bookmarkStart w:id="1075" w:name="_Toc447204592"/>
      <w:bookmarkStart w:id="1076" w:name="_Toc447202543"/>
      <w:bookmarkStart w:id="1077" w:name="_Toc452131662"/>
      <w:bookmarkStart w:id="1078" w:name="_Toc176345523"/>
      <w:bookmarkStart w:id="1079" w:name="_Toc2868744"/>
      <w:bookmarkStart w:id="1080" w:name="_Toc9522"/>
      <w:r>
        <w:rPr>
          <w:rFonts w:cs="Times New Roman"/>
        </w:rPr>
        <w:t>附</w:t>
      </w:r>
      <w:bookmarkEnd w:id="1074"/>
      <w:bookmarkEnd w:id="1075"/>
      <w:bookmarkEnd w:id="1076"/>
      <w:bookmarkEnd w:id="1077"/>
      <w:bookmarkEnd w:id="1078"/>
      <w:r>
        <w:rPr>
          <w:rFonts w:cs="Times New Roman"/>
        </w:rPr>
        <w:t>表</w:t>
      </w:r>
      <w:bookmarkEnd w:id="1079"/>
      <w:bookmarkEnd w:id="1080"/>
    </w:p>
    <w:tbl>
      <w:tblPr>
        <w:tblStyle w:val="63"/>
        <w:tblW w:w="7817" w:type="dxa"/>
        <w:tblInd w:w="426" w:type="dxa"/>
        <w:tblLayout w:type="fixed"/>
        <w:tblCellMar>
          <w:top w:w="0" w:type="dxa"/>
          <w:left w:w="108" w:type="dxa"/>
          <w:bottom w:w="0" w:type="dxa"/>
          <w:right w:w="108" w:type="dxa"/>
        </w:tblCellMar>
      </w:tblPr>
      <w:tblGrid>
        <w:gridCol w:w="2147"/>
        <w:gridCol w:w="5670"/>
      </w:tblGrid>
      <w:tr>
        <w:tblPrEx>
          <w:tblCellMar>
            <w:top w:w="0" w:type="dxa"/>
            <w:left w:w="108" w:type="dxa"/>
            <w:bottom w:w="0" w:type="dxa"/>
            <w:right w:w="108" w:type="dxa"/>
          </w:tblCellMar>
        </w:tblPrEx>
        <w:trPr>
          <w:trHeight w:val="270" w:hRule="atLeast"/>
        </w:trPr>
        <w:tc>
          <w:tcPr>
            <w:tcW w:w="2147" w:type="dxa"/>
            <w:vAlign w:val="center"/>
          </w:tcPr>
          <w:p>
            <w:pPr>
              <w:widowControl/>
              <w:ind w:firstLine="0" w:firstLineChars="0"/>
              <w:jc w:val="center"/>
              <w:rPr>
                <w:rFonts w:cs="Times New Roman"/>
                <w:color w:val="FF0000"/>
              </w:rPr>
            </w:pPr>
            <w:r>
              <w:rPr>
                <w:rFonts w:cs="Times New Roman"/>
                <w:color w:val="FF0000"/>
              </w:rPr>
              <w:t>附表编号</w:t>
            </w:r>
          </w:p>
        </w:tc>
        <w:tc>
          <w:tcPr>
            <w:tcW w:w="5670" w:type="dxa"/>
            <w:vAlign w:val="center"/>
          </w:tcPr>
          <w:p>
            <w:pPr>
              <w:widowControl/>
              <w:ind w:firstLine="0" w:firstLineChars="0"/>
              <w:jc w:val="center"/>
              <w:rPr>
                <w:rFonts w:cs="Times New Roman"/>
                <w:color w:val="FF0000"/>
              </w:rPr>
            </w:pPr>
            <w:r>
              <w:rPr>
                <w:rFonts w:cs="Times New Roman"/>
                <w:color w:val="FF0000"/>
              </w:rPr>
              <w:t>附表名称</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附表1</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室外基站设备配置表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附表2</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室外基站技术参数条件表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附表3</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室外基站安装工程量表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附表4</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室内覆盖信源配置表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附表5</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室内覆盖信源技术参数条件表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附表6</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室内覆盖信源安装工程量表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附表7</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室内分布系统物业点信息表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附表8</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室内分布系统安装工程量表</w:t>
            </w:r>
          </w:p>
        </w:tc>
      </w:tr>
      <w:tr>
        <w:tblPrEx>
          <w:tblCellMar>
            <w:top w:w="0" w:type="dxa"/>
            <w:left w:w="108" w:type="dxa"/>
            <w:bottom w:w="0" w:type="dxa"/>
            <w:right w:w="108" w:type="dxa"/>
          </w:tblCellMar>
        </w:tblPrEx>
        <w:trPr>
          <w:trHeight w:val="270" w:hRule="atLeast"/>
        </w:trPr>
        <w:tc>
          <w:tcPr>
            <w:tcW w:w="2147" w:type="dxa"/>
            <w:vAlign w:val="center"/>
          </w:tcPr>
          <w:p>
            <w:pPr>
              <w:widowControl/>
              <w:spacing w:after="156"/>
              <w:ind w:firstLine="0" w:firstLineChars="0"/>
              <w:jc w:val="center"/>
              <w:rPr>
                <w:rFonts w:cs="Times New Roman"/>
                <w:color w:val="FF0000"/>
              </w:rPr>
            </w:pPr>
            <w:r>
              <w:rPr>
                <w:rFonts w:cs="Times New Roman"/>
                <w:color w:val="FF0000"/>
              </w:rPr>
              <w:t>附表9</w:t>
            </w:r>
          </w:p>
        </w:tc>
        <w:tc>
          <w:tcPr>
            <w:tcW w:w="5670" w:type="dxa"/>
            <w:vAlign w:val="center"/>
          </w:tcPr>
          <w:p>
            <w:pPr>
              <w:widowControl/>
              <w:spacing w:after="156"/>
              <w:ind w:firstLine="0" w:firstLineChars="0"/>
              <w:jc w:val="center"/>
              <w:rPr>
                <w:rFonts w:cs="Times New Roman"/>
                <w:color w:val="FF0000"/>
              </w:rPr>
            </w:pPr>
            <w:r>
              <w:rPr>
                <w:rFonts w:cs="Times New Roman"/>
                <w:color w:val="FF0000"/>
              </w:rPr>
              <w:t>各基站无线设备抗震类型及抗震加固锚栓尺寸表</w:t>
            </w:r>
          </w:p>
        </w:tc>
      </w:tr>
    </w:tbl>
    <w:p>
      <w:pPr>
        <w:ind w:firstLine="523" w:firstLineChars="218"/>
        <w:rPr>
          <w:rFonts w:cs="Times New Roman"/>
          <w:color w:val="000000"/>
          <w:highlight w:val="yellow"/>
        </w:rPr>
      </w:pPr>
    </w:p>
    <w:p>
      <w:pPr>
        <w:ind w:firstLine="523" w:firstLineChars="218"/>
        <w:rPr>
          <w:rFonts w:cs="Times New Roman"/>
          <w:kern w:val="24"/>
        </w:rPr>
      </w:pPr>
      <w:r>
        <w:rPr>
          <w:rFonts w:cs="Times New Roman"/>
          <w:color w:val="000000"/>
          <w:highlight w:val="yellow"/>
        </w:rPr>
        <w:t>附表格式详见附件1</w:t>
      </w:r>
      <w:r>
        <w:rPr>
          <w:rFonts w:cs="Times New Roman"/>
        </w:rPr>
        <w:br w:type="page"/>
      </w:r>
    </w:p>
    <w:p>
      <w:pPr>
        <w:pStyle w:val="3"/>
        <w:rPr>
          <w:rFonts w:cs="Times New Roman"/>
        </w:rPr>
      </w:pPr>
      <w:bookmarkStart w:id="1081" w:name="_Toc162879761"/>
      <w:bookmarkStart w:id="1082" w:name="_Toc447202544"/>
      <w:bookmarkStart w:id="1083" w:name="_Toc447204593"/>
      <w:bookmarkStart w:id="1084" w:name="_Toc20333"/>
      <w:bookmarkStart w:id="1085" w:name="_Toc2868745"/>
      <w:bookmarkStart w:id="1086" w:name="_Toc176345524"/>
      <w:bookmarkStart w:id="1087" w:name="_Toc302075783"/>
      <w:bookmarkStart w:id="1088" w:name="_Toc452131663"/>
      <w:r>
        <w:rPr>
          <w:rFonts w:cs="Times New Roman"/>
        </w:rPr>
        <w:t>工程概算</w:t>
      </w:r>
      <w:bookmarkEnd w:id="1081"/>
      <w:bookmarkEnd w:id="1082"/>
      <w:bookmarkEnd w:id="1083"/>
      <w:bookmarkEnd w:id="1084"/>
      <w:bookmarkEnd w:id="1085"/>
      <w:bookmarkEnd w:id="1086"/>
      <w:bookmarkEnd w:id="1087"/>
      <w:bookmarkEnd w:id="1088"/>
    </w:p>
    <w:p>
      <w:pPr>
        <w:pStyle w:val="4"/>
        <w:numPr>
          <w:ilvl w:val="1"/>
          <w:numId w:val="66"/>
        </w:numPr>
        <w:rPr>
          <w:rFonts w:cs="Times New Roman"/>
        </w:rPr>
      </w:pPr>
      <w:bookmarkStart w:id="1089" w:name="_Toc302075784"/>
      <w:bookmarkStart w:id="1090" w:name="_Toc3537"/>
      <w:bookmarkStart w:id="1091" w:name="_Toc447204594"/>
      <w:bookmarkStart w:id="1092" w:name="_Toc162879762"/>
      <w:bookmarkStart w:id="1093" w:name="_Toc2868746"/>
      <w:bookmarkStart w:id="1094" w:name="_Toc452131664"/>
      <w:bookmarkStart w:id="1095" w:name="_Toc447202545"/>
      <w:bookmarkStart w:id="1096" w:name="_Toc176345525"/>
      <w:r>
        <w:rPr>
          <w:rFonts w:cs="Times New Roman"/>
        </w:rPr>
        <w:t>编制说明</w:t>
      </w:r>
      <w:bookmarkEnd w:id="1089"/>
      <w:bookmarkEnd w:id="1090"/>
      <w:bookmarkEnd w:id="1091"/>
      <w:bookmarkEnd w:id="1092"/>
      <w:bookmarkEnd w:id="1093"/>
      <w:bookmarkEnd w:id="1094"/>
      <w:bookmarkEnd w:id="1095"/>
      <w:bookmarkEnd w:id="1096"/>
    </w:p>
    <w:p>
      <w:pPr>
        <w:pStyle w:val="5"/>
        <w:rPr>
          <w:rFonts w:cs="Times New Roman"/>
        </w:rPr>
      </w:pPr>
      <w:bookmarkStart w:id="1097" w:name="_Toc2868747"/>
      <w:bookmarkStart w:id="1098" w:name="_Toc7448"/>
      <w:bookmarkStart w:id="1099" w:name="_Toc302075785"/>
      <w:bookmarkStart w:id="1100" w:name="_Toc162879764"/>
      <w:bookmarkStart w:id="1101" w:name="_Toc447202546"/>
      <w:bookmarkStart w:id="1102" w:name="_Toc452131665"/>
      <w:bookmarkStart w:id="1103" w:name="_Toc176345526"/>
      <w:bookmarkStart w:id="1104" w:name="_Toc447204595"/>
      <w:r>
        <w:rPr>
          <w:rFonts w:cs="Times New Roman"/>
        </w:rPr>
        <w:t>工程概况及概算总额</w:t>
      </w:r>
      <w:bookmarkEnd w:id="1097"/>
      <w:bookmarkEnd w:id="1098"/>
    </w:p>
    <w:p>
      <w:pPr>
        <w:ind w:firstLine="480"/>
        <w:rPr>
          <w:rFonts w:cs="Times New Roman"/>
          <w:color w:val="FF0000"/>
        </w:rPr>
      </w:pPr>
      <w:r>
        <w:rPr>
          <w:rFonts w:cs="Times New Roman"/>
        </w:rPr>
        <w:t>本设计为</w:t>
      </w:r>
      <w:r>
        <w:rPr>
          <w:rFonts w:hint="eastAsia" w:cs="Times New Roman"/>
          <w:color w:val="FF0000"/>
        </w:rPr>
        <w:t>江苏</w:t>
      </w:r>
      <w:r>
        <w:rPr>
          <w:rFonts w:cs="Times New Roman"/>
          <w:color w:val="FF0000"/>
        </w:rPr>
        <w:t>省</w:t>
      </w:r>
      <w:r>
        <w:rPr>
          <w:rFonts w:hint="eastAsia" w:cs="Times New Roman"/>
          <w:color w:val="FF0000"/>
        </w:rPr>
        <w:t>无锡</w:t>
      </w:r>
      <w:r>
        <w:rPr>
          <w:rFonts w:cs="Times New Roman"/>
          <w:color w:val="FF0000"/>
        </w:rPr>
        <w:t>市</w:t>
      </w:r>
      <w:r>
        <w:rPr>
          <w:rFonts w:cs="Times New Roman"/>
        </w:rPr>
        <w:t>5G二期</w:t>
      </w:r>
      <w:r>
        <w:rPr>
          <w:rFonts w:hint="eastAsia" w:cs="Times New Roman"/>
        </w:rPr>
        <w:t>一阶段</w:t>
      </w:r>
      <w:r>
        <w:rPr>
          <w:rFonts w:cs="Times New Roman"/>
        </w:rPr>
        <w:t>无线网工程</w:t>
      </w:r>
      <w:r>
        <w:rPr>
          <w:rFonts w:cs="Times New Roman"/>
          <w:color w:val="FF0000"/>
        </w:rPr>
        <w:t>初步设计。包括新建5G室外宏蜂窝基站</w:t>
      </w:r>
      <w:r>
        <w:rPr>
          <w:rFonts w:hint="eastAsia" w:cs="Times New Roman"/>
          <w:color w:val="FF0000"/>
        </w:rPr>
        <w:t>2074</w:t>
      </w:r>
      <w:r>
        <w:rPr>
          <w:rFonts w:cs="Times New Roman"/>
          <w:color w:val="FF0000"/>
        </w:rPr>
        <w:t>个，室内覆盖信源基站</w:t>
      </w:r>
      <w:r>
        <w:rPr>
          <w:rFonts w:hint="eastAsia" w:cs="Times New Roman"/>
          <w:color w:val="FF0000"/>
        </w:rPr>
        <w:t>230</w:t>
      </w:r>
      <w:r>
        <w:rPr>
          <w:rFonts w:cs="Times New Roman"/>
          <w:color w:val="FF0000"/>
        </w:rPr>
        <w:t>个；</w:t>
      </w:r>
      <w:r>
        <w:rPr>
          <w:rFonts w:hint="eastAsia" w:cs="Times New Roman"/>
          <w:color w:val="FF0000"/>
        </w:rPr>
        <w:t>改造</w:t>
      </w:r>
      <w:r>
        <w:rPr>
          <w:rFonts w:cs="Times New Roman"/>
          <w:color w:val="FF0000"/>
        </w:rPr>
        <w:t>OMC-R</w:t>
      </w:r>
      <w:r>
        <w:rPr>
          <w:rFonts w:hint="eastAsia" w:cs="Times New Roman"/>
          <w:color w:val="FF0000"/>
        </w:rPr>
        <w:t xml:space="preserve"> 1</w:t>
      </w:r>
      <w:r>
        <w:rPr>
          <w:rFonts w:cs="Times New Roman"/>
          <w:color w:val="FF0000"/>
        </w:rPr>
        <w:t>套。</w:t>
      </w:r>
    </w:p>
    <w:p>
      <w:pPr>
        <w:ind w:firstLine="480"/>
        <w:rPr>
          <w:rFonts w:cs="Times New Roman"/>
          <w:color w:val="FF0000"/>
        </w:rPr>
      </w:pPr>
      <w:r>
        <w:rPr>
          <w:rFonts w:hint="eastAsia"/>
          <w:color w:val="000000" w:themeColor="text1"/>
          <w14:textFill>
            <w14:solidFill>
              <w14:schemeClr w14:val="tx1"/>
            </w14:solidFill>
          </w14:textFill>
        </w:rPr>
        <w:t>本分册文件</w:t>
      </w:r>
      <w:r>
        <w:rPr>
          <w:color w:val="000000" w:themeColor="text1"/>
          <w14:textFill>
            <w14:solidFill>
              <w14:schemeClr w14:val="tx1"/>
            </w14:solidFill>
          </w14:textFill>
        </w:rPr>
        <w:t>包含</w:t>
      </w:r>
      <w:r>
        <w:rPr>
          <w:rFonts w:hint="eastAsia"/>
          <w:color w:val="000000" w:themeColor="text1"/>
          <w14:textFill>
            <w14:solidFill>
              <w14:schemeClr w14:val="tx1"/>
            </w14:solidFill>
          </w14:textFill>
        </w:rPr>
        <w:t>浦厂宿舍-5G</w:t>
      </w:r>
      <w:r>
        <w:rPr>
          <w:rFonts w:hint="eastAsia" w:cs="Arial"/>
          <w:color w:val="000000" w:themeColor="text1"/>
          <w14:textFill>
            <w14:solidFill>
              <w14:schemeClr w14:val="tx1"/>
            </w14:solidFill>
          </w14:textFill>
        </w:rPr>
        <w:t>宏基站无线主设备安装单位工程</w:t>
      </w:r>
      <w:r>
        <w:rPr>
          <w:rFonts w:hint="eastAsia"/>
          <w:color w:val="000000" w:themeColor="text1"/>
          <w14:textFill>
            <w14:solidFill>
              <w14:schemeClr w14:val="tx1"/>
            </w14:solidFill>
          </w14:textFill>
        </w:rPr>
        <w:t>一阶段设计，包括新建</w:t>
      </w:r>
      <w:r>
        <w:rPr>
          <w:color w:val="000000" w:themeColor="text1"/>
          <w14:textFill>
            <w14:solidFill>
              <w14:schemeClr w14:val="tx1"/>
            </w14:solidFill>
          </w14:textFill>
        </w:rPr>
        <w:t>5G</w:t>
      </w:r>
      <w:r>
        <w:rPr>
          <w:rFonts w:hint="eastAsia"/>
          <w:color w:val="000000" w:themeColor="text1"/>
          <w14:textFill>
            <w14:solidFill>
              <w14:schemeClr w14:val="tx1"/>
            </w14:solidFill>
          </w14:textFill>
        </w:rPr>
        <w:t>室外宏蜂窝基站1个，新建宏基站载频3个。</w:t>
      </w:r>
    </w:p>
    <w:p>
      <w:pPr>
        <w:ind w:firstLine="480"/>
        <w:rPr>
          <w:rFonts w:cs="Times New Roman"/>
          <w:color w:val="FF0000"/>
        </w:rPr>
      </w:pPr>
      <w:r>
        <w:rPr>
          <w:rFonts w:cs="Times New Roman"/>
          <w:color w:val="FF0000"/>
        </w:rPr>
        <w:t>本册设计概算总额，不含税价为××元人民币、增值税为××元人民币、含税价为××元人民币，包括：</w:t>
      </w:r>
    </w:p>
    <w:p>
      <w:pPr>
        <w:ind w:firstLine="480"/>
        <w:rPr>
          <w:rFonts w:cs="Times New Roman"/>
          <w:color w:val="FF0000"/>
        </w:rPr>
      </w:pPr>
      <w:r>
        <w:rPr>
          <w:rFonts w:cs="Times New Roman"/>
          <w:color w:val="FF0000"/>
        </w:rPr>
        <w:t>需要安装设备费，不含税价为××元人民币、增值税为××元人民币、含税价为××元人民币；</w:t>
      </w:r>
    </w:p>
    <w:p>
      <w:pPr>
        <w:ind w:firstLine="480"/>
        <w:rPr>
          <w:rFonts w:cs="Times New Roman"/>
          <w:color w:val="FF0000"/>
        </w:rPr>
      </w:pPr>
      <w:r>
        <w:rPr>
          <w:rFonts w:cs="Times New Roman"/>
          <w:color w:val="FF0000"/>
        </w:rPr>
        <w:t>不需要安装设备费，不含税价为××元人民币、增值税为××元人民币、含税价为××元人民币；</w:t>
      </w:r>
    </w:p>
    <w:p>
      <w:pPr>
        <w:ind w:firstLine="480"/>
        <w:rPr>
          <w:rFonts w:cs="Times New Roman"/>
          <w:color w:val="FF0000"/>
        </w:rPr>
      </w:pPr>
      <w:r>
        <w:rPr>
          <w:rFonts w:cs="Times New Roman"/>
          <w:color w:val="FF0000"/>
        </w:rPr>
        <w:t>建筑安装工程费，不含税价为××元人民币、增值税为××元人民币、含税价为××元人民币；</w:t>
      </w:r>
    </w:p>
    <w:p>
      <w:pPr>
        <w:ind w:firstLine="480"/>
        <w:rPr>
          <w:rFonts w:cs="Times New Roman"/>
          <w:color w:val="FF0000"/>
        </w:rPr>
      </w:pPr>
      <w:r>
        <w:rPr>
          <w:rFonts w:cs="Times New Roman"/>
          <w:color w:val="FF0000"/>
        </w:rPr>
        <w:t>工程建设其他费，不含税价为××元人民币、增值税为××元人民币、含税价为××元人民币；</w:t>
      </w:r>
    </w:p>
    <w:p>
      <w:pPr>
        <w:ind w:firstLine="480"/>
        <w:rPr>
          <w:rFonts w:cs="Times New Roman"/>
          <w:color w:val="FF0000"/>
        </w:rPr>
      </w:pPr>
      <w:r>
        <w:rPr>
          <w:rFonts w:cs="Times New Roman"/>
          <w:color w:val="FF0000"/>
        </w:rPr>
        <w:t>预备费，不含税价为××元人民币、增值税为××元人民币、含税价为××元人民币。</w:t>
      </w:r>
    </w:p>
    <w:p>
      <w:pPr>
        <w:ind w:firstLine="480"/>
        <w:rPr>
          <w:rFonts w:cs="Times New Roman"/>
        </w:rPr>
      </w:pPr>
      <w:r>
        <w:rPr>
          <w:rFonts w:cs="Times New Roman"/>
          <w:color w:val="FF0000"/>
        </w:rPr>
        <w:t>与本工程可行性研究报告批复</w:t>
      </w:r>
      <w:r>
        <w:rPr>
          <w:rFonts w:cs="Times New Roman"/>
          <w:color w:val="000000" w:themeColor="text1"/>
          <w14:textFill>
            <w14:solidFill>
              <w14:schemeClr w14:val="tx1"/>
            </w14:solidFill>
          </w14:textFill>
        </w:rPr>
        <w:t>相比，建设规模</w:t>
      </w:r>
      <w:r>
        <w:rPr>
          <w:rFonts w:hint="eastAsia" w:cs="Times New Roman"/>
          <w:color w:val="000000" w:themeColor="text1"/>
          <w14:textFill>
            <w14:solidFill>
              <w14:schemeClr w14:val="tx1"/>
            </w14:solidFill>
          </w14:textFill>
        </w:rPr>
        <w:t>无变化，</w:t>
      </w:r>
      <w:r>
        <w:rPr>
          <w:rFonts w:cs="Times New Roman"/>
          <w:color w:val="FF0000"/>
        </w:rPr>
        <w:t>工程总投资由可研批复的××万元调整为工程概算××万元，总投资（未）超出可行性研究报告批复。</w:t>
      </w:r>
    </w:p>
    <w:p>
      <w:pPr>
        <w:pStyle w:val="5"/>
        <w:rPr>
          <w:rFonts w:cs="Times New Roman"/>
        </w:rPr>
      </w:pPr>
      <w:bookmarkStart w:id="1105" w:name="_Toc19165"/>
      <w:bookmarkStart w:id="1106" w:name="_Toc2868748"/>
      <w:r>
        <w:rPr>
          <w:rFonts w:cs="Times New Roman"/>
        </w:rPr>
        <w:t>编制依据</w:t>
      </w:r>
      <w:bookmarkEnd w:id="1105"/>
      <w:bookmarkEnd w:id="1106"/>
    </w:p>
    <w:p>
      <w:pPr>
        <w:ind w:firstLine="283" w:firstLineChars="118"/>
        <w:rPr>
          <w:rFonts w:cs="Times New Roman"/>
        </w:rPr>
      </w:pPr>
      <w:r>
        <w:rPr>
          <w:rFonts w:cs="Times New Roman"/>
        </w:rPr>
        <w:t>（1）工信部通信[2016]451号“工业和信息化部关于印发信息通信建设工程预算定额、工程费用定额及工程概预算编制规程的通知”；</w:t>
      </w:r>
    </w:p>
    <w:p>
      <w:pPr>
        <w:ind w:firstLine="283" w:firstLineChars="118"/>
        <w:rPr>
          <w:rFonts w:cs="Times New Roman"/>
        </w:rPr>
      </w:pPr>
      <w:r>
        <w:rPr>
          <w:rFonts w:cs="Times New Roman"/>
        </w:rPr>
        <w:t>（2）工信部2016年12月发布的《信息通信建设工程费用定额》；</w:t>
      </w:r>
    </w:p>
    <w:p>
      <w:pPr>
        <w:ind w:firstLine="283" w:firstLineChars="118"/>
        <w:rPr>
          <w:rFonts w:cs="Times New Roman"/>
        </w:rPr>
      </w:pPr>
      <w:r>
        <w:rPr>
          <w:rFonts w:cs="Times New Roman"/>
        </w:rPr>
        <w:t>（3）工信部2016年12月发布的《信息通信建设工程概预算编制规程》；</w:t>
      </w:r>
    </w:p>
    <w:p>
      <w:pPr>
        <w:ind w:firstLine="283" w:firstLineChars="118"/>
        <w:rPr>
          <w:rFonts w:cs="Times New Roman"/>
        </w:rPr>
      </w:pPr>
      <w:r>
        <w:rPr>
          <w:rFonts w:cs="Times New Roman"/>
        </w:rPr>
        <w:t>（4）工信部2016年12月发布的《信息通信建设工程预算定额》；</w:t>
      </w:r>
    </w:p>
    <w:p>
      <w:pPr>
        <w:ind w:firstLine="283" w:firstLineChars="118"/>
        <w:rPr>
          <w:rFonts w:cs="Times New Roman"/>
        </w:rPr>
      </w:pPr>
      <w:r>
        <w:rPr>
          <w:rFonts w:cs="Times New Roman"/>
        </w:rPr>
        <w:t>（5）工信部2017年5月发布的《2017版定额征订单及勘误》；</w:t>
      </w:r>
    </w:p>
    <w:p>
      <w:pPr>
        <w:ind w:firstLine="283" w:firstLineChars="118"/>
        <w:rPr>
          <w:rFonts w:cs="Times New Roman"/>
        </w:rPr>
      </w:pPr>
      <w:r>
        <w:rPr>
          <w:rFonts w:cs="Times New Roman"/>
        </w:rPr>
        <w:t>（6）国家发展改革委《国家发展改革委关于进一步放开建设项目专业服务价格的通知》（发改价格[2015]299号；</w:t>
      </w:r>
    </w:p>
    <w:p>
      <w:pPr>
        <w:ind w:firstLine="283" w:firstLineChars="118"/>
        <w:rPr>
          <w:rFonts w:cs="Times New Roman"/>
        </w:rPr>
      </w:pPr>
      <w:r>
        <w:rPr>
          <w:rFonts w:cs="Times New Roman"/>
        </w:rPr>
        <w:t>（7）工信部通函[2012]213号《关于调整通信工程安全生产费取费标准和使用范围的通知》；</w:t>
      </w:r>
    </w:p>
    <w:p>
      <w:pPr>
        <w:ind w:firstLine="283" w:firstLineChars="118"/>
        <w:rPr>
          <w:rFonts w:cs="Times New Roman"/>
        </w:rPr>
      </w:pPr>
      <w:r>
        <w:rPr>
          <w:rFonts w:cs="Times New Roman"/>
        </w:rPr>
        <w:t>（8）财政部、税务总局、海关总署《关于深化增值税改革有关政策的公告》（财政部税务总局海关总署公告2019年第39号）；</w:t>
      </w:r>
    </w:p>
    <w:p>
      <w:pPr>
        <w:ind w:firstLine="283" w:firstLineChars="118"/>
        <w:rPr>
          <w:rFonts w:cs="Times New Roman"/>
          <w:color w:val="FF0000"/>
        </w:rPr>
      </w:pPr>
      <w:r>
        <w:rPr>
          <w:rFonts w:cs="Times New Roman"/>
          <w:color w:val="FF0000"/>
        </w:rPr>
        <w:t>（9）中国移动通信集团</w:t>
      </w:r>
      <w:r>
        <w:rPr>
          <w:rFonts w:hint="eastAsia" w:cs="Times New Roman"/>
          <w:color w:val="FF0000"/>
        </w:rPr>
        <w:t>江苏</w:t>
      </w:r>
      <w:r>
        <w:rPr>
          <w:rFonts w:cs="Times New Roman"/>
          <w:color w:val="FF0000"/>
        </w:rPr>
        <w:t>有限公司与厂商签订的设备供货合同；</w:t>
      </w:r>
    </w:p>
    <w:p>
      <w:pPr>
        <w:ind w:firstLine="283" w:firstLineChars="118"/>
        <w:rPr>
          <w:rFonts w:cs="Times New Roman"/>
        </w:rPr>
      </w:pPr>
      <w:r>
        <w:rPr>
          <w:rFonts w:cs="Times New Roman"/>
        </w:rPr>
        <w:t>（10）中国移动通信集团</w:t>
      </w:r>
      <w:r>
        <w:rPr>
          <w:rFonts w:hint="eastAsia" w:cs="Times New Roman"/>
        </w:rPr>
        <w:t>江苏</w:t>
      </w:r>
      <w:r>
        <w:rPr>
          <w:rFonts w:cs="Times New Roman"/>
        </w:rPr>
        <w:t>有限公司与中国移动通信集团设计院有限公司签订的本工程咨询、勘察设计服务合同；</w:t>
      </w:r>
    </w:p>
    <w:p>
      <w:pPr>
        <w:ind w:firstLine="283" w:firstLineChars="118"/>
        <w:rPr>
          <w:rFonts w:cs="Times New Roman"/>
        </w:rPr>
      </w:pPr>
      <w:r>
        <w:rPr>
          <w:rFonts w:cs="Times New Roman"/>
        </w:rPr>
        <w:t>（11）建设单位提供的相关资料；</w:t>
      </w:r>
    </w:p>
    <w:p>
      <w:pPr>
        <w:ind w:firstLine="283" w:firstLineChars="118"/>
        <w:rPr>
          <w:rFonts w:cs="Times New Roman"/>
        </w:rPr>
      </w:pPr>
      <w:r>
        <w:rPr>
          <w:rFonts w:cs="Times New Roman"/>
        </w:rPr>
        <w:t>（12）中国移动通信集团设计院人员现场勘察资料。</w:t>
      </w:r>
    </w:p>
    <w:p>
      <w:pPr>
        <w:pStyle w:val="5"/>
        <w:rPr>
          <w:rFonts w:cs="Times New Roman"/>
        </w:rPr>
      </w:pPr>
      <w:bookmarkStart w:id="1107" w:name="_Toc15857"/>
      <w:bookmarkStart w:id="1108" w:name="_Toc2868749"/>
      <w:r>
        <w:rPr>
          <w:rFonts w:cs="Times New Roman"/>
        </w:rPr>
        <w:t>概算费率取定</w:t>
      </w:r>
      <w:bookmarkEnd w:id="1107"/>
      <w:bookmarkEnd w:id="1108"/>
    </w:p>
    <w:p>
      <w:pPr>
        <w:numPr>
          <w:ilvl w:val="0"/>
          <w:numId w:val="67"/>
        </w:numPr>
        <w:ind w:left="426" w:firstLine="0" w:firstLineChars="0"/>
        <w:rPr>
          <w:rFonts w:cs="Times New Roman"/>
        </w:rPr>
      </w:pPr>
      <w:r>
        <w:rPr>
          <w:rFonts w:cs="Times New Roman"/>
        </w:rPr>
        <w:t>表一</w:t>
      </w:r>
    </w:p>
    <w:p>
      <w:pPr>
        <w:ind w:firstLine="480"/>
        <w:rPr>
          <w:rFonts w:cs="Times New Roman"/>
        </w:rPr>
      </w:pPr>
      <w:r>
        <w:rPr>
          <w:rFonts w:cs="Times New Roman"/>
          <w:color w:val="FF0000"/>
        </w:rPr>
        <w:t>预备费：通信设备安装工程（工程费+工程建设其他费）×3%。</w:t>
      </w:r>
    </w:p>
    <w:p>
      <w:pPr>
        <w:numPr>
          <w:ilvl w:val="0"/>
          <w:numId w:val="67"/>
        </w:numPr>
        <w:ind w:left="426" w:firstLine="0" w:firstLineChars="0"/>
        <w:rPr>
          <w:rFonts w:cs="Times New Roman"/>
        </w:rPr>
      </w:pPr>
      <w:r>
        <w:rPr>
          <w:rFonts w:cs="Times New Roman"/>
        </w:rPr>
        <w:t>表二</w:t>
      </w:r>
    </w:p>
    <w:p>
      <w:pPr>
        <w:pStyle w:val="603"/>
        <w:rPr>
          <w:rFonts w:cs="Times New Roman"/>
        </w:rPr>
      </w:pPr>
      <w:r>
        <w:rPr>
          <w:rFonts w:cs="Times New Roman"/>
        </w:rPr>
        <w:t>表1.3</w:t>
      </w:r>
      <w:r>
        <w:rPr>
          <w:rFonts w:cs="Times New Roman"/>
        </w:rPr>
        <w:noBreakHyphen/>
      </w:r>
      <w:r>
        <w:rPr>
          <w:rFonts w:cs="Times New Roman"/>
        </w:rPr>
        <w:fldChar w:fldCharType="begin"/>
      </w:r>
      <w:r>
        <w:rPr>
          <w:rFonts w:cs="Times New Roman"/>
        </w:rPr>
        <w:instrText xml:space="preserve">SEQ 表 \* ARABIC \s 2</w:instrText>
      </w:r>
      <w:r>
        <w:rPr>
          <w:rFonts w:cs="Times New Roman"/>
        </w:rPr>
        <w:fldChar w:fldCharType="separate"/>
      </w:r>
      <w:r>
        <w:rPr>
          <w:rFonts w:cs="Times New Roman"/>
        </w:rPr>
        <w:t>1</w:t>
      </w:r>
      <w:r>
        <w:rPr>
          <w:rFonts w:cs="Times New Roman"/>
        </w:rPr>
        <w:fldChar w:fldCharType="end"/>
      </w:r>
      <w:r>
        <w:rPr>
          <w:rFonts w:cs="Times New Roman"/>
        </w:rPr>
        <w:t xml:space="preserve">  建设安装工程费取费</w:t>
      </w:r>
    </w:p>
    <w:tbl>
      <w:tblPr>
        <w:tblStyle w:val="63"/>
        <w:tblW w:w="8716" w:type="dxa"/>
        <w:jc w:val="center"/>
        <w:tblLayout w:type="fixed"/>
        <w:tblCellMar>
          <w:top w:w="0" w:type="dxa"/>
          <w:left w:w="108" w:type="dxa"/>
          <w:bottom w:w="0" w:type="dxa"/>
          <w:right w:w="108" w:type="dxa"/>
        </w:tblCellMar>
      </w:tblPr>
      <w:tblGrid>
        <w:gridCol w:w="696"/>
        <w:gridCol w:w="426"/>
        <w:gridCol w:w="837"/>
        <w:gridCol w:w="1818"/>
        <w:gridCol w:w="2711"/>
        <w:gridCol w:w="2228"/>
      </w:tblGrid>
      <w:tr>
        <w:tblPrEx>
          <w:tblCellMar>
            <w:top w:w="0" w:type="dxa"/>
            <w:left w:w="108" w:type="dxa"/>
            <w:bottom w:w="0" w:type="dxa"/>
            <w:right w:w="108" w:type="dxa"/>
          </w:tblCellMar>
        </w:tblPrEx>
        <w:trPr>
          <w:trHeight w:val="86" w:hRule="atLeast"/>
          <w:tblHeader/>
          <w:jc w:val="center"/>
        </w:trPr>
        <w:tc>
          <w:tcPr>
            <w:tcW w:w="69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pPr>
            <w:r>
              <w:t>序号</w:t>
            </w:r>
          </w:p>
        </w:tc>
        <w:tc>
          <w:tcPr>
            <w:tcW w:w="3081" w:type="dxa"/>
            <w:gridSpan w:val="3"/>
            <w:tcBorders>
              <w:top w:val="single" w:color="auto" w:sz="4" w:space="0"/>
              <w:left w:val="nil"/>
              <w:bottom w:val="single" w:color="auto" w:sz="4" w:space="0"/>
              <w:right w:val="single" w:color="auto" w:sz="4" w:space="0"/>
            </w:tcBorders>
            <w:shd w:val="clear" w:color="auto" w:fill="auto"/>
            <w:vAlign w:val="center"/>
          </w:tcPr>
          <w:p>
            <w:pPr>
              <w:pStyle w:val="290"/>
            </w:pPr>
            <w:r>
              <w:t>费用项目</w:t>
            </w:r>
          </w:p>
        </w:tc>
        <w:tc>
          <w:tcPr>
            <w:tcW w:w="2711" w:type="dxa"/>
            <w:tcBorders>
              <w:top w:val="single" w:color="auto" w:sz="4" w:space="0"/>
              <w:left w:val="nil"/>
              <w:bottom w:val="single" w:color="auto" w:sz="4" w:space="0"/>
              <w:right w:val="single" w:color="auto" w:sz="4" w:space="0"/>
            </w:tcBorders>
            <w:shd w:val="clear" w:color="auto" w:fill="auto"/>
            <w:vAlign w:val="center"/>
          </w:tcPr>
          <w:p>
            <w:pPr>
              <w:pStyle w:val="290"/>
            </w:pPr>
            <w:r>
              <w:t>计算方法</w:t>
            </w:r>
          </w:p>
        </w:tc>
        <w:tc>
          <w:tcPr>
            <w:tcW w:w="2228" w:type="dxa"/>
            <w:tcBorders>
              <w:top w:val="single" w:color="auto" w:sz="4" w:space="0"/>
              <w:left w:val="nil"/>
              <w:bottom w:val="single" w:color="auto" w:sz="4" w:space="0"/>
              <w:right w:val="single" w:color="auto" w:sz="4" w:space="0"/>
            </w:tcBorders>
            <w:shd w:val="clear" w:color="auto" w:fill="auto"/>
            <w:vAlign w:val="center"/>
          </w:tcPr>
          <w:p>
            <w:pPr>
              <w:pStyle w:val="290"/>
            </w:pPr>
            <w:r>
              <w:t>主要参数</w:t>
            </w:r>
          </w:p>
        </w:tc>
      </w:tr>
      <w:tr>
        <w:tblPrEx>
          <w:tblCellMar>
            <w:top w:w="0" w:type="dxa"/>
            <w:left w:w="108" w:type="dxa"/>
            <w:bottom w:w="0" w:type="dxa"/>
            <w:right w:w="108" w:type="dxa"/>
          </w:tblCellMar>
        </w:tblPrEx>
        <w:trPr>
          <w:trHeight w:val="165" w:hRule="atLeast"/>
          <w:jc w:val="center"/>
        </w:trPr>
        <w:tc>
          <w:tcPr>
            <w:tcW w:w="696"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1</w:t>
            </w:r>
          </w:p>
        </w:tc>
        <w:tc>
          <w:tcPr>
            <w:tcW w:w="426"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直接费</w:t>
            </w:r>
          </w:p>
        </w:tc>
        <w:tc>
          <w:tcPr>
            <w:tcW w:w="837"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直接工程费</w:t>
            </w:r>
          </w:p>
        </w:tc>
        <w:tc>
          <w:tcPr>
            <w:tcW w:w="1818" w:type="dxa"/>
            <w:vMerge w:val="restart"/>
            <w:tcBorders>
              <w:top w:val="nil"/>
              <w:left w:val="nil"/>
              <w:right w:val="single" w:color="auto" w:sz="4" w:space="0"/>
            </w:tcBorders>
            <w:shd w:val="clear" w:color="auto" w:fill="auto"/>
            <w:vAlign w:val="center"/>
          </w:tcPr>
          <w:p>
            <w:pPr>
              <w:pStyle w:val="290"/>
            </w:pPr>
            <w:r>
              <w:t>人工费</w:t>
            </w:r>
          </w:p>
        </w:tc>
        <w:tc>
          <w:tcPr>
            <w:tcW w:w="2711"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工日×人工费单价</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技工114元/工日</w:t>
            </w:r>
          </w:p>
        </w:tc>
      </w:tr>
      <w:tr>
        <w:tblPrEx>
          <w:tblCellMar>
            <w:top w:w="0" w:type="dxa"/>
            <w:left w:w="108" w:type="dxa"/>
            <w:bottom w:w="0" w:type="dxa"/>
            <w:right w:w="108" w:type="dxa"/>
          </w:tblCellMar>
        </w:tblPrEx>
        <w:trPr>
          <w:trHeight w:val="114" w:hRule="atLeast"/>
          <w:jc w:val="center"/>
        </w:trPr>
        <w:tc>
          <w:tcPr>
            <w:tcW w:w="696" w:type="dxa"/>
            <w:vMerge w:val="continue"/>
            <w:tcBorders>
              <w:top w:val="nil"/>
              <w:left w:val="single" w:color="auto" w:sz="4" w:space="0"/>
              <w:bottom w:val="single" w:color="auto" w:sz="4" w:space="0"/>
              <w:right w:val="single" w:color="auto" w:sz="4" w:space="0"/>
            </w:tcBorders>
            <w:vAlign w:val="center"/>
          </w:tcPr>
          <w:p>
            <w:pPr>
              <w:pStyle w:val="290"/>
            </w:pP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vMerge w:val="continue"/>
            <w:tcBorders>
              <w:left w:val="nil"/>
              <w:bottom w:val="single" w:color="auto" w:sz="4" w:space="0"/>
              <w:right w:val="single" w:color="auto" w:sz="4" w:space="0"/>
            </w:tcBorders>
            <w:shd w:val="clear" w:color="auto" w:fill="auto"/>
            <w:vAlign w:val="center"/>
          </w:tcPr>
          <w:p>
            <w:pPr>
              <w:pStyle w:val="290"/>
            </w:pPr>
          </w:p>
        </w:tc>
        <w:tc>
          <w:tcPr>
            <w:tcW w:w="2711" w:type="dxa"/>
            <w:vMerge w:val="continue"/>
            <w:tcBorders>
              <w:top w:val="nil"/>
              <w:left w:val="single" w:color="auto" w:sz="4" w:space="0"/>
              <w:bottom w:val="single" w:color="auto" w:sz="4" w:space="0"/>
              <w:right w:val="single" w:color="auto" w:sz="4" w:space="0"/>
            </w:tcBorders>
            <w:vAlign w:val="center"/>
          </w:tcPr>
          <w:p>
            <w:pPr>
              <w:pStyle w:val="290"/>
            </w:pP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普工61元/工日</w:t>
            </w:r>
          </w:p>
        </w:tc>
      </w:tr>
      <w:tr>
        <w:tblPrEx>
          <w:tblCellMar>
            <w:top w:w="0" w:type="dxa"/>
            <w:left w:w="108" w:type="dxa"/>
            <w:bottom w:w="0" w:type="dxa"/>
            <w:right w:w="108" w:type="dxa"/>
          </w:tblCellMar>
        </w:tblPrEx>
        <w:trPr>
          <w:trHeight w:val="9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2</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材料费</w:t>
            </w:r>
          </w:p>
        </w:tc>
        <w:tc>
          <w:tcPr>
            <w:tcW w:w="2711" w:type="dxa"/>
            <w:tcBorders>
              <w:top w:val="nil"/>
              <w:left w:val="nil"/>
              <w:bottom w:val="single" w:color="auto" w:sz="4" w:space="0"/>
              <w:right w:val="single" w:color="auto" w:sz="4" w:space="0"/>
            </w:tcBorders>
            <w:shd w:val="clear" w:color="auto" w:fill="auto"/>
            <w:vAlign w:val="center"/>
          </w:tcPr>
          <w:p>
            <w:pPr>
              <w:pStyle w:val="290"/>
            </w:pPr>
            <w:r>
              <w:t>按表四（材料）</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3</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机械使用费</w:t>
            </w:r>
          </w:p>
        </w:tc>
        <w:tc>
          <w:tcPr>
            <w:tcW w:w="2711" w:type="dxa"/>
            <w:tcBorders>
              <w:top w:val="nil"/>
              <w:left w:val="nil"/>
              <w:bottom w:val="single" w:color="auto" w:sz="4" w:space="0"/>
              <w:right w:val="single" w:color="auto" w:sz="4" w:space="0"/>
            </w:tcBorders>
            <w:shd w:val="clear" w:color="auto" w:fill="auto"/>
            <w:vAlign w:val="center"/>
          </w:tcPr>
          <w:p>
            <w:pPr>
              <w:pStyle w:val="290"/>
            </w:pPr>
            <w:r>
              <w:t>按表三乙</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4</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仪表使用费</w:t>
            </w:r>
          </w:p>
        </w:tc>
        <w:tc>
          <w:tcPr>
            <w:tcW w:w="2711" w:type="dxa"/>
            <w:tcBorders>
              <w:top w:val="nil"/>
              <w:left w:val="nil"/>
              <w:bottom w:val="single" w:color="auto" w:sz="4" w:space="0"/>
              <w:right w:val="single" w:color="auto" w:sz="4" w:space="0"/>
            </w:tcBorders>
            <w:shd w:val="clear" w:color="auto" w:fill="auto"/>
            <w:vAlign w:val="center"/>
          </w:tcPr>
          <w:p>
            <w:pPr>
              <w:pStyle w:val="290"/>
            </w:pPr>
            <w:r>
              <w:t>按表三丙</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104"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5</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tcBorders>
              <w:top w:val="nil"/>
              <w:left w:val="nil"/>
              <w:bottom w:val="single" w:color="auto" w:sz="4" w:space="0"/>
              <w:right w:val="single" w:color="auto" w:sz="4" w:space="0"/>
            </w:tcBorders>
            <w:shd w:val="clear" w:color="auto" w:fill="auto"/>
            <w:vAlign w:val="center"/>
          </w:tcPr>
          <w:p>
            <w:pPr>
              <w:pStyle w:val="290"/>
            </w:pPr>
            <w:r>
              <w:t>措施项目费</w:t>
            </w:r>
          </w:p>
        </w:tc>
        <w:tc>
          <w:tcPr>
            <w:tcW w:w="1818" w:type="dxa"/>
            <w:tcBorders>
              <w:top w:val="nil"/>
              <w:left w:val="nil"/>
              <w:bottom w:val="single" w:color="auto" w:sz="4" w:space="0"/>
              <w:right w:val="single" w:color="auto" w:sz="4" w:space="0"/>
            </w:tcBorders>
            <w:shd w:val="clear" w:color="auto" w:fill="auto"/>
            <w:vAlign w:val="center"/>
          </w:tcPr>
          <w:p>
            <w:pPr>
              <w:pStyle w:val="290"/>
            </w:pPr>
            <w:r>
              <w:t>共15项，见下表</w:t>
            </w:r>
          </w:p>
        </w:tc>
        <w:tc>
          <w:tcPr>
            <w:tcW w:w="2711" w:type="dxa"/>
            <w:tcBorders>
              <w:top w:val="nil"/>
              <w:left w:val="nil"/>
              <w:bottom w:val="single" w:color="auto" w:sz="4" w:space="0"/>
              <w:right w:val="single" w:color="auto" w:sz="4" w:space="0"/>
            </w:tcBorders>
            <w:shd w:val="clear" w:color="auto" w:fill="auto"/>
            <w:vAlign w:val="center"/>
          </w:tcPr>
          <w:p>
            <w:pPr>
              <w:pStyle w:val="290"/>
            </w:pPr>
            <w:r>
              <w:t>　</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8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6</w:t>
            </w:r>
          </w:p>
        </w:tc>
        <w:tc>
          <w:tcPr>
            <w:tcW w:w="426"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间接费</w:t>
            </w:r>
          </w:p>
        </w:tc>
        <w:tc>
          <w:tcPr>
            <w:tcW w:w="837" w:type="dxa"/>
            <w:vMerge w:val="restart"/>
            <w:tcBorders>
              <w:top w:val="nil"/>
              <w:left w:val="single" w:color="auto" w:sz="4" w:space="0"/>
              <w:bottom w:val="single" w:color="auto" w:sz="4" w:space="0"/>
              <w:right w:val="single" w:color="auto" w:sz="4" w:space="0"/>
            </w:tcBorders>
            <w:shd w:val="clear" w:color="auto" w:fill="auto"/>
            <w:vAlign w:val="center"/>
          </w:tcPr>
          <w:p>
            <w:pPr>
              <w:pStyle w:val="290"/>
            </w:pPr>
            <w:r>
              <w:t>规费</w:t>
            </w:r>
          </w:p>
        </w:tc>
        <w:tc>
          <w:tcPr>
            <w:tcW w:w="1818" w:type="dxa"/>
            <w:tcBorders>
              <w:top w:val="nil"/>
              <w:left w:val="nil"/>
              <w:bottom w:val="single" w:color="auto" w:sz="4" w:space="0"/>
              <w:right w:val="single" w:color="auto" w:sz="4" w:space="0"/>
            </w:tcBorders>
            <w:shd w:val="clear" w:color="auto" w:fill="auto"/>
            <w:vAlign w:val="center"/>
          </w:tcPr>
          <w:p>
            <w:pPr>
              <w:pStyle w:val="290"/>
            </w:pPr>
            <w:r>
              <w:t>工程排污费</w:t>
            </w:r>
          </w:p>
        </w:tc>
        <w:tc>
          <w:tcPr>
            <w:tcW w:w="2711" w:type="dxa"/>
            <w:tcBorders>
              <w:top w:val="nil"/>
              <w:left w:val="nil"/>
              <w:bottom w:val="single" w:color="auto" w:sz="4" w:space="0"/>
              <w:right w:val="single" w:color="auto" w:sz="4" w:space="0"/>
            </w:tcBorders>
            <w:shd w:val="clear" w:color="auto" w:fill="auto"/>
            <w:vAlign w:val="center"/>
          </w:tcPr>
          <w:p>
            <w:pPr>
              <w:pStyle w:val="290"/>
            </w:pPr>
            <w:r>
              <w:t>施工所在地规定。</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　</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7</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社会保障费</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人工费×社会保障费率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28.50%</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8</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住房公积金</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人工费×住房公积金费率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4.19%</w:t>
            </w:r>
          </w:p>
        </w:tc>
      </w:tr>
      <w:tr>
        <w:tblPrEx>
          <w:tblCellMar>
            <w:top w:w="0" w:type="dxa"/>
            <w:left w:w="108" w:type="dxa"/>
            <w:bottom w:w="0" w:type="dxa"/>
            <w:right w:w="108" w:type="dxa"/>
          </w:tblCellMar>
        </w:tblPrEx>
        <w:trPr>
          <w:trHeight w:val="93"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9</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837" w:type="dxa"/>
            <w:vMerge w:val="continue"/>
            <w:tcBorders>
              <w:top w:val="nil"/>
              <w:left w:val="single" w:color="auto" w:sz="4" w:space="0"/>
              <w:bottom w:val="single" w:color="auto" w:sz="4" w:space="0"/>
              <w:right w:val="single" w:color="auto" w:sz="4" w:space="0"/>
            </w:tcBorders>
            <w:vAlign w:val="center"/>
          </w:tcPr>
          <w:p>
            <w:pPr>
              <w:pStyle w:val="290"/>
            </w:pPr>
          </w:p>
        </w:tc>
        <w:tc>
          <w:tcPr>
            <w:tcW w:w="1818" w:type="dxa"/>
            <w:tcBorders>
              <w:top w:val="nil"/>
              <w:left w:val="nil"/>
              <w:bottom w:val="single" w:color="auto" w:sz="4" w:space="0"/>
              <w:right w:val="single" w:color="auto" w:sz="4" w:space="0"/>
            </w:tcBorders>
            <w:shd w:val="clear" w:color="auto" w:fill="auto"/>
            <w:vAlign w:val="center"/>
          </w:tcPr>
          <w:p>
            <w:pPr>
              <w:pStyle w:val="290"/>
            </w:pPr>
            <w:r>
              <w:t>危险作业意外伤害保险费</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人工费×危险作业意外伤害保险费率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1%</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10</w:t>
            </w:r>
          </w:p>
        </w:tc>
        <w:tc>
          <w:tcPr>
            <w:tcW w:w="426" w:type="dxa"/>
            <w:vMerge w:val="continue"/>
            <w:tcBorders>
              <w:top w:val="nil"/>
              <w:left w:val="single" w:color="auto" w:sz="4" w:space="0"/>
              <w:bottom w:val="single" w:color="auto" w:sz="4" w:space="0"/>
              <w:right w:val="single" w:color="auto" w:sz="4" w:space="0"/>
            </w:tcBorders>
            <w:vAlign w:val="center"/>
          </w:tcPr>
          <w:p>
            <w:pPr>
              <w:pStyle w:val="290"/>
            </w:pPr>
          </w:p>
        </w:tc>
        <w:tc>
          <w:tcPr>
            <w:tcW w:w="2655" w:type="dxa"/>
            <w:gridSpan w:val="2"/>
            <w:tcBorders>
              <w:top w:val="single" w:color="auto" w:sz="4" w:space="0"/>
              <w:left w:val="nil"/>
              <w:bottom w:val="single" w:color="auto" w:sz="4" w:space="0"/>
              <w:right w:val="single" w:color="auto" w:sz="4" w:space="0"/>
            </w:tcBorders>
            <w:shd w:val="clear" w:color="auto" w:fill="auto"/>
            <w:vAlign w:val="center"/>
          </w:tcPr>
          <w:p>
            <w:pPr>
              <w:pStyle w:val="290"/>
            </w:pPr>
            <w:r>
              <w:t>企业管理费</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人工费×企业管理费率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27.4%</w:t>
            </w:r>
          </w:p>
        </w:tc>
      </w:tr>
      <w:tr>
        <w:tblPrEx>
          <w:tblCellMar>
            <w:top w:w="0" w:type="dxa"/>
            <w:left w:w="108" w:type="dxa"/>
            <w:bottom w:w="0" w:type="dxa"/>
            <w:right w:w="108" w:type="dxa"/>
          </w:tblCellMar>
        </w:tblPrEx>
        <w:trPr>
          <w:trHeight w:val="70"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11</w:t>
            </w:r>
          </w:p>
        </w:tc>
        <w:tc>
          <w:tcPr>
            <w:tcW w:w="3081" w:type="dxa"/>
            <w:gridSpan w:val="3"/>
            <w:tcBorders>
              <w:top w:val="single" w:color="auto" w:sz="4" w:space="0"/>
              <w:left w:val="nil"/>
              <w:bottom w:val="single" w:color="auto" w:sz="4" w:space="0"/>
              <w:right w:val="single" w:color="auto" w:sz="4" w:space="0"/>
            </w:tcBorders>
            <w:shd w:val="clear" w:color="auto" w:fill="auto"/>
            <w:vAlign w:val="center"/>
          </w:tcPr>
          <w:p>
            <w:pPr>
              <w:pStyle w:val="290"/>
            </w:pPr>
            <w:r>
              <w:t>利润</w:t>
            </w:r>
          </w:p>
        </w:tc>
        <w:tc>
          <w:tcPr>
            <w:tcW w:w="2711" w:type="dxa"/>
            <w:tcBorders>
              <w:top w:val="nil"/>
              <w:left w:val="nil"/>
              <w:bottom w:val="single" w:color="auto" w:sz="4" w:space="0"/>
              <w:right w:val="single" w:color="auto" w:sz="4" w:space="0"/>
            </w:tcBorders>
            <w:shd w:val="clear" w:color="auto" w:fill="auto"/>
            <w:vAlign w:val="center"/>
          </w:tcPr>
          <w:p>
            <w:pPr>
              <w:pStyle w:val="290"/>
            </w:pPr>
            <w:r>
              <w:t>人工费×利润率</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20.0%</w:t>
            </w:r>
          </w:p>
        </w:tc>
      </w:tr>
      <w:tr>
        <w:tblPrEx>
          <w:tblCellMar>
            <w:top w:w="0" w:type="dxa"/>
            <w:left w:w="108" w:type="dxa"/>
            <w:bottom w:w="0" w:type="dxa"/>
            <w:right w:w="108" w:type="dxa"/>
          </w:tblCellMar>
        </w:tblPrEx>
        <w:trPr>
          <w:trHeight w:val="98"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pStyle w:val="290"/>
            </w:pPr>
            <w:r>
              <w:t>12</w:t>
            </w:r>
          </w:p>
        </w:tc>
        <w:tc>
          <w:tcPr>
            <w:tcW w:w="3081" w:type="dxa"/>
            <w:gridSpan w:val="3"/>
            <w:tcBorders>
              <w:top w:val="single" w:color="auto" w:sz="4" w:space="0"/>
              <w:left w:val="nil"/>
              <w:bottom w:val="single" w:color="auto" w:sz="4" w:space="0"/>
              <w:right w:val="single" w:color="auto" w:sz="4" w:space="0"/>
            </w:tcBorders>
            <w:shd w:val="clear" w:color="auto" w:fill="auto"/>
            <w:vAlign w:val="center"/>
          </w:tcPr>
          <w:p>
            <w:pPr>
              <w:pStyle w:val="290"/>
            </w:pPr>
            <w:r>
              <w:t>销项税额</w:t>
            </w:r>
          </w:p>
        </w:tc>
        <w:tc>
          <w:tcPr>
            <w:tcW w:w="2711" w:type="dxa"/>
            <w:tcBorders>
              <w:top w:val="nil"/>
              <w:left w:val="nil"/>
              <w:bottom w:val="single" w:color="auto" w:sz="4" w:space="0"/>
              <w:right w:val="single" w:color="auto" w:sz="4" w:space="0"/>
            </w:tcBorders>
            <w:shd w:val="clear" w:color="auto" w:fill="auto"/>
            <w:vAlign w:val="center"/>
          </w:tcPr>
          <w:p>
            <w:pPr>
              <w:pStyle w:val="290"/>
            </w:pPr>
            <w:r>
              <w:t>按照国家税法规定应计入建筑安装工程造价的增值税销项税额</w:t>
            </w:r>
          </w:p>
        </w:tc>
        <w:tc>
          <w:tcPr>
            <w:tcW w:w="2228" w:type="dxa"/>
            <w:tcBorders>
              <w:top w:val="nil"/>
              <w:left w:val="nil"/>
              <w:bottom w:val="single" w:color="auto" w:sz="4" w:space="0"/>
              <w:right w:val="single" w:color="auto" w:sz="4" w:space="0"/>
            </w:tcBorders>
            <w:shd w:val="clear" w:color="auto" w:fill="auto"/>
            <w:vAlign w:val="center"/>
          </w:tcPr>
          <w:p>
            <w:pPr>
              <w:pStyle w:val="290"/>
              <w:rPr>
                <w:color w:val="FF0000"/>
              </w:rPr>
            </w:pPr>
            <w:r>
              <w:rPr>
                <w:color w:val="FF0000"/>
              </w:rPr>
              <w:t>(人工费+乙供主材费+辅材费+机械使用费+仪表使用费+措施费+规费+企业管理费+利润)×9%+甲供主材费×适用税率</w:t>
            </w:r>
          </w:p>
        </w:tc>
      </w:tr>
    </w:tbl>
    <w:p>
      <w:pPr>
        <w:pStyle w:val="597"/>
        <w:ind w:left="630" w:hanging="630"/>
      </w:pPr>
      <w:r>
        <w:t>注：建筑安装工程费=建筑安装工程税前造价+销项税额；</w:t>
      </w:r>
    </w:p>
    <w:p>
      <w:pPr>
        <w:pStyle w:val="597"/>
        <w:ind w:left="630" w:hanging="630"/>
      </w:pPr>
      <w:r>
        <w:t>销项税额=（人工费+乙供主材费+辅材费+机械使用费+仪表使用费+措施费+规费+企业管理费+利润）×9%+甲供主材费×适用税率。</w:t>
      </w:r>
    </w:p>
    <w:p>
      <w:pPr>
        <w:pStyle w:val="603"/>
        <w:rPr>
          <w:rFonts w:cs="Times New Roman"/>
        </w:rPr>
      </w:pPr>
      <w:r>
        <w:rPr>
          <w:rFonts w:cs="Times New Roman"/>
        </w:rPr>
        <w:t>表1.3</w:t>
      </w:r>
      <w:r>
        <w:rPr>
          <w:rFonts w:cs="Times New Roman"/>
        </w:rPr>
        <w:noBreakHyphen/>
      </w:r>
      <w:r>
        <w:rPr>
          <w:rFonts w:cs="Times New Roman"/>
        </w:rPr>
        <w:fldChar w:fldCharType="begin"/>
      </w:r>
      <w:r>
        <w:rPr>
          <w:rFonts w:cs="Times New Roman"/>
        </w:rPr>
        <w:instrText xml:space="preserve">SEQ 表 \* ARABIC \s 2</w:instrText>
      </w:r>
      <w:r>
        <w:rPr>
          <w:rFonts w:cs="Times New Roman"/>
        </w:rPr>
        <w:fldChar w:fldCharType="separate"/>
      </w:r>
      <w:r>
        <w:rPr>
          <w:rFonts w:cs="Times New Roman"/>
        </w:rPr>
        <w:t>2</w:t>
      </w:r>
      <w:r>
        <w:rPr>
          <w:rFonts w:cs="Times New Roman"/>
        </w:rPr>
        <w:fldChar w:fldCharType="end"/>
      </w:r>
      <w:r>
        <w:rPr>
          <w:rFonts w:cs="Times New Roman"/>
        </w:rPr>
        <w:t xml:space="preserve">  措施项目费取费</w:t>
      </w:r>
    </w:p>
    <w:tbl>
      <w:tblPr>
        <w:tblStyle w:val="63"/>
        <w:tblW w:w="852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74"/>
        <w:gridCol w:w="2032"/>
        <w:gridCol w:w="2976"/>
        <w:gridCol w:w="28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04" w:hRule="atLeast"/>
          <w:tblHeader/>
          <w:jc w:val="center"/>
        </w:trPr>
        <w:tc>
          <w:tcPr>
            <w:tcW w:w="674" w:type="dxa"/>
            <w:shd w:val="clear" w:color="auto" w:fill="auto"/>
            <w:vAlign w:val="center"/>
          </w:tcPr>
          <w:p>
            <w:pPr>
              <w:pStyle w:val="290"/>
            </w:pPr>
            <w:r>
              <w:t>序号</w:t>
            </w:r>
          </w:p>
        </w:tc>
        <w:tc>
          <w:tcPr>
            <w:tcW w:w="2032" w:type="dxa"/>
            <w:shd w:val="clear" w:color="auto" w:fill="auto"/>
            <w:vAlign w:val="center"/>
          </w:tcPr>
          <w:p>
            <w:pPr>
              <w:pStyle w:val="290"/>
            </w:pPr>
            <w:r>
              <w:t>措施费项目</w:t>
            </w:r>
          </w:p>
        </w:tc>
        <w:tc>
          <w:tcPr>
            <w:tcW w:w="2976" w:type="dxa"/>
            <w:shd w:val="clear" w:color="auto" w:fill="auto"/>
            <w:vAlign w:val="center"/>
          </w:tcPr>
          <w:p>
            <w:pPr>
              <w:pStyle w:val="290"/>
            </w:pPr>
            <w:r>
              <w:t>计算方法</w:t>
            </w:r>
          </w:p>
        </w:tc>
        <w:tc>
          <w:tcPr>
            <w:tcW w:w="2840" w:type="dxa"/>
            <w:shd w:val="clear" w:color="auto" w:fill="auto"/>
            <w:vAlign w:val="center"/>
          </w:tcPr>
          <w:p>
            <w:pPr>
              <w:pStyle w:val="290"/>
            </w:pPr>
            <w:r>
              <w:t>相应费率取值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0" w:hRule="atLeast"/>
          <w:jc w:val="center"/>
        </w:trPr>
        <w:tc>
          <w:tcPr>
            <w:tcW w:w="674" w:type="dxa"/>
            <w:shd w:val="clear" w:color="auto" w:fill="auto"/>
            <w:vAlign w:val="center"/>
          </w:tcPr>
          <w:p>
            <w:pPr>
              <w:pStyle w:val="290"/>
            </w:pPr>
            <w:r>
              <w:t>1</w:t>
            </w:r>
          </w:p>
        </w:tc>
        <w:tc>
          <w:tcPr>
            <w:tcW w:w="2032" w:type="dxa"/>
            <w:shd w:val="clear" w:color="auto" w:fill="auto"/>
            <w:vAlign w:val="center"/>
          </w:tcPr>
          <w:p>
            <w:pPr>
              <w:pStyle w:val="290"/>
              <w:rPr>
                <w:color w:val="FF0000"/>
              </w:rPr>
            </w:pPr>
            <w:r>
              <w:rPr>
                <w:color w:val="FF0000"/>
              </w:rPr>
              <w:t>文明施工费</w:t>
            </w:r>
          </w:p>
        </w:tc>
        <w:tc>
          <w:tcPr>
            <w:tcW w:w="2976" w:type="dxa"/>
            <w:shd w:val="clear" w:color="auto" w:fill="auto"/>
            <w:vAlign w:val="center"/>
          </w:tcPr>
          <w:p>
            <w:pPr>
              <w:pStyle w:val="290"/>
              <w:rPr>
                <w:color w:val="FF0000"/>
              </w:rPr>
            </w:pPr>
            <w:r>
              <w:rPr>
                <w:color w:val="FF0000"/>
              </w:rPr>
              <w:t>人工费×文明施工费费率</w:t>
            </w:r>
          </w:p>
        </w:tc>
        <w:tc>
          <w:tcPr>
            <w:tcW w:w="2840" w:type="dxa"/>
            <w:shd w:val="clear" w:color="auto" w:fill="auto"/>
            <w:vAlign w:val="center"/>
          </w:tcPr>
          <w:p>
            <w:pPr>
              <w:pStyle w:val="290"/>
              <w:rPr>
                <w:color w:val="FF0000"/>
              </w:rPr>
            </w:pPr>
            <w:r>
              <w:rPr>
                <w:color w:val="FF0000"/>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45" w:hRule="atLeast"/>
          <w:jc w:val="center"/>
        </w:trPr>
        <w:tc>
          <w:tcPr>
            <w:tcW w:w="674" w:type="dxa"/>
            <w:shd w:val="clear" w:color="auto" w:fill="auto"/>
            <w:vAlign w:val="center"/>
          </w:tcPr>
          <w:p>
            <w:pPr>
              <w:pStyle w:val="290"/>
            </w:pPr>
            <w:r>
              <w:t>2</w:t>
            </w:r>
          </w:p>
        </w:tc>
        <w:tc>
          <w:tcPr>
            <w:tcW w:w="2032" w:type="dxa"/>
            <w:shd w:val="clear" w:color="auto" w:fill="auto"/>
            <w:vAlign w:val="center"/>
          </w:tcPr>
          <w:p>
            <w:pPr>
              <w:pStyle w:val="290"/>
              <w:rPr>
                <w:color w:val="FF0000"/>
              </w:rPr>
            </w:pPr>
            <w:r>
              <w:rPr>
                <w:color w:val="FF0000"/>
              </w:rPr>
              <w:t>工地器材搬运费</w:t>
            </w:r>
          </w:p>
        </w:tc>
        <w:tc>
          <w:tcPr>
            <w:tcW w:w="2976" w:type="dxa"/>
            <w:shd w:val="clear" w:color="auto" w:fill="auto"/>
            <w:vAlign w:val="center"/>
          </w:tcPr>
          <w:p>
            <w:pPr>
              <w:pStyle w:val="290"/>
              <w:rPr>
                <w:color w:val="FF0000"/>
              </w:rPr>
            </w:pPr>
            <w:r>
              <w:rPr>
                <w:color w:val="FF0000"/>
              </w:rPr>
              <w:t>人工费×工地器材搬运费费率</w:t>
            </w:r>
          </w:p>
        </w:tc>
        <w:tc>
          <w:tcPr>
            <w:tcW w:w="2840" w:type="dxa"/>
            <w:shd w:val="clear" w:color="auto" w:fill="auto"/>
            <w:vAlign w:val="center"/>
          </w:tcPr>
          <w:p>
            <w:pPr>
              <w:pStyle w:val="290"/>
              <w:rPr>
                <w:color w:val="FF0000"/>
              </w:rPr>
            </w:pPr>
            <w:r>
              <w:rPr>
                <w:color w:val="FF0000"/>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3</w:t>
            </w:r>
          </w:p>
        </w:tc>
        <w:tc>
          <w:tcPr>
            <w:tcW w:w="2032" w:type="dxa"/>
            <w:shd w:val="clear" w:color="auto" w:fill="auto"/>
            <w:vAlign w:val="center"/>
          </w:tcPr>
          <w:p>
            <w:pPr>
              <w:pStyle w:val="290"/>
              <w:rPr>
                <w:color w:val="FF0000"/>
              </w:rPr>
            </w:pPr>
            <w:r>
              <w:rPr>
                <w:color w:val="FF0000"/>
              </w:rPr>
              <w:t>工程干扰费</w:t>
            </w:r>
          </w:p>
        </w:tc>
        <w:tc>
          <w:tcPr>
            <w:tcW w:w="2976" w:type="dxa"/>
            <w:shd w:val="clear" w:color="auto" w:fill="auto"/>
            <w:vAlign w:val="center"/>
          </w:tcPr>
          <w:p>
            <w:pPr>
              <w:pStyle w:val="290"/>
              <w:rPr>
                <w:color w:val="FF0000"/>
              </w:rPr>
            </w:pPr>
            <w:r>
              <w:rPr>
                <w:color w:val="FF0000"/>
              </w:rPr>
              <w:t>人工费×工程干扰费费率</w:t>
            </w:r>
          </w:p>
        </w:tc>
        <w:tc>
          <w:tcPr>
            <w:tcW w:w="2840" w:type="dxa"/>
            <w:shd w:val="clear" w:color="auto" w:fill="auto"/>
            <w:vAlign w:val="center"/>
          </w:tcPr>
          <w:p>
            <w:pPr>
              <w:pStyle w:val="290"/>
              <w:rPr>
                <w:color w:val="FF0000"/>
              </w:rPr>
            </w:pPr>
            <w:r>
              <w:rPr>
                <w:color w:val="FF0000"/>
              </w:rPr>
              <w:t>4.0%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4</w:t>
            </w:r>
          </w:p>
        </w:tc>
        <w:tc>
          <w:tcPr>
            <w:tcW w:w="2032" w:type="dxa"/>
            <w:shd w:val="clear" w:color="auto" w:fill="auto"/>
            <w:vAlign w:val="center"/>
          </w:tcPr>
          <w:p>
            <w:pPr>
              <w:pStyle w:val="290"/>
              <w:rPr>
                <w:color w:val="FF0000"/>
              </w:rPr>
            </w:pPr>
            <w:r>
              <w:rPr>
                <w:color w:val="FF0000"/>
              </w:rPr>
              <w:t>工程点交、场地清理费</w:t>
            </w:r>
          </w:p>
        </w:tc>
        <w:tc>
          <w:tcPr>
            <w:tcW w:w="2976" w:type="dxa"/>
            <w:shd w:val="clear" w:color="auto" w:fill="auto"/>
            <w:vAlign w:val="center"/>
          </w:tcPr>
          <w:p>
            <w:pPr>
              <w:pStyle w:val="290"/>
              <w:rPr>
                <w:color w:val="FF0000"/>
              </w:rPr>
            </w:pPr>
            <w:r>
              <w:rPr>
                <w:color w:val="FF0000"/>
              </w:rPr>
              <w:t>人工费×工程点交、场地清理费费率</w:t>
            </w:r>
          </w:p>
        </w:tc>
        <w:tc>
          <w:tcPr>
            <w:tcW w:w="2840" w:type="dxa"/>
            <w:shd w:val="clear" w:color="auto" w:fill="auto"/>
            <w:vAlign w:val="center"/>
          </w:tcPr>
          <w:p>
            <w:pPr>
              <w:pStyle w:val="290"/>
              <w:rPr>
                <w:color w:val="FF0000"/>
              </w:rPr>
            </w:pPr>
            <w:r>
              <w:rPr>
                <w:color w:val="FF0000"/>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5" w:hRule="atLeast"/>
          <w:jc w:val="center"/>
        </w:trPr>
        <w:tc>
          <w:tcPr>
            <w:tcW w:w="674" w:type="dxa"/>
            <w:shd w:val="clear" w:color="auto" w:fill="auto"/>
            <w:vAlign w:val="center"/>
          </w:tcPr>
          <w:p>
            <w:pPr>
              <w:pStyle w:val="290"/>
            </w:pPr>
            <w:r>
              <w:t>5</w:t>
            </w:r>
          </w:p>
        </w:tc>
        <w:tc>
          <w:tcPr>
            <w:tcW w:w="2032" w:type="dxa"/>
            <w:shd w:val="clear" w:color="auto" w:fill="auto"/>
            <w:vAlign w:val="center"/>
          </w:tcPr>
          <w:p>
            <w:pPr>
              <w:pStyle w:val="290"/>
              <w:rPr>
                <w:color w:val="FF0000"/>
              </w:rPr>
            </w:pPr>
            <w:r>
              <w:rPr>
                <w:color w:val="FF0000"/>
              </w:rPr>
              <w:t>临时设施费</w:t>
            </w:r>
          </w:p>
        </w:tc>
        <w:tc>
          <w:tcPr>
            <w:tcW w:w="2976" w:type="dxa"/>
            <w:shd w:val="clear" w:color="auto" w:fill="auto"/>
            <w:vAlign w:val="center"/>
          </w:tcPr>
          <w:p>
            <w:pPr>
              <w:pStyle w:val="290"/>
              <w:rPr>
                <w:color w:val="FF0000"/>
              </w:rPr>
            </w:pPr>
            <w:r>
              <w:rPr>
                <w:color w:val="FF0000"/>
              </w:rPr>
              <w:t>人工费×临时设施费费率</w:t>
            </w:r>
          </w:p>
        </w:tc>
        <w:tc>
          <w:tcPr>
            <w:tcW w:w="2840" w:type="dxa"/>
            <w:shd w:val="clear" w:color="auto" w:fill="auto"/>
            <w:vAlign w:val="center"/>
          </w:tcPr>
          <w:p>
            <w:pPr>
              <w:pStyle w:val="290"/>
              <w:rPr>
                <w:color w:val="FF0000"/>
              </w:rPr>
            </w:pPr>
            <w:r>
              <w:rPr>
                <w:color w:val="FF0000"/>
              </w:rPr>
              <w:t>≤35公里，3.8%；</w:t>
            </w:r>
          </w:p>
          <w:p>
            <w:pPr>
              <w:pStyle w:val="290"/>
              <w:rPr>
                <w:color w:val="FF0000"/>
              </w:rPr>
            </w:pPr>
            <w:r>
              <w:rPr>
                <w:color w:val="FF0000"/>
              </w:rPr>
              <w:t>＞35公里，7.6%；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6</w:t>
            </w:r>
          </w:p>
        </w:tc>
        <w:tc>
          <w:tcPr>
            <w:tcW w:w="2032" w:type="dxa"/>
            <w:shd w:val="clear" w:color="auto" w:fill="auto"/>
            <w:vAlign w:val="center"/>
          </w:tcPr>
          <w:p>
            <w:pPr>
              <w:pStyle w:val="290"/>
              <w:rPr>
                <w:color w:val="FF0000"/>
              </w:rPr>
            </w:pPr>
            <w:r>
              <w:rPr>
                <w:color w:val="FF0000"/>
              </w:rPr>
              <w:t>工程车辆使用费</w:t>
            </w:r>
          </w:p>
        </w:tc>
        <w:tc>
          <w:tcPr>
            <w:tcW w:w="2976" w:type="dxa"/>
            <w:shd w:val="clear" w:color="auto" w:fill="auto"/>
            <w:vAlign w:val="center"/>
          </w:tcPr>
          <w:p>
            <w:pPr>
              <w:pStyle w:val="290"/>
              <w:rPr>
                <w:color w:val="FF0000"/>
              </w:rPr>
            </w:pPr>
            <w:r>
              <w:rPr>
                <w:color w:val="FF0000"/>
              </w:rPr>
              <w:t>人工费×工程车辆使用费费率</w:t>
            </w:r>
          </w:p>
        </w:tc>
        <w:tc>
          <w:tcPr>
            <w:tcW w:w="2840" w:type="dxa"/>
            <w:shd w:val="clear" w:color="auto" w:fill="auto"/>
            <w:vAlign w:val="center"/>
          </w:tcPr>
          <w:p>
            <w:pPr>
              <w:pStyle w:val="290"/>
              <w:rPr>
                <w:color w:val="FF0000"/>
              </w:rPr>
            </w:pPr>
            <w:r>
              <w:rPr>
                <w:color w:val="FF0000"/>
              </w:rPr>
              <w:t>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7</w:t>
            </w:r>
          </w:p>
        </w:tc>
        <w:tc>
          <w:tcPr>
            <w:tcW w:w="2032" w:type="dxa"/>
            <w:shd w:val="clear" w:color="auto" w:fill="auto"/>
            <w:vAlign w:val="center"/>
          </w:tcPr>
          <w:p>
            <w:pPr>
              <w:pStyle w:val="290"/>
              <w:rPr>
                <w:color w:val="FF0000"/>
              </w:rPr>
            </w:pPr>
            <w:r>
              <w:rPr>
                <w:color w:val="FF0000"/>
              </w:rPr>
              <w:t>夜间施工增加费</w:t>
            </w:r>
          </w:p>
        </w:tc>
        <w:tc>
          <w:tcPr>
            <w:tcW w:w="2976" w:type="dxa"/>
            <w:shd w:val="clear" w:color="auto" w:fill="auto"/>
            <w:vAlign w:val="center"/>
          </w:tcPr>
          <w:p>
            <w:pPr>
              <w:pStyle w:val="290"/>
              <w:rPr>
                <w:color w:val="FF0000"/>
              </w:rPr>
            </w:pPr>
            <w:r>
              <w:rPr>
                <w:color w:val="FF0000"/>
              </w:rPr>
              <w:t>人工费×夜间施工增加费费率</w:t>
            </w:r>
          </w:p>
        </w:tc>
        <w:tc>
          <w:tcPr>
            <w:tcW w:w="2840" w:type="dxa"/>
            <w:shd w:val="clear" w:color="auto" w:fill="auto"/>
            <w:vAlign w:val="center"/>
          </w:tcPr>
          <w:p>
            <w:pPr>
              <w:pStyle w:val="290"/>
              <w:rPr>
                <w:color w:val="FF0000"/>
              </w:rPr>
            </w:pPr>
            <w:r>
              <w:rPr>
                <w:color w:val="FF0000"/>
              </w:rPr>
              <w:t>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8</w:t>
            </w:r>
          </w:p>
        </w:tc>
        <w:tc>
          <w:tcPr>
            <w:tcW w:w="2032" w:type="dxa"/>
            <w:shd w:val="clear" w:color="auto" w:fill="auto"/>
            <w:vAlign w:val="center"/>
          </w:tcPr>
          <w:p>
            <w:pPr>
              <w:pStyle w:val="290"/>
              <w:rPr>
                <w:color w:val="FF0000"/>
              </w:rPr>
            </w:pPr>
            <w:r>
              <w:rPr>
                <w:color w:val="FF0000"/>
              </w:rPr>
              <w:t>冬雨季施工增加费</w:t>
            </w:r>
          </w:p>
        </w:tc>
        <w:tc>
          <w:tcPr>
            <w:tcW w:w="2976" w:type="dxa"/>
            <w:shd w:val="clear" w:color="auto" w:fill="auto"/>
            <w:vAlign w:val="center"/>
          </w:tcPr>
          <w:p>
            <w:pPr>
              <w:pStyle w:val="290"/>
              <w:rPr>
                <w:color w:val="FF0000"/>
              </w:rPr>
            </w:pPr>
            <w:r>
              <w:rPr>
                <w:color w:val="FF0000"/>
              </w:rPr>
              <w:t>人工费×冬雨季施工增加费费率</w:t>
            </w:r>
          </w:p>
        </w:tc>
        <w:tc>
          <w:tcPr>
            <w:tcW w:w="2840" w:type="dxa"/>
            <w:shd w:val="clear" w:color="auto" w:fill="auto"/>
            <w:vAlign w:val="center"/>
          </w:tcPr>
          <w:p>
            <w:pPr>
              <w:pStyle w:val="290"/>
              <w:rPr>
                <w:color w:val="FF0000"/>
              </w:rPr>
            </w:pPr>
            <w:r>
              <w:rPr>
                <w:color w:val="FF0000"/>
              </w:rPr>
              <w:t>通信设备安装工程（室外部分）</w:t>
            </w:r>
          </w:p>
          <w:p>
            <w:pPr>
              <w:pStyle w:val="290"/>
              <w:rPr>
                <w:color w:val="FF0000"/>
              </w:rPr>
            </w:pPr>
            <w:r>
              <w:rPr>
                <w:color w:val="FF0000"/>
              </w:rPr>
              <w:t>I类地区3.6%，黑龙江、青海、新疆、西藏、辽宁、内蒙古、吉林、甘肃；</w:t>
            </w:r>
          </w:p>
          <w:p>
            <w:pPr>
              <w:pStyle w:val="290"/>
              <w:rPr>
                <w:color w:val="FF0000"/>
              </w:rPr>
            </w:pPr>
            <w:r>
              <w:rPr>
                <w:color w:val="FF0000"/>
              </w:rPr>
              <w:t>II类地区2.5%，陕西、广东、广西、海南、浙江、福建、四川、宁夏、云南；</w:t>
            </w:r>
          </w:p>
          <w:p>
            <w:pPr>
              <w:pStyle w:val="290"/>
              <w:rPr>
                <w:color w:val="FF0000"/>
              </w:rPr>
            </w:pPr>
            <w:r>
              <w:rPr>
                <w:color w:val="FF0000"/>
              </w:rPr>
              <w:t>III类地区1.8%，其他地区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9</w:t>
            </w:r>
          </w:p>
        </w:tc>
        <w:tc>
          <w:tcPr>
            <w:tcW w:w="2032" w:type="dxa"/>
            <w:shd w:val="clear" w:color="auto" w:fill="auto"/>
            <w:vAlign w:val="center"/>
          </w:tcPr>
          <w:p>
            <w:pPr>
              <w:pStyle w:val="290"/>
              <w:rPr>
                <w:color w:val="FF0000"/>
              </w:rPr>
            </w:pPr>
            <w:r>
              <w:rPr>
                <w:color w:val="FF0000"/>
              </w:rPr>
              <w:t>生产工具用具使用费</w:t>
            </w:r>
          </w:p>
        </w:tc>
        <w:tc>
          <w:tcPr>
            <w:tcW w:w="2976" w:type="dxa"/>
            <w:shd w:val="clear" w:color="auto" w:fill="auto"/>
            <w:vAlign w:val="center"/>
          </w:tcPr>
          <w:p>
            <w:pPr>
              <w:pStyle w:val="290"/>
              <w:rPr>
                <w:color w:val="FF0000"/>
              </w:rPr>
            </w:pPr>
            <w:r>
              <w:rPr>
                <w:color w:val="FF0000"/>
              </w:rPr>
              <w:t>人工费×生产工具用具使用费费率</w:t>
            </w:r>
          </w:p>
        </w:tc>
        <w:tc>
          <w:tcPr>
            <w:tcW w:w="2840" w:type="dxa"/>
            <w:shd w:val="clear" w:color="auto" w:fill="auto"/>
            <w:vAlign w:val="center"/>
          </w:tcPr>
          <w:p>
            <w:pPr>
              <w:pStyle w:val="290"/>
              <w:rPr>
                <w:color w:val="FF0000"/>
              </w:rPr>
            </w:pPr>
            <w:r>
              <w:rPr>
                <w:color w:val="FF0000"/>
              </w:rPr>
              <w:t>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10</w:t>
            </w:r>
          </w:p>
        </w:tc>
        <w:tc>
          <w:tcPr>
            <w:tcW w:w="2032" w:type="dxa"/>
            <w:shd w:val="clear" w:color="auto" w:fill="auto"/>
            <w:vAlign w:val="center"/>
          </w:tcPr>
          <w:p>
            <w:pPr>
              <w:pStyle w:val="290"/>
              <w:rPr>
                <w:color w:val="FF0000"/>
              </w:rPr>
            </w:pPr>
            <w:r>
              <w:rPr>
                <w:color w:val="FF0000"/>
              </w:rPr>
              <w:t>施工用水电蒸汽费</w:t>
            </w:r>
          </w:p>
        </w:tc>
        <w:tc>
          <w:tcPr>
            <w:tcW w:w="2976" w:type="dxa"/>
            <w:shd w:val="clear" w:color="auto" w:fill="auto"/>
            <w:vAlign w:val="center"/>
          </w:tcPr>
          <w:p>
            <w:pPr>
              <w:pStyle w:val="290"/>
              <w:rPr>
                <w:color w:val="FF0000"/>
              </w:rPr>
            </w:pPr>
            <w:r>
              <w:rPr>
                <w:color w:val="FF0000"/>
              </w:rPr>
              <w:t>依据施工工艺要求按实计列</w:t>
            </w:r>
          </w:p>
        </w:tc>
        <w:tc>
          <w:tcPr>
            <w:tcW w:w="2840" w:type="dxa"/>
            <w:shd w:val="clear" w:color="auto" w:fill="auto"/>
            <w:vAlign w:val="center"/>
          </w:tcPr>
          <w:p>
            <w:pPr>
              <w:pStyle w:val="290"/>
              <w:rPr>
                <w:color w:val="FF000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11</w:t>
            </w:r>
          </w:p>
        </w:tc>
        <w:tc>
          <w:tcPr>
            <w:tcW w:w="2032" w:type="dxa"/>
            <w:shd w:val="clear" w:color="auto" w:fill="auto"/>
            <w:vAlign w:val="center"/>
          </w:tcPr>
          <w:p>
            <w:pPr>
              <w:pStyle w:val="290"/>
              <w:rPr>
                <w:color w:val="FF0000"/>
              </w:rPr>
            </w:pPr>
            <w:r>
              <w:rPr>
                <w:color w:val="FF0000"/>
              </w:rPr>
              <w:t>特殊地区施工增加费</w:t>
            </w:r>
          </w:p>
        </w:tc>
        <w:tc>
          <w:tcPr>
            <w:tcW w:w="2976" w:type="dxa"/>
            <w:shd w:val="clear" w:color="auto" w:fill="auto"/>
            <w:vAlign w:val="center"/>
          </w:tcPr>
          <w:p>
            <w:pPr>
              <w:pStyle w:val="290"/>
              <w:rPr>
                <w:color w:val="FF0000"/>
              </w:rPr>
            </w:pPr>
            <w:r>
              <w:rPr>
                <w:color w:val="FF0000"/>
              </w:rPr>
              <w:t>特殊地区补贴金额×总工日</w:t>
            </w:r>
          </w:p>
        </w:tc>
        <w:tc>
          <w:tcPr>
            <w:tcW w:w="2840" w:type="dxa"/>
            <w:shd w:val="clear" w:color="auto" w:fill="auto"/>
            <w:vAlign w:val="center"/>
          </w:tcPr>
          <w:p>
            <w:pPr>
              <w:pStyle w:val="290"/>
              <w:rPr>
                <w:color w:val="FF0000"/>
              </w:rPr>
            </w:pPr>
            <w:r>
              <w:rPr>
                <w:color w:val="FF0000"/>
              </w:rPr>
              <w:t>补贴金额：</w:t>
            </w:r>
          </w:p>
          <w:p>
            <w:pPr>
              <w:pStyle w:val="290"/>
              <w:rPr>
                <w:color w:val="FF0000"/>
              </w:rPr>
            </w:pPr>
            <w:r>
              <w:rPr>
                <w:color w:val="FF0000"/>
              </w:rPr>
              <w:t>2000米以上、4000米以下高原，8元/天；</w:t>
            </w:r>
          </w:p>
          <w:p>
            <w:pPr>
              <w:pStyle w:val="290"/>
              <w:rPr>
                <w:color w:val="FF0000"/>
              </w:rPr>
            </w:pPr>
            <w:r>
              <w:rPr>
                <w:color w:val="FF0000"/>
              </w:rPr>
              <w:t>4000米以上高原，25元/天；</w:t>
            </w:r>
          </w:p>
          <w:p>
            <w:pPr>
              <w:pStyle w:val="290"/>
              <w:rPr>
                <w:color w:val="FF0000"/>
              </w:rPr>
            </w:pPr>
            <w:r>
              <w:rPr>
                <w:color w:val="FF0000"/>
              </w:rPr>
              <w:t>原始森林、沙漠、化工、核工业、山区无人值守站地区，17元/天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71" w:hRule="atLeast"/>
          <w:jc w:val="center"/>
        </w:trPr>
        <w:tc>
          <w:tcPr>
            <w:tcW w:w="674" w:type="dxa"/>
            <w:shd w:val="clear" w:color="auto" w:fill="auto"/>
            <w:vAlign w:val="center"/>
          </w:tcPr>
          <w:p>
            <w:pPr>
              <w:pStyle w:val="290"/>
            </w:pPr>
            <w:r>
              <w:t>12</w:t>
            </w:r>
          </w:p>
        </w:tc>
        <w:tc>
          <w:tcPr>
            <w:tcW w:w="2032" w:type="dxa"/>
            <w:shd w:val="clear" w:color="auto" w:fill="auto"/>
            <w:vAlign w:val="center"/>
          </w:tcPr>
          <w:p>
            <w:pPr>
              <w:pStyle w:val="290"/>
              <w:rPr>
                <w:color w:val="FF0000"/>
              </w:rPr>
            </w:pPr>
            <w:r>
              <w:rPr>
                <w:color w:val="FF0000"/>
              </w:rPr>
              <w:t>已完工程及设备保护费</w:t>
            </w:r>
          </w:p>
        </w:tc>
        <w:tc>
          <w:tcPr>
            <w:tcW w:w="2976" w:type="dxa"/>
            <w:shd w:val="clear" w:color="auto" w:fill="auto"/>
            <w:vAlign w:val="center"/>
          </w:tcPr>
          <w:p>
            <w:pPr>
              <w:pStyle w:val="290"/>
              <w:rPr>
                <w:color w:val="FF0000"/>
              </w:rPr>
            </w:pPr>
            <w:r>
              <w:rPr>
                <w:color w:val="FF0000"/>
              </w:rPr>
              <w:t>人工费×已完工程及设备保护费费率</w:t>
            </w:r>
          </w:p>
        </w:tc>
        <w:tc>
          <w:tcPr>
            <w:tcW w:w="2840" w:type="dxa"/>
            <w:shd w:val="clear" w:color="auto" w:fill="auto"/>
            <w:vAlign w:val="center"/>
          </w:tcPr>
          <w:p>
            <w:pPr>
              <w:pStyle w:val="290"/>
              <w:rPr>
                <w:color w:val="FF0000"/>
              </w:rPr>
            </w:pPr>
            <w:r>
              <w:rPr>
                <w:color w:val="FF0000"/>
              </w:rPr>
              <w:t>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5" w:hRule="atLeast"/>
          <w:jc w:val="center"/>
        </w:trPr>
        <w:tc>
          <w:tcPr>
            <w:tcW w:w="674" w:type="dxa"/>
            <w:shd w:val="clear" w:color="auto" w:fill="auto"/>
            <w:vAlign w:val="center"/>
          </w:tcPr>
          <w:p>
            <w:pPr>
              <w:pStyle w:val="290"/>
            </w:pPr>
            <w:r>
              <w:t>13</w:t>
            </w:r>
          </w:p>
        </w:tc>
        <w:tc>
          <w:tcPr>
            <w:tcW w:w="2032" w:type="dxa"/>
            <w:shd w:val="clear" w:color="auto" w:fill="auto"/>
            <w:vAlign w:val="center"/>
          </w:tcPr>
          <w:p>
            <w:pPr>
              <w:pStyle w:val="290"/>
              <w:rPr>
                <w:color w:val="FF0000"/>
              </w:rPr>
            </w:pPr>
            <w:r>
              <w:rPr>
                <w:color w:val="FF0000"/>
              </w:rPr>
              <w:t>运土费</w:t>
            </w:r>
          </w:p>
        </w:tc>
        <w:tc>
          <w:tcPr>
            <w:tcW w:w="2976" w:type="dxa"/>
            <w:shd w:val="clear" w:color="auto" w:fill="auto"/>
            <w:vAlign w:val="center"/>
          </w:tcPr>
          <w:p>
            <w:pPr>
              <w:pStyle w:val="290"/>
              <w:rPr>
                <w:color w:val="FF0000"/>
              </w:rPr>
            </w:pPr>
            <w:r>
              <w:rPr>
                <w:color w:val="FF0000"/>
              </w:rPr>
              <w:t>工程量（吨·千米）×运费单价（元/吨·千米）</w:t>
            </w:r>
          </w:p>
        </w:tc>
        <w:tc>
          <w:tcPr>
            <w:tcW w:w="2840" w:type="dxa"/>
            <w:shd w:val="clear" w:color="auto" w:fill="auto"/>
            <w:vAlign w:val="center"/>
          </w:tcPr>
          <w:p>
            <w:pPr>
              <w:pStyle w:val="290"/>
              <w:rPr>
                <w:color w:val="FF0000"/>
              </w:rPr>
            </w:pPr>
            <w:r>
              <w:rPr>
                <w:color w:val="FF0000"/>
              </w:rPr>
              <w:t>工程量按实计列，运费单价按工程所在地运价计算</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14</w:t>
            </w:r>
          </w:p>
        </w:tc>
        <w:tc>
          <w:tcPr>
            <w:tcW w:w="2032" w:type="dxa"/>
            <w:shd w:val="clear" w:color="auto" w:fill="auto"/>
            <w:vAlign w:val="center"/>
          </w:tcPr>
          <w:p>
            <w:pPr>
              <w:pStyle w:val="290"/>
              <w:rPr>
                <w:color w:val="FF0000"/>
              </w:rPr>
            </w:pPr>
            <w:r>
              <w:rPr>
                <w:color w:val="FF0000"/>
              </w:rPr>
              <w:t>施工队伍调遣费</w:t>
            </w:r>
          </w:p>
        </w:tc>
        <w:tc>
          <w:tcPr>
            <w:tcW w:w="2976" w:type="dxa"/>
            <w:shd w:val="clear" w:color="auto" w:fill="auto"/>
            <w:vAlign w:val="center"/>
          </w:tcPr>
          <w:p>
            <w:pPr>
              <w:pStyle w:val="290"/>
              <w:rPr>
                <w:color w:val="FF0000"/>
              </w:rPr>
            </w:pPr>
            <w:r>
              <w:rPr>
                <w:color w:val="FF0000"/>
              </w:rPr>
              <w:t>单程调遣费定额×调遣人数×2</w:t>
            </w:r>
          </w:p>
        </w:tc>
        <w:tc>
          <w:tcPr>
            <w:tcW w:w="2840" w:type="dxa"/>
            <w:shd w:val="clear" w:color="auto" w:fill="auto"/>
            <w:vAlign w:val="center"/>
          </w:tcPr>
          <w:p>
            <w:pPr>
              <w:pStyle w:val="290"/>
              <w:rPr>
                <w:color w:val="FF0000"/>
              </w:rPr>
            </w:pPr>
            <w:r>
              <w:rPr>
                <w:color w:val="FF0000"/>
              </w:rPr>
              <w:t>施工现场与企业的距离35Km以内时，不计取；超过35Km按照相关费率规定计取</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5" w:hRule="atLeast"/>
          <w:jc w:val="center"/>
        </w:trPr>
        <w:tc>
          <w:tcPr>
            <w:tcW w:w="674" w:type="dxa"/>
            <w:shd w:val="clear" w:color="auto" w:fill="auto"/>
            <w:vAlign w:val="center"/>
          </w:tcPr>
          <w:p>
            <w:pPr>
              <w:pStyle w:val="290"/>
            </w:pPr>
            <w:r>
              <w:t>15</w:t>
            </w:r>
          </w:p>
        </w:tc>
        <w:tc>
          <w:tcPr>
            <w:tcW w:w="2032" w:type="dxa"/>
            <w:shd w:val="clear" w:color="auto" w:fill="auto"/>
            <w:vAlign w:val="center"/>
          </w:tcPr>
          <w:p>
            <w:pPr>
              <w:pStyle w:val="290"/>
              <w:rPr>
                <w:color w:val="FF0000"/>
              </w:rPr>
            </w:pPr>
            <w:r>
              <w:rPr>
                <w:color w:val="FF0000"/>
              </w:rPr>
              <w:t>大型施工机械调遣费</w:t>
            </w:r>
          </w:p>
        </w:tc>
        <w:tc>
          <w:tcPr>
            <w:tcW w:w="2976" w:type="dxa"/>
            <w:shd w:val="clear" w:color="auto" w:fill="auto"/>
            <w:vAlign w:val="center"/>
          </w:tcPr>
          <w:p>
            <w:pPr>
              <w:pStyle w:val="290"/>
              <w:rPr>
                <w:color w:val="FF0000"/>
              </w:rPr>
            </w:pPr>
            <w:r>
              <w:rPr>
                <w:color w:val="FF0000"/>
              </w:rPr>
              <w:t>调遣用车运价×调遣运距×2</w:t>
            </w:r>
          </w:p>
        </w:tc>
        <w:tc>
          <w:tcPr>
            <w:tcW w:w="2840" w:type="dxa"/>
            <w:shd w:val="clear" w:color="auto" w:fill="auto"/>
            <w:vAlign w:val="center"/>
          </w:tcPr>
          <w:p>
            <w:pPr>
              <w:pStyle w:val="290"/>
              <w:rPr>
                <w:color w:val="FF0000"/>
              </w:rPr>
            </w:pPr>
          </w:p>
        </w:tc>
      </w:tr>
    </w:tbl>
    <w:p>
      <w:pPr>
        <w:ind w:firstLine="480"/>
        <w:jc w:val="center"/>
        <w:rPr>
          <w:rFonts w:cs="Times New Roman"/>
        </w:rPr>
      </w:pPr>
    </w:p>
    <w:p>
      <w:pPr>
        <w:numPr>
          <w:ilvl w:val="0"/>
          <w:numId w:val="67"/>
        </w:numPr>
        <w:ind w:left="426" w:firstLine="0" w:firstLineChars="0"/>
        <w:rPr>
          <w:rFonts w:cs="Times New Roman"/>
        </w:rPr>
      </w:pPr>
      <w:r>
        <w:rPr>
          <w:rFonts w:cs="Times New Roman"/>
        </w:rPr>
        <w:t>表三</w:t>
      </w:r>
    </w:p>
    <w:p>
      <w:pPr>
        <w:pStyle w:val="603"/>
        <w:rPr>
          <w:rFonts w:cs="Times New Roman"/>
        </w:rPr>
      </w:pPr>
      <w:r>
        <w:rPr>
          <w:rFonts w:cs="Times New Roman"/>
        </w:rPr>
        <w:t>表1.3-3  基站安装计列工日列表</w:t>
      </w:r>
    </w:p>
    <w:tbl>
      <w:tblPr>
        <w:tblStyle w:val="63"/>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3635"/>
        <w:gridCol w:w="980"/>
        <w:gridCol w:w="796"/>
        <w:gridCol w:w="796"/>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blHeader/>
          <w:jc w:val="center"/>
        </w:trPr>
        <w:tc>
          <w:tcPr>
            <w:tcW w:w="1264" w:type="dxa"/>
            <w:vMerge w:val="restart"/>
            <w:shd w:val="clear" w:color="auto" w:fill="auto"/>
            <w:vAlign w:val="center"/>
          </w:tcPr>
          <w:p>
            <w:pPr>
              <w:pStyle w:val="290"/>
            </w:pPr>
            <w:r>
              <w:t>定额编号</w:t>
            </w:r>
          </w:p>
        </w:tc>
        <w:tc>
          <w:tcPr>
            <w:tcW w:w="3635" w:type="dxa"/>
            <w:vMerge w:val="restart"/>
            <w:shd w:val="clear" w:color="auto" w:fill="auto"/>
            <w:vAlign w:val="center"/>
          </w:tcPr>
          <w:p>
            <w:pPr>
              <w:pStyle w:val="290"/>
            </w:pPr>
            <w:r>
              <w:t>项目名称</w:t>
            </w:r>
          </w:p>
        </w:tc>
        <w:tc>
          <w:tcPr>
            <w:tcW w:w="980" w:type="dxa"/>
            <w:vMerge w:val="restart"/>
            <w:shd w:val="clear" w:color="auto" w:fill="auto"/>
            <w:vAlign w:val="center"/>
          </w:tcPr>
          <w:p>
            <w:pPr>
              <w:pStyle w:val="290"/>
            </w:pPr>
            <w:r>
              <w:t>单位</w:t>
            </w:r>
          </w:p>
        </w:tc>
        <w:tc>
          <w:tcPr>
            <w:tcW w:w="1592" w:type="dxa"/>
            <w:gridSpan w:val="2"/>
            <w:shd w:val="clear" w:color="auto" w:fill="auto"/>
            <w:vAlign w:val="center"/>
          </w:tcPr>
          <w:p>
            <w:pPr>
              <w:pStyle w:val="290"/>
            </w:pPr>
            <w:r>
              <w:t>额定工日</w:t>
            </w:r>
          </w:p>
        </w:tc>
        <w:tc>
          <w:tcPr>
            <w:tcW w:w="746" w:type="dxa"/>
            <w:vMerge w:val="restart"/>
            <w:shd w:val="clear" w:color="auto" w:fill="auto"/>
            <w:vAlign w:val="center"/>
          </w:tcPr>
          <w:p>
            <w:pPr>
              <w:pStyle w:val="290"/>
            </w:pPr>
            <w: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blHeader/>
          <w:jc w:val="center"/>
        </w:trPr>
        <w:tc>
          <w:tcPr>
            <w:tcW w:w="1264" w:type="dxa"/>
            <w:vMerge w:val="continue"/>
            <w:shd w:val="clear" w:color="auto" w:fill="auto"/>
            <w:vAlign w:val="center"/>
          </w:tcPr>
          <w:p>
            <w:pPr>
              <w:pStyle w:val="290"/>
            </w:pPr>
          </w:p>
        </w:tc>
        <w:tc>
          <w:tcPr>
            <w:tcW w:w="3635" w:type="dxa"/>
            <w:vMerge w:val="continue"/>
            <w:shd w:val="clear" w:color="auto" w:fill="auto"/>
            <w:vAlign w:val="center"/>
          </w:tcPr>
          <w:p>
            <w:pPr>
              <w:pStyle w:val="290"/>
            </w:pPr>
          </w:p>
        </w:tc>
        <w:tc>
          <w:tcPr>
            <w:tcW w:w="980" w:type="dxa"/>
            <w:vMerge w:val="continue"/>
            <w:shd w:val="clear" w:color="auto" w:fill="auto"/>
            <w:vAlign w:val="center"/>
          </w:tcPr>
          <w:p>
            <w:pPr>
              <w:pStyle w:val="290"/>
            </w:pPr>
          </w:p>
        </w:tc>
        <w:tc>
          <w:tcPr>
            <w:tcW w:w="796" w:type="dxa"/>
            <w:shd w:val="clear" w:color="auto" w:fill="auto"/>
            <w:vAlign w:val="bottom"/>
          </w:tcPr>
          <w:p>
            <w:pPr>
              <w:pStyle w:val="290"/>
            </w:pPr>
            <w:r>
              <w:t>技工</w:t>
            </w:r>
          </w:p>
        </w:tc>
        <w:tc>
          <w:tcPr>
            <w:tcW w:w="796" w:type="dxa"/>
            <w:vAlign w:val="bottom"/>
          </w:tcPr>
          <w:p>
            <w:pPr>
              <w:pStyle w:val="290"/>
            </w:pPr>
            <w:r>
              <w:t>普工</w:t>
            </w:r>
          </w:p>
        </w:tc>
        <w:tc>
          <w:tcPr>
            <w:tcW w:w="746" w:type="dxa"/>
            <w:vMerge w:val="continue"/>
            <w:shd w:val="clear" w:color="auto" w:fill="auto"/>
            <w:vAlign w:val="center"/>
          </w:tcPr>
          <w:p>
            <w:pPr>
              <w:pStyle w:val="29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TSW1-001</w:t>
            </w:r>
          </w:p>
        </w:tc>
        <w:tc>
          <w:tcPr>
            <w:tcW w:w="3635" w:type="dxa"/>
            <w:shd w:val="clear" w:color="auto" w:fill="auto"/>
            <w:vAlign w:val="center"/>
          </w:tcPr>
          <w:p>
            <w:pPr>
              <w:pStyle w:val="290"/>
              <w:rPr>
                <w:color w:val="FF0000"/>
              </w:rPr>
            </w:pPr>
            <w:r>
              <w:rPr>
                <w:color w:val="FF0000"/>
              </w:rPr>
              <w:t>安装室内电缆槽道</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0.14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TSW1-002</w:t>
            </w:r>
          </w:p>
        </w:tc>
        <w:tc>
          <w:tcPr>
            <w:tcW w:w="3635" w:type="dxa"/>
            <w:shd w:val="clear" w:color="auto" w:fill="auto"/>
            <w:vAlign w:val="center"/>
          </w:tcPr>
          <w:p>
            <w:pPr>
              <w:pStyle w:val="290"/>
              <w:rPr>
                <w:color w:val="FF0000"/>
              </w:rPr>
            </w:pPr>
            <w:r>
              <w:rPr>
                <w:color w:val="FF0000"/>
              </w:rPr>
              <w:t>安装室内电缆走线架(水平)</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TSW1-003</w:t>
            </w:r>
          </w:p>
        </w:tc>
        <w:tc>
          <w:tcPr>
            <w:tcW w:w="3635" w:type="dxa"/>
            <w:shd w:val="clear" w:color="auto" w:fill="auto"/>
            <w:vAlign w:val="center"/>
          </w:tcPr>
          <w:p>
            <w:pPr>
              <w:pStyle w:val="290"/>
              <w:rPr>
                <w:color w:val="FF0000"/>
              </w:rPr>
            </w:pPr>
            <w:r>
              <w:rPr>
                <w:color w:val="FF0000"/>
              </w:rPr>
              <w:t>安装室内电缆走线架(垂直)</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TSW1-004</w:t>
            </w:r>
          </w:p>
        </w:tc>
        <w:tc>
          <w:tcPr>
            <w:tcW w:w="3635" w:type="dxa"/>
            <w:shd w:val="clear" w:color="auto" w:fill="auto"/>
            <w:vAlign w:val="center"/>
          </w:tcPr>
          <w:p>
            <w:pPr>
              <w:pStyle w:val="290"/>
              <w:rPr>
                <w:color w:val="FF0000"/>
              </w:rPr>
            </w:pPr>
            <w:r>
              <w:rPr>
                <w:color w:val="FF0000"/>
              </w:rPr>
              <w:t>安装室外馈线走道(水平)</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TSW1-005</w:t>
            </w:r>
          </w:p>
        </w:tc>
        <w:tc>
          <w:tcPr>
            <w:tcW w:w="3635" w:type="dxa"/>
            <w:shd w:val="clear" w:color="auto" w:fill="auto"/>
            <w:vAlign w:val="center"/>
          </w:tcPr>
          <w:p>
            <w:pPr>
              <w:pStyle w:val="290"/>
              <w:rPr>
                <w:color w:val="FF0000"/>
              </w:rPr>
            </w:pPr>
            <w:r>
              <w:rPr>
                <w:color w:val="FF0000"/>
              </w:rPr>
              <w:t>安装室外馈线走道(沿外墙垂直)</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0.31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TSW1-006</w:t>
            </w:r>
          </w:p>
        </w:tc>
        <w:tc>
          <w:tcPr>
            <w:tcW w:w="3635" w:type="dxa"/>
            <w:shd w:val="clear" w:color="auto" w:fill="auto"/>
            <w:vAlign w:val="center"/>
          </w:tcPr>
          <w:p>
            <w:pPr>
              <w:pStyle w:val="290"/>
              <w:rPr>
                <w:color w:val="FF0000"/>
              </w:rPr>
            </w:pPr>
            <w:r>
              <w:rPr>
                <w:color w:val="FF0000"/>
              </w:rPr>
              <w:t>安装室外馈线支架</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0.23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TSW1-007</w:t>
            </w:r>
          </w:p>
        </w:tc>
        <w:tc>
          <w:tcPr>
            <w:tcW w:w="3635" w:type="dxa"/>
            <w:shd w:val="clear" w:color="auto" w:fill="auto"/>
            <w:vAlign w:val="center"/>
          </w:tcPr>
          <w:p>
            <w:pPr>
              <w:pStyle w:val="290"/>
              <w:rPr>
                <w:color w:val="FF0000"/>
              </w:rPr>
            </w:pPr>
            <w:r>
              <w:rPr>
                <w:color w:val="FF0000"/>
              </w:rPr>
              <w:t>安装软光纤走线槽</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TSW1-008</w:t>
            </w:r>
          </w:p>
        </w:tc>
        <w:tc>
          <w:tcPr>
            <w:tcW w:w="3635" w:type="dxa"/>
            <w:shd w:val="clear" w:color="auto" w:fill="auto"/>
            <w:vAlign w:val="center"/>
          </w:tcPr>
          <w:p>
            <w:pPr>
              <w:pStyle w:val="290"/>
              <w:rPr>
                <w:color w:val="FF0000"/>
              </w:rPr>
            </w:pPr>
            <w:r>
              <w:rPr>
                <w:color w:val="FF0000"/>
              </w:rPr>
              <w:t>安装电源分配架(柜)、箱(落地式)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2.13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TSW1-009</w:t>
            </w:r>
          </w:p>
        </w:tc>
        <w:tc>
          <w:tcPr>
            <w:tcW w:w="3635" w:type="dxa"/>
            <w:shd w:val="clear" w:color="auto" w:fill="auto"/>
            <w:vAlign w:val="center"/>
          </w:tcPr>
          <w:p>
            <w:pPr>
              <w:pStyle w:val="290"/>
              <w:rPr>
                <w:color w:val="FF0000"/>
              </w:rPr>
            </w:pPr>
            <w:r>
              <w:rPr>
                <w:color w:val="FF0000"/>
              </w:rPr>
              <w:t>安装电源分配架(柜)、箱(壁挂式)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1.38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TSW1-010</w:t>
            </w:r>
          </w:p>
        </w:tc>
        <w:tc>
          <w:tcPr>
            <w:tcW w:w="3635" w:type="dxa"/>
            <w:shd w:val="clear" w:color="auto" w:fill="auto"/>
            <w:vAlign w:val="center"/>
          </w:tcPr>
          <w:p>
            <w:pPr>
              <w:pStyle w:val="290"/>
              <w:rPr>
                <w:color w:val="FF0000"/>
              </w:rPr>
            </w:pPr>
            <w:r>
              <w:rPr>
                <w:color w:val="FF0000"/>
              </w:rPr>
              <w:t>安装电源分配架(柜)、箱(架顶式)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TSW1-011</w:t>
            </w:r>
          </w:p>
        </w:tc>
        <w:tc>
          <w:tcPr>
            <w:tcW w:w="3635" w:type="dxa"/>
            <w:shd w:val="clear" w:color="auto" w:fill="auto"/>
            <w:vAlign w:val="center"/>
          </w:tcPr>
          <w:p>
            <w:pPr>
              <w:pStyle w:val="290"/>
              <w:rPr>
                <w:color w:val="FF0000"/>
              </w:rPr>
            </w:pPr>
            <w:r>
              <w:rPr>
                <w:color w:val="FF0000"/>
              </w:rPr>
              <w:t>电源分配架(柜)带电更换空气开关、熔断器</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TSW1-012</w:t>
            </w:r>
          </w:p>
        </w:tc>
        <w:tc>
          <w:tcPr>
            <w:tcW w:w="3635" w:type="dxa"/>
            <w:shd w:val="clear" w:color="auto" w:fill="auto"/>
            <w:vAlign w:val="center"/>
          </w:tcPr>
          <w:p>
            <w:pPr>
              <w:pStyle w:val="290"/>
              <w:rPr>
                <w:color w:val="FF0000"/>
              </w:rPr>
            </w:pPr>
            <w:r>
              <w:rPr>
                <w:color w:val="FF0000"/>
              </w:rPr>
              <w:t>安装室内有源综合架(柜)(落地式)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1.86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TSW1-013</w:t>
            </w:r>
          </w:p>
        </w:tc>
        <w:tc>
          <w:tcPr>
            <w:tcW w:w="3635" w:type="dxa"/>
            <w:shd w:val="clear" w:color="auto" w:fill="auto"/>
            <w:vAlign w:val="center"/>
          </w:tcPr>
          <w:p>
            <w:pPr>
              <w:pStyle w:val="290"/>
              <w:rPr>
                <w:color w:val="FF0000"/>
              </w:rPr>
            </w:pPr>
            <w:r>
              <w:rPr>
                <w:color w:val="FF0000"/>
              </w:rPr>
              <w:t>安装室内有源综合架(柜)(嵌墙式)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4.05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TSW1-014</w:t>
            </w:r>
          </w:p>
        </w:tc>
        <w:tc>
          <w:tcPr>
            <w:tcW w:w="3635" w:type="dxa"/>
            <w:shd w:val="clear" w:color="auto" w:fill="auto"/>
            <w:vAlign w:val="center"/>
          </w:tcPr>
          <w:p>
            <w:pPr>
              <w:pStyle w:val="290"/>
              <w:rPr>
                <w:color w:val="FF0000"/>
              </w:rPr>
            </w:pPr>
            <w:r>
              <w:rPr>
                <w:color w:val="FF0000"/>
              </w:rPr>
              <w:t>安装室内无源综合架(柜)(落地式)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1.61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TSW1-015</w:t>
            </w:r>
          </w:p>
        </w:tc>
        <w:tc>
          <w:tcPr>
            <w:tcW w:w="3635" w:type="dxa"/>
            <w:shd w:val="clear" w:color="auto" w:fill="auto"/>
            <w:vAlign w:val="center"/>
          </w:tcPr>
          <w:p>
            <w:pPr>
              <w:pStyle w:val="290"/>
              <w:rPr>
                <w:color w:val="FF0000"/>
              </w:rPr>
            </w:pPr>
            <w:r>
              <w:rPr>
                <w:color w:val="FF0000"/>
              </w:rPr>
              <w:t>安装室内无源综合架(柜)(嵌墙式)</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2.79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TSW1-016</w:t>
            </w:r>
          </w:p>
        </w:tc>
        <w:tc>
          <w:tcPr>
            <w:tcW w:w="3635" w:type="dxa"/>
            <w:shd w:val="clear" w:color="auto" w:fill="auto"/>
            <w:vAlign w:val="center"/>
          </w:tcPr>
          <w:p>
            <w:pPr>
              <w:pStyle w:val="290"/>
              <w:rPr>
                <w:color w:val="FF0000"/>
              </w:rPr>
            </w:pPr>
            <w:r>
              <w:rPr>
                <w:color w:val="FF0000"/>
              </w:rPr>
              <w:t>安装室内墙挂/嵌墙式综合机箱(有源)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TSW1-017</w:t>
            </w:r>
          </w:p>
        </w:tc>
        <w:tc>
          <w:tcPr>
            <w:tcW w:w="3635" w:type="dxa"/>
            <w:shd w:val="clear" w:color="auto" w:fill="auto"/>
            <w:vAlign w:val="center"/>
          </w:tcPr>
          <w:p>
            <w:pPr>
              <w:pStyle w:val="290"/>
              <w:rPr>
                <w:color w:val="FF0000"/>
              </w:rPr>
            </w:pPr>
            <w:r>
              <w:rPr>
                <w:color w:val="FF0000"/>
              </w:rPr>
              <w:t>安装室内墙挂/嵌墙式综合机箱(无源)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0.96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TSW1-018</w:t>
            </w:r>
          </w:p>
        </w:tc>
        <w:tc>
          <w:tcPr>
            <w:tcW w:w="3635" w:type="dxa"/>
            <w:shd w:val="clear" w:color="auto" w:fill="auto"/>
            <w:vAlign w:val="center"/>
          </w:tcPr>
          <w:p>
            <w:pPr>
              <w:pStyle w:val="290"/>
              <w:rPr>
                <w:color w:val="FF0000"/>
              </w:rPr>
            </w:pPr>
            <w:r>
              <w:rPr>
                <w:color w:val="FF0000"/>
              </w:rPr>
              <w:t>安装室外落地式综合架(柜)(800mm宽以下)</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2.48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TSW1-019</w:t>
            </w:r>
          </w:p>
        </w:tc>
        <w:tc>
          <w:tcPr>
            <w:tcW w:w="3635" w:type="dxa"/>
            <w:shd w:val="clear" w:color="auto" w:fill="auto"/>
            <w:vAlign w:val="center"/>
          </w:tcPr>
          <w:p>
            <w:pPr>
              <w:pStyle w:val="290"/>
              <w:rPr>
                <w:color w:val="FF0000"/>
              </w:rPr>
            </w:pPr>
            <w:r>
              <w:rPr>
                <w:color w:val="FF0000"/>
              </w:rPr>
              <w:t>安装室外落地式综合架(柜)(800mm宽以上)</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3.72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TSW1-020</w:t>
            </w:r>
          </w:p>
        </w:tc>
        <w:tc>
          <w:tcPr>
            <w:tcW w:w="3635" w:type="dxa"/>
            <w:shd w:val="clear" w:color="auto" w:fill="auto"/>
            <w:vAlign w:val="center"/>
          </w:tcPr>
          <w:p>
            <w:pPr>
              <w:pStyle w:val="290"/>
              <w:rPr>
                <w:color w:val="FF0000"/>
              </w:rPr>
            </w:pPr>
            <w:r>
              <w:rPr>
                <w:color w:val="FF0000"/>
              </w:rPr>
              <w:t>安装室外架空式综合架(柜)</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5.64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TSW1-021</w:t>
            </w:r>
          </w:p>
        </w:tc>
        <w:tc>
          <w:tcPr>
            <w:tcW w:w="3635" w:type="dxa"/>
            <w:shd w:val="clear" w:color="auto" w:fill="auto"/>
            <w:vAlign w:val="center"/>
          </w:tcPr>
          <w:p>
            <w:pPr>
              <w:pStyle w:val="290"/>
              <w:rPr>
                <w:color w:val="FF0000"/>
              </w:rPr>
            </w:pPr>
            <w:r>
              <w:rPr>
                <w:color w:val="FF0000"/>
              </w:rPr>
              <w:t>安装室外墙挂/嵌墙式综合机箱(有源)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1.55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TSW1-022</w:t>
            </w:r>
          </w:p>
        </w:tc>
        <w:tc>
          <w:tcPr>
            <w:tcW w:w="3635" w:type="dxa"/>
            <w:shd w:val="clear" w:color="auto" w:fill="auto"/>
            <w:vAlign w:val="center"/>
          </w:tcPr>
          <w:p>
            <w:pPr>
              <w:pStyle w:val="290"/>
              <w:rPr>
                <w:color w:val="FF0000"/>
              </w:rPr>
            </w:pPr>
            <w:r>
              <w:rPr>
                <w:color w:val="FF0000"/>
              </w:rPr>
              <w:t>安装室外墙挂/嵌墙式综合机箱(无源)</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1.28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TSW1-023</w:t>
            </w:r>
          </w:p>
        </w:tc>
        <w:tc>
          <w:tcPr>
            <w:tcW w:w="3635" w:type="dxa"/>
            <w:shd w:val="clear" w:color="auto" w:fill="auto"/>
            <w:vAlign w:val="center"/>
          </w:tcPr>
          <w:p>
            <w:pPr>
              <w:pStyle w:val="290"/>
              <w:rPr>
                <w:color w:val="FF0000"/>
              </w:rPr>
            </w:pPr>
            <w:r>
              <w:rPr>
                <w:color w:val="FF0000"/>
              </w:rPr>
              <w:t>增(扩)装子机框</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TSW1-024</w:t>
            </w:r>
          </w:p>
        </w:tc>
        <w:tc>
          <w:tcPr>
            <w:tcW w:w="3635" w:type="dxa"/>
            <w:shd w:val="clear" w:color="auto" w:fill="auto"/>
            <w:vAlign w:val="center"/>
          </w:tcPr>
          <w:p>
            <w:pPr>
              <w:pStyle w:val="290"/>
              <w:rPr>
                <w:color w:val="FF0000"/>
              </w:rPr>
            </w:pPr>
            <w:r>
              <w:rPr>
                <w:color w:val="FF0000"/>
              </w:rPr>
              <w:t>安装数字分配架、箱(落地式)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TSW1-025</w:t>
            </w:r>
          </w:p>
        </w:tc>
        <w:tc>
          <w:tcPr>
            <w:tcW w:w="3635" w:type="dxa"/>
            <w:shd w:val="clear" w:color="auto" w:fill="auto"/>
            <w:vAlign w:val="center"/>
          </w:tcPr>
          <w:p>
            <w:pPr>
              <w:pStyle w:val="290"/>
              <w:rPr>
                <w:color w:val="FF0000"/>
              </w:rPr>
            </w:pPr>
            <w:r>
              <w:rPr>
                <w:color w:val="FF0000"/>
              </w:rPr>
              <w:t>安装数字分配架、箱(壁挂式)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1.75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TSW1-026</w:t>
            </w:r>
          </w:p>
        </w:tc>
        <w:tc>
          <w:tcPr>
            <w:tcW w:w="3635" w:type="dxa"/>
            <w:shd w:val="clear" w:color="auto" w:fill="auto"/>
            <w:vAlign w:val="center"/>
          </w:tcPr>
          <w:p>
            <w:pPr>
              <w:pStyle w:val="290"/>
              <w:rPr>
                <w:color w:val="FF0000"/>
              </w:rPr>
            </w:pPr>
            <w:r>
              <w:rPr>
                <w:color w:val="FF0000"/>
              </w:rPr>
              <w:t>安装数字、光分配架单元</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0.19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TSW1-027</w:t>
            </w:r>
          </w:p>
        </w:tc>
        <w:tc>
          <w:tcPr>
            <w:tcW w:w="3635" w:type="dxa"/>
            <w:shd w:val="clear" w:color="auto" w:fill="auto"/>
            <w:vAlign w:val="center"/>
          </w:tcPr>
          <w:p>
            <w:pPr>
              <w:pStyle w:val="290"/>
              <w:rPr>
                <w:color w:val="FF0000"/>
              </w:rPr>
            </w:pPr>
            <w:r>
              <w:rPr>
                <w:color w:val="FF0000"/>
              </w:rPr>
              <w:t>安装防雷箱(室内安装)</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1.49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TSW1-028</w:t>
            </w:r>
          </w:p>
        </w:tc>
        <w:tc>
          <w:tcPr>
            <w:tcW w:w="3635" w:type="dxa"/>
            <w:shd w:val="clear" w:color="auto" w:fill="auto"/>
            <w:vAlign w:val="center"/>
          </w:tcPr>
          <w:p>
            <w:pPr>
              <w:pStyle w:val="290"/>
              <w:rPr>
                <w:color w:val="FF0000"/>
              </w:rPr>
            </w:pPr>
            <w:r>
              <w:rPr>
                <w:color w:val="FF0000"/>
              </w:rPr>
              <w:t>安装防雷箱(室外非塔上安装)</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1.66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TSW1-029</w:t>
            </w:r>
          </w:p>
        </w:tc>
        <w:tc>
          <w:tcPr>
            <w:tcW w:w="3635" w:type="dxa"/>
            <w:shd w:val="clear" w:color="auto" w:fill="auto"/>
            <w:vAlign w:val="center"/>
          </w:tcPr>
          <w:p>
            <w:pPr>
              <w:pStyle w:val="290"/>
              <w:rPr>
                <w:color w:val="FF0000"/>
              </w:rPr>
            </w:pPr>
            <w:r>
              <w:rPr>
                <w:color w:val="FF0000"/>
              </w:rPr>
              <w:t>安装防雷箱(室外铁塔上安装)</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2.85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TSW1-030</w:t>
            </w:r>
          </w:p>
        </w:tc>
        <w:tc>
          <w:tcPr>
            <w:tcW w:w="3635" w:type="dxa"/>
            <w:shd w:val="clear" w:color="auto" w:fill="auto"/>
            <w:vAlign w:val="center"/>
          </w:tcPr>
          <w:p>
            <w:pPr>
              <w:pStyle w:val="290"/>
              <w:rPr>
                <w:color w:val="FF0000"/>
              </w:rPr>
            </w:pPr>
            <w:r>
              <w:rPr>
                <w:color w:val="FF0000"/>
              </w:rPr>
              <w:t>安装室内接地排</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0.69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TSW1-031</w:t>
            </w:r>
          </w:p>
        </w:tc>
        <w:tc>
          <w:tcPr>
            <w:tcW w:w="3635" w:type="dxa"/>
            <w:shd w:val="clear" w:color="auto" w:fill="auto"/>
            <w:vAlign w:val="center"/>
          </w:tcPr>
          <w:p>
            <w:pPr>
              <w:pStyle w:val="290"/>
              <w:rPr>
                <w:color w:val="FF0000"/>
              </w:rPr>
            </w:pPr>
            <w:r>
              <w:rPr>
                <w:color w:val="FF0000"/>
              </w:rPr>
              <w:t>安装室外接地排</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0.88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TSW1-032</w:t>
            </w:r>
          </w:p>
        </w:tc>
        <w:tc>
          <w:tcPr>
            <w:tcW w:w="3635" w:type="dxa"/>
            <w:shd w:val="clear" w:color="auto" w:fill="auto"/>
            <w:vAlign w:val="center"/>
          </w:tcPr>
          <w:p>
            <w:pPr>
              <w:pStyle w:val="290"/>
              <w:rPr>
                <w:color w:val="FF0000"/>
              </w:rPr>
            </w:pPr>
            <w:r>
              <w:rPr>
                <w:color w:val="FF0000"/>
              </w:rPr>
              <w:t>安装防雷器</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TSW1-033</w:t>
            </w:r>
          </w:p>
        </w:tc>
        <w:tc>
          <w:tcPr>
            <w:tcW w:w="3635" w:type="dxa"/>
            <w:shd w:val="clear" w:color="auto" w:fill="auto"/>
            <w:vAlign w:val="center"/>
          </w:tcPr>
          <w:p>
            <w:pPr>
              <w:pStyle w:val="290"/>
              <w:rPr>
                <w:color w:val="FF0000"/>
              </w:rPr>
            </w:pPr>
            <w:r>
              <w:rPr>
                <w:color w:val="FF0000"/>
              </w:rPr>
              <w:t>敷设室内接地母线</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TSW1-034</w:t>
            </w:r>
          </w:p>
        </w:tc>
        <w:tc>
          <w:tcPr>
            <w:tcW w:w="3635" w:type="dxa"/>
            <w:shd w:val="clear" w:color="auto" w:fill="auto"/>
            <w:vAlign w:val="center"/>
          </w:tcPr>
          <w:p>
            <w:pPr>
              <w:pStyle w:val="290"/>
              <w:rPr>
                <w:color w:val="FF0000"/>
              </w:rPr>
            </w:pPr>
            <w:r>
              <w:rPr>
                <w:color w:val="FF0000"/>
              </w:rPr>
              <w:t>接地跨接线</w:t>
            </w:r>
          </w:p>
        </w:tc>
        <w:tc>
          <w:tcPr>
            <w:tcW w:w="980" w:type="dxa"/>
            <w:shd w:val="clear" w:color="auto" w:fill="auto"/>
            <w:vAlign w:val="center"/>
          </w:tcPr>
          <w:p>
            <w:pPr>
              <w:pStyle w:val="290"/>
              <w:rPr>
                <w:color w:val="FF0000"/>
              </w:rPr>
            </w:pPr>
            <w:r>
              <w:rPr>
                <w:color w:val="FF0000"/>
              </w:rPr>
              <w:t>十处</w:t>
            </w:r>
          </w:p>
        </w:tc>
        <w:tc>
          <w:tcPr>
            <w:tcW w:w="796" w:type="dxa"/>
            <w:shd w:val="clear" w:color="auto" w:fill="auto"/>
            <w:vAlign w:val="center"/>
          </w:tcPr>
          <w:p>
            <w:pPr>
              <w:pStyle w:val="290"/>
              <w:rPr>
                <w:color w:val="FF0000"/>
              </w:rPr>
            </w:pPr>
            <w:r>
              <w:rPr>
                <w:color w:val="FF0000"/>
              </w:rPr>
              <w:t>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TSW1-035</w:t>
            </w:r>
          </w:p>
        </w:tc>
        <w:tc>
          <w:tcPr>
            <w:tcW w:w="3635" w:type="dxa"/>
            <w:shd w:val="clear" w:color="auto" w:fill="auto"/>
            <w:vAlign w:val="center"/>
          </w:tcPr>
          <w:p>
            <w:pPr>
              <w:pStyle w:val="290"/>
              <w:rPr>
                <w:color w:val="FF0000"/>
              </w:rPr>
            </w:pPr>
            <w:r>
              <w:rPr>
                <w:color w:val="FF0000"/>
              </w:rPr>
              <w:t>接地网电阻测试</w:t>
            </w:r>
          </w:p>
        </w:tc>
        <w:tc>
          <w:tcPr>
            <w:tcW w:w="980" w:type="dxa"/>
            <w:shd w:val="clear" w:color="auto" w:fill="auto"/>
            <w:vAlign w:val="center"/>
          </w:tcPr>
          <w:p>
            <w:pPr>
              <w:pStyle w:val="290"/>
              <w:rPr>
                <w:color w:val="FF0000"/>
              </w:rPr>
            </w:pPr>
            <w:r>
              <w:rPr>
                <w:color w:val="FF0000"/>
              </w:rPr>
              <w:t>组</w:t>
            </w:r>
          </w:p>
        </w:tc>
        <w:tc>
          <w:tcPr>
            <w:tcW w:w="796" w:type="dxa"/>
            <w:shd w:val="clear" w:color="auto" w:fill="auto"/>
            <w:vAlign w:val="center"/>
          </w:tcPr>
          <w:p>
            <w:pPr>
              <w:pStyle w:val="290"/>
              <w:rPr>
                <w:color w:val="FF0000"/>
              </w:rPr>
            </w:pPr>
            <w:r>
              <w:rPr>
                <w:color w:val="FF0000"/>
              </w:rPr>
              <w:t>0.7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TSW1-036</w:t>
            </w:r>
          </w:p>
        </w:tc>
        <w:tc>
          <w:tcPr>
            <w:tcW w:w="3635" w:type="dxa"/>
            <w:shd w:val="clear" w:color="auto" w:fill="auto"/>
            <w:vAlign w:val="center"/>
          </w:tcPr>
          <w:p>
            <w:pPr>
              <w:pStyle w:val="290"/>
              <w:rPr>
                <w:color w:val="FF0000"/>
              </w:rPr>
            </w:pPr>
            <w:r>
              <w:rPr>
                <w:color w:val="FF0000"/>
              </w:rPr>
              <w:t>敷设硬质PVC管/槽</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0.17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TSW1-037</w:t>
            </w:r>
          </w:p>
        </w:tc>
        <w:tc>
          <w:tcPr>
            <w:tcW w:w="3635" w:type="dxa"/>
            <w:shd w:val="clear" w:color="auto" w:fill="auto"/>
            <w:vAlign w:val="center"/>
          </w:tcPr>
          <w:p>
            <w:pPr>
              <w:pStyle w:val="290"/>
              <w:rPr>
                <w:color w:val="FF0000"/>
              </w:rPr>
            </w:pPr>
            <w:r>
              <w:rPr>
                <w:color w:val="FF0000"/>
              </w:rPr>
              <w:t>敷设钢管</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0.22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TSW1-038</w:t>
            </w:r>
          </w:p>
        </w:tc>
        <w:tc>
          <w:tcPr>
            <w:tcW w:w="3635" w:type="dxa"/>
            <w:shd w:val="clear" w:color="auto" w:fill="auto"/>
            <w:vAlign w:val="center"/>
          </w:tcPr>
          <w:p>
            <w:pPr>
              <w:pStyle w:val="290"/>
              <w:rPr>
                <w:color w:val="FF0000"/>
              </w:rPr>
            </w:pPr>
            <w:r>
              <w:rPr>
                <w:color w:val="FF0000"/>
              </w:rPr>
              <w:t>安装波纹软管</w:t>
            </w:r>
          </w:p>
        </w:tc>
        <w:tc>
          <w:tcPr>
            <w:tcW w:w="980" w:type="dxa"/>
            <w:shd w:val="clear" w:color="auto" w:fill="auto"/>
            <w:vAlign w:val="center"/>
          </w:tcPr>
          <w:p>
            <w:pPr>
              <w:pStyle w:val="290"/>
              <w:rPr>
                <w:color w:val="FF0000"/>
              </w:rPr>
            </w:pPr>
            <w:r>
              <w:rPr>
                <w:color w:val="FF0000"/>
              </w:rPr>
              <w:t>十米</w:t>
            </w:r>
          </w:p>
        </w:tc>
        <w:tc>
          <w:tcPr>
            <w:tcW w:w="796" w:type="dxa"/>
            <w:shd w:val="clear" w:color="auto" w:fill="auto"/>
            <w:vAlign w:val="center"/>
          </w:tcPr>
          <w:p>
            <w:pPr>
              <w:pStyle w:val="290"/>
              <w:rPr>
                <w:color w:val="FF0000"/>
              </w:rPr>
            </w:pPr>
            <w:r>
              <w:rPr>
                <w:color w:val="FF0000"/>
              </w:rPr>
              <w:t>0.12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TSW1-039</w:t>
            </w:r>
          </w:p>
        </w:tc>
        <w:tc>
          <w:tcPr>
            <w:tcW w:w="3635" w:type="dxa"/>
            <w:shd w:val="clear" w:color="auto" w:fill="auto"/>
            <w:vAlign w:val="center"/>
          </w:tcPr>
          <w:p>
            <w:pPr>
              <w:pStyle w:val="290"/>
              <w:rPr>
                <w:color w:val="FF0000"/>
              </w:rPr>
            </w:pPr>
            <w:r>
              <w:rPr>
                <w:color w:val="FF0000"/>
              </w:rPr>
              <w:t>安装电表箱</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0.63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TSW1-040</w:t>
            </w:r>
          </w:p>
        </w:tc>
        <w:tc>
          <w:tcPr>
            <w:tcW w:w="3635" w:type="dxa"/>
            <w:shd w:val="clear" w:color="auto" w:fill="auto"/>
            <w:vAlign w:val="center"/>
          </w:tcPr>
          <w:p>
            <w:pPr>
              <w:pStyle w:val="290"/>
              <w:rPr>
                <w:color w:val="FF0000"/>
              </w:rPr>
            </w:pPr>
            <w:r>
              <w:rPr>
                <w:color w:val="FF0000"/>
              </w:rPr>
              <w:t>安装打印机</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0.19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TSW1-041</w:t>
            </w:r>
          </w:p>
        </w:tc>
        <w:tc>
          <w:tcPr>
            <w:tcW w:w="3635" w:type="dxa"/>
            <w:shd w:val="clear" w:color="auto" w:fill="auto"/>
            <w:vAlign w:val="center"/>
          </w:tcPr>
          <w:p>
            <w:pPr>
              <w:pStyle w:val="290"/>
              <w:rPr>
                <w:color w:val="FF0000"/>
              </w:rPr>
            </w:pPr>
            <w:r>
              <w:rPr>
                <w:color w:val="FF0000"/>
              </w:rPr>
              <w:t>安装维护用微机终端</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0.67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TSW1-042</w:t>
            </w:r>
          </w:p>
        </w:tc>
        <w:tc>
          <w:tcPr>
            <w:tcW w:w="3635" w:type="dxa"/>
            <w:shd w:val="clear" w:color="auto" w:fill="auto"/>
            <w:vAlign w:val="center"/>
          </w:tcPr>
          <w:p>
            <w:pPr>
              <w:pStyle w:val="290"/>
              <w:rPr>
                <w:color w:val="FF0000"/>
              </w:rPr>
            </w:pPr>
            <w:r>
              <w:rPr>
                <w:color w:val="FF0000"/>
              </w:rPr>
              <w:t>放绑120欧姆平衡电缆(双芯)</w:t>
            </w:r>
          </w:p>
        </w:tc>
        <w:tc>
          <w:tcPr>
            <w:tcW w:w="980" w:type="dxa"/>
            <w:shd w:val="clear" w:color="auto" w:fill="auto"/>
            <w:vAlign w:val="center"/>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0.94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TSW1-043</w:t>
            </w:r>
          </w:p>
        </w:tc>
        <w:tc>
          <w:tcPr>
            <w:tcW w:w="3635" w:type="dxa"/>
            <w:shd w:val="clear" w:color="auto" w:fill="auto"/>
            <w:vAlign w:val="center"/>
          </w:tcPr>
          <w:p>
            <w:pPr>
              <w:pStyle w:val="290"/>
              <w:rPr>
                <w:color w:val="FF0000"/>
              </w:rPr>
            </w:pPr>
            <w:r>
              <w:rPr>
                <w:color w:val="FF0000"/>
              </w:rPr>
              <w:t>放绑120欧姆平衡电缆(多芯)</w:t>
            </w:r>
          </w:p>
        </w:tc>
        <w:tc>
          <w:tcPr>
            <w:tcW w:w="980" w:type="dxa"/>
            <w:shd w:val="clear" w:color="auto" w:fill="auto"/>
            <w:vAlign w:val="center"/>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TSW1-044</w:t>
            </w:r>
          </w:p>
        </w:tc>
        <w:tc>
          <w:tcPr>
            <w:tcW w:w="3635" w:type="dxa"/>
            <w:shd w:val="clear" w:color="auto" w:fill="auto"/>
            <w:vAlign w:val="center"/>
          </w:tcPr>
          <w:p>
            <w:pPr>
              <w:pStyle w:val="290"/>
              <w:rPr>
                <w:color w:val="FF0000"/>
              </w:rPr>
            </w:pPr>
            <w:r>
              <w:rPr>
                <w:color w:val="FF0000"/>
              </w:rPr>
              <w:t>放绑SYV类同轴电缆(单芯)</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TSW1-045</w:t>
            </w:r>
          </w:p>
        </w:tc>
        <w:tc>
          <w:tcPr>
            <w:tcW w:w="3635" w:type="dxa"/>
            <w:shd w:val="clear" w:color="auto" w:fill="auto"/>
            <w:vAlign w:val="center"/>
          </w:tcPr>
          <w:p>
            <w:pPr>
              <w:pStyle w:val="290"/>
              <w:rPr>
                <w:color w:val="FF0000"/>
              </w:rPr>
            </w:pPr>
            <w:r>
              <w:rPr>
                <w:color w:val="FF0000"/>
              </w:rPr>
              <w:t>放绑SYV类同轴电缆(多芯)</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TSW1-046</w:t>
            </w:r>
          </w:p>
        </w:tc>
        <w:tc>
          <w:tcPr>
            <w:tcW w:w="3635" w:type="dxa"/>
            <w:shd w:val="clear" w:color="auto" w:fill="auto"/>
            <w:vAlign w:val="center"/>
          </w:tcPr>
          <w:p>
            <w:pPr>
              <w:pStyle w:val="290"/>
              <w:rPr>
                <w:color w:val="FF0000"/>
              </w:rPr>
            </w:pPr>
            <w:r>
              <w:rPr>
                <w:color w:val="FF0000"/>
              </w:rPr>
              <w:t>放绑数据电缆(10芯以下)</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0.71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TSW1-047</w:t>
            </w:r>
          </w:p>
        </w:tc>
        <w:tc>
          <w:tcPr>
            <w:tcW w:w="3635" w:type="dxa"/>
            <w:shd w:val="clear" w:color="auto" w:fill="auto"/>
            <w:vAlign w:val="center"/>
          </w:tcPr>
          <w:p>
            <w:pPr>
              <w:pStyle w:val="290"/>
              <w:rPr>
                <w:color w:val="FF0000"/>
              </w:rPr>
            </w:pPr>
            <w:r>
              <w:rPr>
                <w:color w:val="FF0000"/>
              </w:rPr>
              <w:t>放绑数据电缆(10芯以上)</w:t>
            </w:r>
          </w:p>
        </w:tc>
        <w:tc>
          <w:tcPr>
            <w:tcW w:w="980" w:type="dxa"/>
            <w:shd w:val="clear" w:color="auto" w:fill="auto"/>
          </w:tcPr>
          <w:p>
            <w:pPr>
              <w:pStyle w:val="290"/>
              <w:rPr>
                <w:color w:val="FF0000"/>
              </w:rPr>
            </w:pPr>
            <w:r>
              <w:rPr>
                <w:color w:val="FF0000"/>
              </w:rPr>
              <w:t>百米条</w:t>
            </w:r>
          </w:p>
        </w:tc>
        <w:tc>
          <w:tcPr>
            <w:tcW w:w="796" w:type="dxa"/>
            <w:shd w:val="clear" w:color="auto" w:fill="auto"/>
            <w:vAlign w:val="center"/>
          </w:tcPr>
          <w:p>
            <w:pPr>
              <w:pStyle w:val="290"/>
              <w:rPr>
                <w:color w:val="FF0000"/>
              </w:rPr>
            </w:pPr>
            <w:r>
              <w:rPr>
                <w:color w:val="FF0000"/>
              </w:rPr>
              <w:t>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TSW1-048</w:t>
            </w:r>
          </w:p>
        </w:tc>
        <w:tc>
          <w:tcPr>
            <w:tcW w:w="3635" w:type="dxa"/>
            <w:shd w:val="clear" w:color="auto" w:fill="auto"/>
            <w:vAlign w:val="center"/>
          </w:tcPr>
          <w:p>
            <w:pPr>
              <w:pStyle w:val="290"/>
              <w:rPr>
                <w:color w:val="FF0000"/>
              </w:rPr>
            </w:pPr>
            <w:r>
              <w:rPr>
                <w:color w:val="FF0000"/>
              </w:rPr>
              <w:t>编扎、焊(绕、卡)接120欧姆平衡电缆(双芯)</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0.09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TSW1-049</w:t>
            </w:r>
          </w:p>
        </w:tc>
        <w:tc>
          <w:tcPr>
            <w:tcW w:w="3635" w:type="dxa"/>
            <w:shd w:val="clear" w:color="auto" w:fill="auto"/>
            <w:vAlign w:val="center"/>
          </w:tcPr>
          <w:p>
            <w:pPr>
              <w:pStyle w:val="290"/>
              <w:rPr>
                <w:color w:val="FF0000"/>
              </w:rPr>
            </w:pPr>
            <w:r>
              <w:rPr>
                <w:color w:val="FF0000"/>
              </w:rPr>
              <w:t>编扎、焊(绕、卡)接120欧姆平衡电缆(多芯)</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0.55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TSW1-050</w:t>
            </w:r>
          </w:p>
        </w:tc>
        <w:tc>
          <w:tcPr>
            <w:tcW w:w="3635" w:type="dxa"/>
            <w:shd w:val="clear" w:color="auto" w:fill="auto"/>
            <w:vAlign w:val="center"/>
          </w:tcPr>
          <w:p>
            <w:pPr>
              <w:pStyle w:val="290"/>
              <w:rPr>
                <w:color w:val="FF0000"/>
              </w:rPr>
            </w:pPr>
            <w:r>
              <w:rPr>
                <w:color w:val="FF0000"/>
              </w:rPr>
              <w:t>编扎、焊(绕、卡)接SYV类同轴电缆</w:t>
            </w:r>
          </w:p>
        </w:tc>
        <w:tc>
          <w:tcPr>
            <w:tcW w:w="980" w:type="dxa"/>
            <w:shd w:val="clear" w:color="auto" w:fill="auto"/>
            <w:vAlign w:val="center"/>
          </w:tcPr>
          <w:p>
            <w:pPr>
              <w:pStyle w:val="290"/>
              <w:rPr>
                <w:color w:val="FF0000"/>
              </w:rPr>
            </w:pPr>
            <w:r>
              <w:rPr>
                <w:color w:val="FF0000"/>
              </w:rPr>
              <w:t>芯条</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TSW1-051</w:t>
            </w:r>
          </w:p>
        </w:tc>
        <w:tc>
          <w:tcPr>
            <w:tcW w:w="3635" w:type="dxa"/>
            <w:shd w:val="clear" w:color="auto" w:fill="auto"/>
            <w:vAlign w:val="center"/>
          </w:tcPr>
          <w:p>
            <w:pPr>
              <w:pStyle w:val="290"/>
              <w:rPr>
                <w:color w:val="FF0000"/>
              </w:rPr>
            </w:pPr>
            <w:r>
              <w:rPr>
                <w:color w:val="FF0000"/>
              </w:rPr>
              <w:t>编扎、焊(绕、卡)接数据电缆（10芯以下）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TSW1-052</w:t>
            </w:r>
          </w:p>
        </w:tc>
        <w:tc>
          <w:tcPr>
            <w:tcW w:w="3635" w:type="dxa"/>
            <w:shd w:val="clear" w:color="auto" w:fill="auto"/>
            <w:vAlign w:val="center"/>
          </w:tcPr>
          <w:p>
            <w:pPr>
              <w:pStyle w:val="290"/>
              <w:rPr>
                <w:color w:val="FF0000"/>
              </w:rPr>
            </w:pPr>
            <w:r>
              <w:rPr>
                <w:color w:val="FF0000"/>
              </w:rPr>
              <w:t>编扎、焊(绕、卡)接数据电缆（10芯以上）</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TSW1-053</w:t>
            </w:r>
          </w:p>
        </w:tc>
        <w:tc>
          <w:tcPr>
            <w:tcW w:w="3635" w:type="dxa"/>
            <w:shd w:val="clear" w:color="auto" w:fill="auto"/>
            <w:vAlign w:val="center"/>
          </w:tcPr>
          <w:p>
            <w:pPr>
              <w:pStyle w:val="290"/>
              <w:rPr>
                <w:color w:val="FF0000"/>
              </w:rPr>
            </w:pPr>
            <w:r>
              <w:rPr>
                <w:color w:val="FF0000"/>
              </w:rPr>
              <w:t>放绑软光纤(设备机架间放、绑)(15m以下)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0.29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TSW1-054</w:t>
            </w:r>
          </w:p>
        </w:tc>
        <w:tc>
          <w:tcPr>
            <w:tcW w:w="3635" w:type="dxa"/>
            <w:shd w:val="clear" w:color="auto" w:fill="auto"/>
            <w:vAlign w:val="center"/>
          </w:tcPr>
          <w:p>
            <w:pPr>
              <w:pStyle w:val="290"/>
              <w:rPr>
                <w:color w:val="FF0000"/>
              </w:rPr>
            </w:pPr>
            <w:r>
              <w:rPr>
                <w:color w:val="FF0000"/>
              </w:rPr>
              <w:t>放绑软光纤(设备机架间放、绑)(每增加1m)</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0.03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TSW1-055</w:t>
            </w:r>
          </w:p>
        </w:tc>
        <w:tc>
          <w:tcPr>
            <w:tcW w:w="3635" w:type="dxa"/>
            <w:shd w:val="clear" w:color="auto" w:fill="auto"/>
            <w:vAlign w:val="center"/>
          </w:tcPr>
          <w:p>
            <w:pPr>
              <w:pStyle w:val="290"/>
              <w:rPr>
                <w:color w:val="FF0000"/>
              </w:rPr>
            </w:pPr>
            <w:r>
              <w:rPr>
                <w:color w:val="FF0000"/>
              </w:rPr>
              <w:t>放绑软光纤(光纤分配架内跳纤)</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TSW1-056</w:t>
            </w:r>
          </w:p>
        </w:tc>
        <w:tc>
          <w:tcPr>
            <w:tcW w:w="3635" w:type="dxa"/>
            <w:shd w:val="clear" w:color="auto" w:fill="auto"/>
            <w:vAlign w:val="center"/>
          </w:tcPr>
          <w:p>
            <w:pPr>
              <w:pStyle w:val="290"/>
              <w:rPr>
                <w:color w:val="FF0000"/>
              </w:rPr>
            </w:pPr>
            <w:r>
              <w:rPr>
                <w:color w:val="FF0000"/>
              </w:rPr>
              <w:t>室外布放控制信号线</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TSW1-057</w:t>
            </w:r>
          </w:p>
        </w:tc>
        <w:tc>
          <w:tcPr>
            <w:tcW w:w="3635" w:type="dxa"/>
            <w:shd w:val="clear" w:color="auto" w:fill="auto"/>
            <w:vAlign w:val="center"/>
          </w:tcPr>
          <w:p>
            <w:pPr>
              <w:pStyle w:val="290"/>
              <w:rPr>
                <w:color w:val="FF0000"/>
              </w:rPr>
            </w:pPr>
            <w:r>
              <w:rPr>
                <w:color w:val="FF0000"/>
              </w:rPr>
              <w:t>DDF布放跳线</w:t>
            </w:r>
          </w:p>
        </w:tc>
        <w:tc>
          <w:tcPr>
            <w:tcW w:w="980" w:type="dxa"/>
            <w:shd w:val="clear" w:color="auto" w:fill="auto"/>
            <w:vAlign w:val="center"/>
          </w:tcPr>
          <w:p>
            <w:pPr>
              <w:pStyle w:val="290"/>
              <w:rPr>
                <w:color w:val="FF0000"/>
              </w:rPr>
            </w:pPr>
            <w:r>
              <w:rPr>
                <w:color w:val="FF0000"/>
              </w:rPr>
              <w:t>十条</w:t>
            </w:r>
          </w:p>
        </w:tc>
        <w:tc>
          <w:tcPr>
            <w:tcW w:w="796" w:type="dxa"/>
            <w:shd w:val="clear" w:color="auto" w:fill="auto"/>
            <w:vAlign w:val="center"/>
          </w:tcPr>
          <w:p>
            <w:pPr>
              <w:pStyle w:val="290"/>
              <w:rPr>
                <w:color w:val="FF0000"/>
              </w:rPr>
            </w:pPr>
            <w:r>
              <w:rPr>
                <w:color w:val="FF0000"/>
              </w:rPr>
              <w:t>0.88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TSW1-058</w:t>
            </w:r>
          </w:p>
        </w:tc>
        <w:tc>
          <w:tcPr>
            <w:tcW w:w="3635" w:type="dxa"/>
            <w:shd w:val="clear" w:color="auto" w:fill="auto"/>
            <w:vAlign w:val="center"/>
          </w:tcPr>
          <w:p>
            <w:pPr>
              <w:pStyle w:val="290"/>
              <w:rPr>
                <w:color w:val="FF0000"/>
              </w:rPr>
            </w:pPr>
            <w:r>
              <w:rPr>
                <w:color w:val="FF0000"/>
              </w:rPr>
              <w:t>布放射频拉远单元(RRU)用光缆</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TSW1-059</w:t>
            </w:r>
          </w:p>
        </w:tc>
        <w:tc>
          <w:tcPr>
            <w:tcW w:w="3635" w:type="dxa"/>
            <w:shd w:val="clear" w:color="auto" w:fill="auto"/>
            <w:vAlign w:val="center"/>
          </w:tcPr>
          <w:p>
            <w:pPr>
              <w:pStyle w:val="290"/>
              <w:rPr>
                <w:color w:val="FF0000"/>
              </w:rPr>
            </w:pPr>
            <w:r>
              <w:rPr>
                <w:color w:val="FF0000"/>
              </w:rPr>
              <w:t>制作光缆成端接头</w:t>
            </w:r>
          </w:p>
        </w:tc>
        <w:tc>
          <w:tcPr>
            <w:tcW w:w="980" w:type="dxa"/>
            <w:shd w:val="clear" w:color="auto" w:fill="auto"/>
            <w:vAlign w:val="center"/>
          </w:tcPr>
          <w:p>
            <w:pPr>
              <w:pStyle w:val="290"/>
              <w:rPr>
                <w:color w:val="FF0000"/>
              </w:rPr>
            </w:pPr>
            <w:r>
              <w:rPr>
                <w:color w:val="FF0000"/>
              </w:rPr>
              <w:t>芯</w:t>
            </w:r>
          </w:p>
        </w:tc>
        <w:tc>
          <w:tcPr>
            <w:tcW w:w="796" w:type="dxa"/>
            <w:shd w:val="clear" w:color="auto" w:fill="auto"/>
            <w:vAlign w:val="center"/>
          </w:tcPr>
          <w:p>
            <w:pPr>
              <w:pStyle w:val="290"/>
              <w:rPr>
                <w:color w:val="FF0000"/>
              </w:rPr>
            </w:pPr>
            <w:r>
              <w:rPr>
                <w:color w:val="FF0000"/>
              </w:rPr>
              <w:t>0.15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TSW1-060</w:t>
            </w:r>
          </w:p>
        </w:tc>
        <w:tc>
          <w:tcPr>
            <w:tcW w:w="3635" w:type="dxa"/>
            <w:shd w:val="clear" w:color="auto" w:fill="auto"/>
            <w:vAlign w:val="center"/>
          </w:tcPr>
          <w:p>
            <w:pPr>
              <w:pStyle w:val="290"/>
              <w:rPr>
                <w:color w:val="FF0000"/>
              </w:rPr>
            </w:pPr>
            <w:r>
              <w:rPr>
                <w:color w:val="FF0000"/>
              </w:rPr>
              <w:t>室内布放电力电缆(单芯相线截面积)(16mm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TSW1-061</w:t>
            </w:r>
          </w:p>
        </w:tc>
        <w:tc>
          <w:tcPr>
            <w:tcW w:w="3635" w:type="dxa"/>
            <w:shd w:val="clear" w:color="auto" w:fill="auto"/>
            <w:vAlign w:val="center"/>
          </w:tcPr>
          <w:p>
            <w:pPr>
              <w:pStyle w:val="290"/>
              <w:rPr>
                <w:color w:val="FF0000"/>
              </w:rPr>
            </w:pPr>
            <w:r>
              <w:rPr>
                <w:color w:val="FF0000"/>
              </w:rPr>
              <w:t>室内布放电力电缆(单芯相线截面积)(35mm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TSW1-062</w:t>
            </w:r>
          </w:p>
        </w:tc>
        <w:tc>
          <w:tcPr>
            <w:tcW w:w="3635" w:type="dxa"/>
            <w:shd w:val="clear" w:color="auto" w:fill="auto"/>
            <w:vAlign w:val="center"/>
          </w:tcPr>
          <w:p>
            <w:pPr>
              <w:pStyle w:val="290"/>
              <w:rPr>
                <w:color w:val="FF0000"/>
              </w:rPr>
            </w:pPr>
            <w:r>
              <w:rPr>
                <w:color w:val="FF0000"/>
              </w:rPr>
              <w:t>室内布放电力电缆(单芯相线截面积)(70mm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0.29</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TSW1-063</w:t>
            </w:r>
          </w:p>
        </w:tc>
        <w:tc>
          <w:tcPr>
            <w:tcW w:w="3635" w:type="dxa"/>
            <w:shd w:val="clear" w:color="auto" w:fill="auto"/>
            <w:vAlign w:val="center"/>
          </w:tcPr>
          <w:p>
            <w:pPr>
              <w:pStyle w:val="290"/>
              <w:rPr>
                <w:color w:val="FF0000"/>
              </w:rPr>
            </w:pPr>
            <w:r>
              <w:rPr>
                <w:color w:val="FF0000"/>
              </w:rPr>
              <w:t>室内布放电力电缆(单芯相线截面积)(120mm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0.34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TSW1-064</w:t>
            </w:r>
          </w:p>
        </w:tc>
        <w:tc>
          <w:tcPr>
            <w:tcW w:w="3635" w:type="dxa"/>
            <w:shd w:val="clear" w:color="auto" w:fill="auto"/>
            <w:vAlign w:val="center"/>
          </w:tcPr>
          <w:p>
            <w:pPr>
              <w:pStyle w:val="290"/>
              <w:rPr>
                <w:color w:val="FF0000"/>
              </w:rPr>
            </w:pPr>
            <w:r>
              <w:rPr>
                <w:color w:val="FF0000"/>
              </w:rPr>
              <w:t>室内布放电力电缆(单芯相线截面积)(185mm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0.41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TSW1-065</w:t>
            </w:r>
          </w:p>
        </w:tc>
        <w:tc>
          <w:tcPr>
            <w:tcW w:w="3635" w:type="dxa"/>
            <w:shd w:val="clear" w:color="auto" w:fill="auto"/>
            <w:vAlign w:val="center"/>
          </w:tcPr>
          <w:p>
            <w:pPr>
              <w:pStyle w:val="290"/>
              <w:rPr>
                <w:color w:val="FF0000"/>
              </w:rPr>
            </w:pPr>
            <w:r>
              <w:rPr>
                <w:color w:val="FF0000"/>
              </w:rPr>
              <w:t>室内布放电力电缆(单芯相线截面积)(240mm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0.55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TSW1-066</w:t>
            </w:r>
          </w:p>
        </w:tc>
        <w:tc>
          <w:tcPr>
            <w:tcW w:w="3635" w:type="dxa"/>
            <w:shd w:val="clear" w:color="auto" w:fill="auto"/>
            <w:vAlign w:val="center"/>
          </w:tcPr>
          <w:p>
            <w:pPr>
              <w:pStyle w:val="290"/>
              <w:rPr>
                <w:color w:val="FF0000"/>
              </w:rPr>
            </w:pPr>
            <w:r>
              <w:rPr>
                <w:color w:val="FF0000"/>
              </w:rPr>
              <w:t>室内布放电力电缆(单芯相线截面积)(500mm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0.83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TSW1-067</w:t>
            </w:r>
          </w:p>
        </w:tc>
        <w:tc>
          <w:tcPr>
            <w:tcW w:w="3635" w:type="dxa"/>
            <w:shd w:val="clear" w:color="auto" w:fill="auto"/>
            <w:vAlign w:val="center"/>
          </w:tcPr>
          <w:p>
            <w:pPr>
              <w:pStyle w:val="290"/>
              <w:rPr>
                <w:color w:val="FF0000"/>
              </w:rPr>
            </w:pPr>
            <w:r>
              <w:rPr>
                <w:color w:val="FF0000"/>
              </w:rPr>
              <w:t>安装列内电源线</w:t>
            </w:r>
          </w:p>
        </w:tc>
        <w:tc>
          <w:tcPr>
            <w:tcW w:w="980" w:type="dxa"/>
            <w:shd w:val="clear" w:color="auto" w:fill="auto"/>
            <w:vAlign w:val="center"/>
          </w:tcPr>
          <w:p>
            <w:pPr>
              <w:pStyle w:val="290"/>
              <w:rPr>
                <w:color w:val="FF0000"/>
              </w:rPr>
            </w:pPr>
            <w:r>
              <w:rPr>
                <w:color w:val="FF0000"/>
              </w:rPr>
              <w:t>列</w:t>
            </w:r>
          </w:p>
        </w:tc>
        <w:tc>
          <w:tcPr>
            <w:tcW w:w="796" w:type="dxa"/>
            <w:shd w:val="clear" w:color="auto" w:fill="auto"/>
            <w:vAlign w:val="center"/>
          </w:tcPr>
          <w:p>
            <w:pPr>
              <w:pStyle w:val="290"/>
              <w:rPr>
                <w:color w:val="FF0000"/>
              </w:rPr>
            </w:pPr>
            <w:r>
              <w:rPr>
                <w:color w:val="FF0000"/>
              </w:rPr>
              <w:t>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TSW1-068</w:t>
            </w:r>
          </w:p>
        </w:tc>
        <w:tc>
          <w:tcPr>
            <w:tcW w:w="3635" w:type="dxa"/>
            <w:shd w:val="clear" w:color="auto" w:fill="auto"/>
            <w:vAlign w:val="center"/>
          </w:tcPr>
          <w:p>
            <w:pPr>
              <w:pStyle w:val="290"/>
              <w:rPr>
                <w:color w:val="FF0000"/>
              </w:rPr>
            </w:pPr>
            <w:r>
              <w:rPr>
                <w:color w:val="FF0000"/>
              </w:rPr>
              <w:t>室外布放电力电缆(单芯)(16mm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TSW1-069</w:t>
            </w:r>
          </w:p>
        </w:tc>
        <w:tc>
          <w:tcPr>
            <w:tcW w:w="3635" w:type="dxa"/>
            <w:shd w:val="clear" w:color="auto" w:fill="auto"/>
            <w:vAlign w:val="center"/>
          </w:tcPr>
          <w:p>
            <w:pPr>
              <w:pStyle w:val="290"/>
              <w:rPr>
                <w:color w:val="FF0000"/>
              </w:rPr>
            </w:pPr>
            <w:r>
              <w:rPr>
                <w:color w:val="FF0000"/>
              </w:rPr>
              <w:t>室外布放电力电缆(单芯)(35mm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TSW1-070</w:t>
            </w:r>
          </w:p>
        </w:tc>
        <w:tc>
          <w:tcPr>
            <w:tcW w:w="3635" w:type="dxa"/>
            <w:shd w:val="clear" w:color="auto" w:fill="auto"/>
            <w:vAlign w:val="center"/>
          </w:tcPr>
          <w:p>
            <w:pPr>
              <w:pStyle w:val="290"/>
              <w:rPr>
                <w:color w:val="FF0000"/>
              </w:rPr>
            </w:pPr>
            <w:r>
              <w:rPr>
                <w:color w:val="FF0000"/>
              </w:rPr>
              <w:t>室外布放电力电缆(单芯)(70mm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0.36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TSW1-071</w:t>
            </w:r>
          </w:p>
        </w:tc>
        <w:tc>
          <w:tcPr>
            <w:tcW w:w="3635" w:type="dxa"/>
            <w:shd w:val="clear" w:color="auto" w:fill="auto"/>
            <w:vAlign w:val="center"/>
          </w:tcPr>
          <w:p>
            <w:pPr>
              <w:pStyle w:val="290"/>
              <w:rPr>
                <w:color w:val="FF0000"/>
              </w:rPr>
            </w:pPr>
            <w:r>
              <w:rPr>
                <w:color w:val="FF0000"/>
              </w:rPr>
              <w:t>室外布放电力电缆(单芯)(120mm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0.44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TSW1-072</w:t>
            </w:r>
          </w:p>
        </w:tc>
        <w:tc>
          <w:tcPr>
            <w:tcW w:w="3635" w:type="dxa"/>
            <w:shd w:val="clear" w:color="auto" w:fill="auto"/>
            <w:vAlign w:val="center"/>
          </w:tcPr>
          <w:p>
            <w:pPr>
              <w:pStyle w:val="290"/>
              <w:rPr>
                <w:color w:val="FF0000"/>
              </w:rPr>
            </w:pPr>
            <w:r>
              <w:rPr>
                <w:color w:val="FF0000"/>
              </w:rPr>
              <w:t>室外布放电力电缆(单芯)(185mm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0.53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TSW1-073</w:t>
            </w:r>
          </w:p>
        </w:tc>
        <w:tc>
          <w:tcPr>
            <w:tcW w:w="3635" w:type="dxa"/>
            <w:shd w:val="clear" w:color="auto" w:fill="auto"/>
            <w:vAlign w:val="center"/>
          </w:tcPr>
          <w:p>
            <w:pPr>
              <w:pStyle w:val="290"/>
              <w:rPr>
                <w:color w:val="FF0000"/>
              </w:rPr>
            </w:pPr>
            <w:r>
              <w:rPr>
                <w:color w:val="FF0000"/>
              </w:rPr>
              <w:t>室外布放电力电缆(单芯)(240mm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0.74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TSW1-074</w:t>
            </w:r>
          </w:p>
        </w:tc>
        <w:tc>
          <w:tcPr>
            <w:tcW w:w="3635" w:type="dxa"/>
            <w:shd w:val="clear" w:color="auto" w:fill="auto"/>
            <w:vAlign w:val="center"/>
          </w:tcPr>
          <w:p>
            <w:pPr>
              <w:pStyle w:val="290"/>
              <w:rPr>
                <w:color w:val="FF0000"/>
              </w:rPr>
            </w:pPr>
            <w:r>
              <w:rPr>
                <w:color w:val="FF0000"/>
              </w:rPr>
              <w:t>室外布放电力电缆(单芯)(500mm</w:t>
            </w:r>
            <w:r>
              <w:rPr>
                <w:color w:val="FF0000"/>
                <w:vertAlign w:val="superscript"/>
              </w:rPr>
              <w:t>2</w:t>
            </w:r>
            <w:r>
              <w:rPr>
                <w:color w:val="FF0000"/>
              </w:rPr>
              <w:t>以下)</w:t>
            </w:r>
          </w:p>
        </w:tc>
        <w:tc>
          <w:tcPr>
            <w:tcW w:w="980" w:type="dxa"/>
            <w:shd w:val="clear" w:color="auto" w:fill="auto"/>
            <w:vAlign w:val="center"/>
          </w:tcPr>
          <w:p>
            <w:pPr>
              <w:pStyle w:val="290"/>
              <w:rPr>
                <w:color w:val="FF0000"/>
              </w:rPr>
            </w:pPr>
            <w:r>
              <w:rPr>
                <w:color w:val="FF0000"/>
              </w:rPr>
              <w:t>十米条</w:t>
            </w:r>
          </w:p>
        </w:tc>
        <w:tc>
          <w:tcPr>
            <w:tcW w:w="796" w:type="dxa"/>
            <w:shd w:val="clear" w:color="auto" w:fill="auto"/>
            <w:vAlign w:val="center"/>
          </w:tcPr>
          <w:p>
            <w:pPr>
              <w:pStyle w:val="290"/>
              <w:rPr>
                <w:color w:val="FF0000"/>
              </w:rPr>
            </w:pPr>
            <w:r>
              <w:rPr>
                <w:color w:val="FF0000"/>
              </w:rPr>
              <w:t>1.13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TSW1-077</w:t>
            </w:r>
          </w:p>
        </w:tc>
        <w:tc>
          <w:tcPr>
            <w:tcW w:w="3635" w:type="dxa"/>
            <w:shd w:val="clear" w:color="auto" w:fill="auto"/>
            <w:vAlign w:val="center"/>
          </w:tcPr>
          <w:p>
            <w:pPr>
              <w:pStyle w:val="290"/>
              <w:rPr>
                <w:color w:val="FF0000"/>
              </w:rPr>
            </w:pPr>
            <w:r>
              <w:rPr>
                <w:color w:val="FF0000"/>
              </w:rPr>
              <w:t>抗震机座(制作)</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TSW1-078</w:t>
            </w:r>
          </w:p>
        </w:tc>
        <w:tc>
          <w:tcPr>
            <w:tcW w:w="3635" w:type="dxa"/>
            <w:shd w:val="clear" w:color="auto" w:fill="auto"/>
            <w:vAlign w:val="center"/>
          </w:tcPr>
          <w:p>
            <w:pPr>
              <w:pStyle w:val="290"/>
              <w:rPr>
                <w:color w:val="FF0000"/>
              </w:rPr>
            </w:pPr>
            <w:r>
              <w:rPr>
                <w:color w:val="FF0000"/>
              </w:rPr>
              <w:t>抗震机座(安装)</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TSW1-080</w:t>
            </w:r>
          </w:p>
        </w:tc>
        <w:tc>
          <w:tcPr>
            <w:tcW w:w="3635" w:type="dxa"/>
            <w:shd w:val="clear" w:color="auto" w:fill="auto"/>
            <w:vAlign w:val="center"/>
          </w:tcPr>
          <w:p>
            <w:pPr>
              <w:pStyle w:val="290"/>
              <w:rPr>
                <w:color w:val="FF0000"/>
              </w:rPr>
            </w:pPr>
            <w:r>
              <w:rPr>
                <w:color w:val="FF0000"/>
              </w:rPr>
              <w:t>安装加固吊挂</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TSW1-081</w:t>
            </w:r>
          </w:p>
        </w:tc>
        <w:tc>
          <w:tcPr>
            <w:tcW w:w="3635" w:type="dxa"/>
            <w:shd w:val="clear" w:color="auto" w:fill="auto"/>
            <w:vAlign w:val="center"/>
          </w:tcPr>
          <w:p>
            <w:pPr>
              <w:pStyle w:val="290"/>
              <w:rPr>
                <w:color w:val="FF0000"/>
              </w:rPr>
            </w:pPr>
            <w:r>
              <w:rPr>
                <w:color w:val="FF0000"/>
              </w:rPr>
              <w:t>安装支撑铁架</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0.61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TSW1-082</w:t>
            </w:r>
          </w:p>
        </w:tc>
        <w:tc>
          <w:tcPr>
            <w:tcW w:w="3635" w:type="dxa"/>
            <w:shd w:val="clear" w:color="auto" w:fill="auto"/>
            <w:vAlign w:val="center"/>
          </w:tcPr>
          <w:p>
            <w:pPr>
              <w:pStyle w:val="290"/>
              <w:rPr>
                <w:color w:val="FF0000"/>
              </w:rPr>
            </w:pPr>
            <w:r>
              <w:rPr>
                <w:color w:val="FF0000"/>
              </w:rPr>
              <w:t>安装馈线密封窗</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1.42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TSW1-083</w:t>
            </w:r>
          </w:p>
        </w:tc>
        <w:tc>
          <w:tcPr>
            <w:tcW w:w="3635" w:type="dxa"/>
            <w:shd w:val="clear" w:color="auto" w:fill="auto"/>
            <w:vAlign w:val="center"/>
          </w:tcPr>
          <w:p>
            <w:pPr>
              <w:pStyle w:val="290"/>
              <w:rPr>
                <w:color w:val="FF0000"/>
              </w:rPr>
            </w:pPr>
            <w:r>
              <w:rPr>
                <w:color w:val="FF0000"/>
              </w:rPr>
              <w:t>封堵馈线窗</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TSW1-084</w:t>
            </w:r>
          </w:p>
        </w:tc>
        <w:tc>
          <w:tcPr>
            <w:tcW w:w="3635" w:type="dxa"/>
            <w:shd w:val="clear" w:color="auto" w:fill="auto"/>
            <w:vAlign w:val="center"/>
          </w:tcPr>
          <w:p>
            <w:pPr>
              <w:pStyle w:val="290"/>
              <w:rPr>
                <w:color w:val="FF0000"/>
              </w:rPr>
            </w:pPr>
            <w:r>
              <w:rPr>
                <w:color w:val="FF0000"/>
              </w:rPr>
              <w:t>开挖墙洞</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1.5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TSW1-085</w:t>
            </w:r>
          </w:p>
        </w:tc>
        <w:tc>
          <w:tcPr>
            <w:tcW w:w="3635" w:type="dxa"/>
            <w:shd w:val="clear" w:color="auto" w:fill="auto"/>
            <w:vAlign w:val="center"/>
          </w:tcPr>
          <w:p>
            <w:pPr>
              <w:pStyle w:val="290"/>
              <w:rPr>
                <w:color w:val="FF0000"/>
              </w:rPr>
            </w:pPr>
            <w:r>
              <w:rPr>
                <w:color w:val="FF0000"/>
              </w:rPr>
              <w:t>打穿楼墙洞(砖墙)</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0.11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TSW1-086</w:t>
            </w:r>
          </w:p>
        </w:tc>
        <w:tc>
          <w:tcPr>
            <w:tcW w:w="3635" w:type="dxa"/>
            <w:shd w:val="clear" w:color="auto" w:fill="auto"/>
            <w:vAlign w:val="center"/>
          </w:tcPr>
          <w:p>
            <w:pPr>
              <w:pStyle w:val="290"/>
              <w:rPr>
                <w:color w:val="FF0000"/>
              </w:rPr>
            </w:pPr>
            <w:r>
              <w:rPr>
                <w:color w:val="FF0000"/>
              </w:rPr>
              <w:t>打穿楼墙洞(混凝土墙)</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0.21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TSW1-087</w:t>
            </w:r>
          </w:p>
        </w:tc>
        <w:tc>
          <w:tcPr>
            <w:tcW w:w="3635" w:type="dxa"/>
            <w:shd w:val="clear" w:color="auto" w:fill="auto"/>
            <w:vAlign w:val="center"/>
          </w:tcPr>
          <w:p>
            <w:pPr>
              <w:pStyle w:val="290"/>
              <w:rPr>
                <w:color w:val="FF0000"/>
              </w:rPr>
            </w:pPr>
            <w:r>
              <w:rPr>
                <w:color w:val="FF0000"/>
              </w:rPr>
              <w:t>封堵电缆洞</w:t>
            </w:r>
          </w:p>
        </w:tc>
        <w:tc>
          <w:tcPr>
            <w:tcW w:w="980" w:type="dxa"/>
            <w:shd w:val="clear" w:color="auto" w:fill="auto"/>
            <w:vAlign w:val="center"/>
          </w:tcPr>
          <w:p>
            <w:pPr>
              <w:pStyle w:val="290"/>
              <w:rPr>
                <w:color w:val="FF0000"/>
              </w:rPr>
            </w:pPr>
            <w:r>
              <w:rPr>
                <w:color w:val="FF0000"/>
              </w:rPr>
              <w:t>处</w:t>
            </w:r>
          </w:p>
        </w:tc>
        <w:tc>
          <w:tcPr>
            <w:tcW w:w="796" w:type="dxa"/>
            <w:shd w:val="clear" w:color="auto" w:fill="auto"/>
            <w:vAlign w:val="center"/>
          </w:tcPr>
          <w:p>
            <w:pPr>
              <w:pStyle w:val="290"/>
              <w:rPr>
                <w:color w:val="FF0000"/>
              </w:rPr>
            </w:pPr>
            <w:r>
              <w:rPr>
                <w:color w:val="FF0000"/>
              </w:rPr>
              <w:t>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TSW1-088</w:t>
            </w:r>
          </w:p>
        </w:tc>
        <w:tc>
          <w:tcPr>
            <w:tcW w:w="3635" w:type="dxa"/>
            <w:shd w:val="clear" w:color="auto" w:fill="auto"/>
            <w:vAlign w:val="center"/>
          </w:tcPr>
          <w:p>
            <w:pPr>
              <w:pStyle w:val="290"/>
              <w:rPr>
                <w:color w:val="FF0000"/>
              </w:rPr>
            </w:pPr>
            <w:r>
              <w:rPr>
                <w:color w:val="FF0000"/>
              </w:rPr>
              <w:t>天线美化处理配合用工(楼顶)</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TSW1-089</w:t>
            </w:r>
          </w:p>
        </w:tc>
        <w:tc>
          <w:tcPr>
            <w:tcW w:w="3635" w:type="dxa"/>
            <w:shd w:val="clear" w:color="auto" w:fill="auto"/>
            <w:vAlign w:val="center"/>
          </w:tcPr>
          <w:p>
            <w:pPr>
              <w:pStyle w:val="290"/>
              <w:rPr>
                <w:color w:val="FF0000"/>
              </w:rPr>
            </w:pPr>
            <w:r>
              <w:rPr>
                <w:color w:val="FF0000"/>
              </w:rPr>
              <w:t>天线美化处理配合用工(铁塔)</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TSW1-090</w:t>
            </w:r>
          </w:p>
        </w:tc>
        <w:tc>
          <w:tcPr>
            <w:tcW w:w="3635" w:type="dxa"/>
            <w:shd w:val="clear" w:color="auto" w:fill="auto"/>
            <w:vAlign w:val="center"/>
          </w:tcPr>
          <w:p>
            <w:pPr>
              <w:pStyle w:val="290"/>
              <w:rPr>
                <w:color w:val="FF0000"/>
              </w:rPr>
            </w:pPr>
            <w:r>
              <w:rPr>
                <w:color w:val="FF0000"/>
              </w:rPr>
              <w:t>天线美化处理配合用工(外墙)</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0.46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TSW2-009</w:t>
            </w:r>
          </w:p>
        </w:tc>
        <w:tc>
          <w:tcPr>
            <w:tcW w:w="3635" w:type="dxa"/>
            <w:shd w:val="clear" w:color="auto" w:fill="auto"/>
            <w:vAlign w:val="center"/>
          </w:tcPr>
          <w:p>
            <w:pPr>
              <w:pStyle w:val="290"/>
              <w:rPr>
                <w:color w:val="FF0000"/>
              </w:rPr>
            </w:pPr>
            <w:r>
              <w:rPr>
                <w:color w:val="FF0000"/>
              </w:rPr>
              <w:t>安装定向天线(楼顶铁塔上)(20m以下)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5.7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TSW2-010</w:t>
            </w:r>
          </w:p>
        </w:tc>
        <w:tc>
          <w:tcPr>
            <w:tcW w:w="3635" w:type="dxa"/>
            <w:shd w:val="clear" w:color="auto" w:fill="auto"/>
            <w:vAlign w:val="center"/>
          </w:tcPr>
          <w:p>
            <w:pPr>
              <w:pStyle w:val="290"/>
              <w:rPr>
                <w:color w:val="FF0000"/>
              </w:rPr>
            </w:pPr>
            <w:r>
              <w:rPr>
                <w:color w:val="FF0000"/>
              </w:rPr>
              <w:t>安装定向天线(楼顶铁塔上)(20m以上每增加1m)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TSW2-011</w:t>
            </w:r>
          </w:p>
        </w:tc>
        <w:tc>
          <w:tcPr>
            <w:tcW w:w="3635" w:type="dxa"/>
            <w:shd w:val="clear" w:color="auto" w:fill="auto"/>
            <w:vAlign w:val="center"/>
          </w:tcPr>
          <w:p>
            <w:pPr>
              <w:pStyle w:val="290"/>
              <w:rPr>
                <w:color w:val="FF0000"/>
              </w:rPr>
            </w:pPr>
            <w:r>
              <w:rPr>
                <w:color w:val="FF0000"/>
              </w:rPr>
              <w:t>安装定向天线(地面铁塔上)(40m以下)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6.35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TSW2-012</w:t>
            </w:r>
          </w:p>
        </w:tc>
        <w:tc>
          <w:tcPr>
            <w:tcW w:w="3635" w:type="dxa"/>
            <w:shd w:val="clear" w:color="auto" w:fill="auto"/>
            <w:vAlign w:val="center"/>
          </w:tcPr>
          <w:p>
            <w:pPr>
              <w:pStyle w:val="290"/>
              <w:rPr>
                <w:color w:val="FF0000"/>
              </w:rPr>
            </w:pPr>
            <w:r>
              <w:rPr>
                <w:color w:val="FF0000"/>
              </w:rPr>
              <w:t>安装定向天线(地面铁塔上)(40m以上至80m以下每增加1m)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TSW2-013</w:t>
            </w:r>
          </w:p>
        </w:tc>
        <w:tc>
          <w:tcPr>
            <w:tcW w:w="3635" w:type="dxa"/>
            <w:shd w:val="clear" w:color="auto" w:fill="auto"/>
            <w:vAlign w:val="center"/>
          </w:tcPr>
          <w:p>
            <w:pPr>
              <w:pStyle w:val="290"/>
              <w:rPr>
                <w:color w:val="FF0000"/>
              </w:rPr>
            </w:pPr>
            <w:r>
              <w:rPr>
                <w:color w:val="FF0000"/>
              </w:rPr>
              <w:t>安装定向天线(地面铁塔上)(80m以上至90m以下)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11.95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TSW2-014</w:t>
            </w:r>
          </w:p>
        </w:tc>
        <w:tc>
          <w:tcPr>
            <w:tcW w:w="3635" w:type="dxa"/>
            <w:shd w:val="clear" w:color="auto" w:fill="auto"/>
            <w:vAlign w:val="center"/>
          </w:tcPr>
          <w:p>
            <w:pPr>
              <w:pStyle w:val="290"/>
              <w:rPr>
                <w:color w:val="FF0000"/>
              </w:rPr>
            </w:pPr>
            <w:r>
              <w:rPr>
                <w:color w:val="FF0000"/>
              </w:rPr>
              <w:t>安装定向天线(地面铁塔上)(90m以上每增加1m)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0.16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TSW2-015</w:t>
            </w:r>
          </w:p>
        </w:tc>
        <w:tc>
          <w:tcPr>
            <w:tcW w:w="3635" w:type="dxa"/>
            <w:shd w:val="clear" w:color="auto" w:fill="auto"/>
            <w:vAlign w:val="center"/>
          </w:tcPr>
          <w:p>
            <w:pPr>
              <w:pStyle w:val="290"/>
              <w:rPr>
                <w:color w:val="FF0000"/>
              </w:rPr>
            </w:pPr>
            <w:r>
              <w:rPr>
                <w:color w:val="FF0000"/>
              </w:rPr>
              <w:t>安装定向天线(拉线塔(桅杆)上)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7.73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TSW2-016</w:t>
            </w:r>
          </w:p>
        </w:tc>
        <w:tc>
          <w:tcPr>
            <w:tcW w:w="3635" w:type="dxa"/>
            <w:shd w:val="clear" w:color="auto" w:fill="auto"/>
            <w:vAlign w:val="center"/>
          </w:tcPr>
          <w:p>
            <w:pPr>
              <w:pStyle w:val="290"/>
              <w:rPr>
                <w:color w:val="FF0000"/>
              </w:rPr>
            </w:pPr>
            <w:r>
              <w:rPr>
                <w:color w:val="FF0000"/>
              </w:rPr>
              <w:t>安装定向天线(抱杆上)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4.42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TSW2-017</w:t>
            </w:r>
          </w:p>
        </w:tc>
        <w:tc>
          <w:tcPr>
            <w:tcW w:w="3635" w:type="dxa"/>
            <w:shd w:val="clear" w:color="auto" w:fill="auto"/>
            <w:vAlign w:val="center"/>
          </w:tcPr>
          <w:p>
            <w:pPr>
              <w:pStyle w:val="290"/>
              <w:rPr>
                <w:color w:val="FF0000"/>
              </w:rPr>
            </w:pPr>
            <w:r>
              <w:rPr>
                <w:color w:val="FF0000"/>
              </w:rPr>
              <w:t>安装定向天线(楼外墙壁)</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8.13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TSW2-018</w:t>
            </w:r>
          </w:p>
        </w:tc>
        <w:tc>
          <w:tcPr>
            <w:tcW w:w="3635" w:type="dxa"/>
            <w:shd w:val="clear" w:color="auto" w:fill="auto"/>
            <w:vAlign w:val="center"/>
          </w:tcPr>
          <w:p>
            <w:pPr>
              <w:pStyle w:val="290"/>
              <w:rPr>
                <w:color w:val="FF0000"/>
              </w:rPr>
            </w:pPr>
            <w:r>
              <w:rPr>
                <w:color w:val="FF0000"/>
              </w:rPr>
              <w:t>安装小型化定向天线(铁塔上)(20m以下)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TSW2-019</w:t>
            </w:r>
          </w:p>
        </w:tc>
        <w:tc>
          <w:tcPr>
            <w:tcW w:w="3635" w:type="dxa"/>
            <w:shd w:val="clear" w:color="auto" w:fill="auto"/>
            <w:vAlign w:val="center"/>
          </w:tcPr>
          <w:p>
            <w:pPr>
              <w:pStyle w:val="290"/>
              <w:rPr>
                <w:color w:val="FF0000"/>
              </w:rPr>
            </w:pPr>
            <w:r>
              <w:rPr>
                <w:color w:val="FF0000"/>
              </w:rPr>
              <w:t>安装小型化定向天线(铁塔上)(20m以上每增加1m)</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TSW2-020</w:t>
            </w:r>
          </w:p>
        </w:tc>
        <w:tc>
          <w:tcPr>
            <w:tcW w:w="3635" w:type="dxa"/>
            <w:shd w:val="clear" w:color="auto" w:fill="auto"/>
            <w:vAlign w:val="center"/>
          </w:tcPr>
          <w:p>
            <w:pPr>
              <w:pStyle w:val="290"/>
              <w:rPr>
                <w:color w:val="FF0000"/>
              </w:rPr>
            </w:pPr>
            <w:r>
              <w:rPr>
                <w:color w:val="FF0000"/>
              </w:rPr>
              <w:t>安装小型化定向天线(拉线塔(桅杆)上)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2.81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TSW2-021</w:t>
            </w:r>
          </w:p>
        </w:tc>
        <w:tc>
          <w:tcPr>
            <w:tcW w:w="3635" w:type="dxa"/>
            <w:shd w:val="clear" w:color="auto" w:fill="auto"/>
            <w:vAlign w:val="center"/>
          </w:tcPr>
          <w:p>
            <w:pPr>
              <w:pStyle w:val="290"/>
              <w:rPr>
                <w:color w:val="FF0000"/>
              </w:rPr>
            </w:pPr>
            <w:r>
              <w:rPr>
                <w:color w:val="FF0000"/>
              </w:rPr>
              <w:t>安装小型化定向天线(抱杆上)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1.88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TSW2-022</w:t>
            </w:r>
          </w:p>
        </w:tc>
        <w:tc>
          <w:tcPr>
            <w:tcW w:w="3635" w:type="dxa"/>
            <w:shd w:val="clear" w:color="auto" w:fill="auto"/>
            <w:vAlign w:val="center"/>
          </w:tcPr>
          <w:p>
            <w:pPr>
              <w:pStyle w:val="290"/>
              <w:rPr>
                <w:color w:val="FF0000"/>
              </w:rPr>
            </w:pPr>
            <w:r>
              <w:rPr>
                <w:color w:val="FF0000"/>
              </w:rPr>
              <w:t>安装小型化定向天线(楼外墙壁)</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3.25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TSW2-023</w:t>
            </w:r>
          </w:p>
        </w:tc>
        <w:tc>
          <w:tcPr>
            <w:tcW w:w="3635" w:type="dxa"/>
            <w:shd w:val="clear" w:color="auto" w:fill="auto"/>
            <w:vAlign w:val="center"/>
          </w:tcPr>
          <w:p>
            <w:pPr>
              <w:pStyle w:val="290"/>
              <w:rPr>
                <w:color w:val="FF0000"/>
              </w:rPr>
            </w:pPr>
            <w:r>
              <w:rPr>
                <w:color w:val="FF0000"/>
              </w:rPr>
              <w:t>安装调测卫星全球定位系统(北斗/GPS)天线</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TSW2-024</w:t>
            </w:r>
          </w:p>
        </w:tc>
        <w:tc>
          <w:tcPr>
            <w:tcW w:w="3635" w:type="dxa"/>
            <w:shd w:val="clear" w:color="auto" w:fill="auto"/>
            <w:vAlign w:val="center"/>
          </w:tcPr>
          <w:p>
            <w:pPr>
              <w:pStyle w:val="290"/>
              <w:rPr>
                <w:color w:val="FF0000"/>
              </w:rPr>
            </w:pPr>
            <w:r>
              <w:rPr>
                <w:color w:val="FF0000"/>
              </w:rPr>
              <w:t>安装室内天线(高度6m以下)</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0.83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TSW2-025</w:t>
            </w:r>
          </w:p>
        </w:tc>
        <w:tc>
          <w:tcPr>
            <w:tcW w:w="3635" w:type="dxa"/>
            <w:shd w:val="clear" w:color="auto" w:fill="auto"/>
            <w:vAlign w:val="center"/>
          </w:tcPr>
          <w:p>
            <w:pPr>
              <w:pStyle w:val="290"/>
              <w:rPr>
                <w:color w:val="FF0000"/>
              </w:rPr>
            </w:pPr>
            <w:r>
              <w:rPr>
                <w:color w:val="FF0000"/>
              </w:rPr>
              <w:t>安装室内天线(高度6m以上)</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1.08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TSW2-026</w:t>
            </w:r>
          </w:p>
        </w:tc>
        <w:tc>
          <w:tcPr>
            <w:tcW w:w="3635" w:type="dxa"/>
            <w:shd w:val="clear" w:color="auto" w:fill="auto"/>
            <w:vAlign w:val="center"/>
          </w:tcPr>
          <w:p>
            <w:pPr>
              <w:pStyle w:val="290"/>
              <w:rPr>
                <w:color w:val="FF0000"/>
              </w:rPr>
            </w:pPr>
            <w:r>
              <w:rPr>
                <w:color w:val="FF0000"/>
              </w:rPr>
              <w:t>安装室内天线(电梯井)</w:t>
            </w:r>
          </w:p>
        </w:tc>
        <w:tc>
          <w:tcPr>
            <w:tcW w:w="980" w:type="dxa"/>
            <w:shd w:val="clear" w:color="auto" w:fill="auto"/>
            <w:vAlign w:val="center"/>
          </w:tcPr>
          <w:p>
            <w:pPr>
              <w:pStyle w:val="290"/>
              <w:rPr>
                <w:color w:val="FF0000"/>
              </w:rPr>
            </w:pPr>
            <w:r>
              <w:rPr>
                <w:color w:val="FF0000"/>
              </w:rPr>
              <w:t>副</w:t>
            </w:r>
          </w:p>
        </w:tc>
        <w:tc>
          <w:tcPr>
            <w:tcW w:w="796" w:type="dxa"/>
            <w:shd w:val="clear" w:color="auto" w:fill="auto"/>
            <w:vAlign w:val="center"/>
          </w:tcPr>
          <w:p>
            <w:pPr>
              <w:pStyle w:val="290"/>
              <w:rPr>
                <w:color w:val="FF0000"/>
              </w:rPr>
            </w:pPr>
            <w:r>
              <w:rPr>
                <w:color w:val="FF0000"/>
              </w:rPr>
              <w:t>2.13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TSW2-027</w:t>
            </w:r>
          </w:p>
        </w:tc>
        <w:tc>
          <w:tcPr>
            <w:tcW w:w="3635" w:type="dxa"/>
            <w:shd w:val="clear" w:color="auto" w:fill="auto"/>
            <w:vAlign w:val="center"/>
          </w:tcPr>
          <w:p>
            <w:pPr>
              <w:pStyle w:val="290"/>
              <w:rPr>
                <w:color w:val="FF0000"/>
              </w:rPr>
            </w:pPr>
            <w:r>
              <w:rPr>
                <w:color w:val="FF0000"/>
              </w:rPr>
              <w:t>布放射频同轴电缆1/2英寸以下(4m以下)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TSW2-028</w:t>
            </w:r>
          </w:p>
        </w:tc>
        <w:tc>
          <w:tcPr>
            <w:tcW w:w="3635" w:type="dxa"/>
            <w:shd w:val="clear" w:color="auto" w:fill="auto"/>
            <w:vAlign w:val="center"/>
          </w:tcPr>
          <w:p>
            <w:pPr>
              <w:pStyle w:val="290"/>
              <w:rPr>
                <w:color w:val="FF0000"/>
              </w:rPr>
            </w:pPr>
            <w:r>
              <w:rPr>
                <w:color w:val="FF0000"/>
              </w:rPr>
              <w:t>布放射频同轴电缆1/2英寸以下(每增加1m)</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TSW2-029</w:t>
            </w:r>
          </w:p>
        </w:tc>
        <w:tc>
          <w:tcPr>
            <w:tcW w:w="3635" w:type="dxa"/>
            <w:shd w:val="clear" w:color="auto" w:fill="auto"/>
            <w:vAlign w:val="center"/>
          </w:tcPr>
          <w:p>
            <w:pPr>
              <w:pStyle w:val="290"/>
              <w:rPr>
                <w:color w:val="FF0000"/>
              </w:rPr>
            </w:pPr>
            <w:r>
              <w:rPr>
                <w:color w:val="FF0000"/>
              </w:rPr>
              <w:t>布放射频同轴电缆7/8英寸以下(10m以下)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0.98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TSW2-030</w:t>
            </w:r>
          </w:p>
        </w:tc>
        <w:tc>
          <w:tcPr>
            <w:tcW w:w="3635" w:type="dxa"/>
            <w:shd w:val="clear" w:color="auto" w:fill="auto"/>
            <w:vAlign w:val="center"/>
          </w:tcPr>
          <w:p>
            <w:pPr>
              <w:pStyle w:val="290"/>
              <w:rPr>
                <w:color w:val="FF0000"/>
              </w:rPr>
            </w:pPr>
            <w:r>
              <w:rPr>
                <w:color w:val="FF0000"/>
              </w:rPr>
              <w:t>布放射频同轴电缆7/8英寸以下(每增加1m)</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TSW2-031</w:t>
            </w:r>
          </w:p>
        </w:tc>
        <w:tc>
          <w:tcPr>
            <w:tcW w:w="3635" w:type="dxa"/>
            <w:shd w:val="clear" w:color="auto" w:fill="auto"/>
            <w:vAlign w:val="center"/>
          </w:tcPr>
          <w:p>
            <w:pPr>
              <w:pStyle w:val="290"/>
              <w:rPr>
                <w:color w:val="FF0000"/>
              </w:rPr>
            </w:pPr>
            <w:r>
              <w:rPr>
                <w:color w:val="FF0000"/>
              </w:rPr>
              <w:t>布放射频同轴电缆7/8英寸以上(10m以下)</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1.63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TSW2-032</w:t>
            </w:r>
          </w:p>
        </w:tc>
        <w:tc>
          <w:tcPr>
            <w:tcW w:w="3635" w:type="dxa"/>
            <w:shd w:val="clear" w:color="auto" w:fill="auto"/>
            <w:vAlign w:val="center"/>
          </w:tcPr>
          <w:p>
            <w:pPr>
              <w:pStyle w:val="290"/>
              <w:rPr>
                <w:color w:val="FF0000"/>
              </w:rPr>
            </w:pPr>
            <w:r>
              <w:rPr>
                <w:color w:val="FF0000"/>
              </w:rPr>
              <w:t>布放射频同轴电缆7/8英寸以上(每增加1m)</w:t>
            </w:r>
          </w:p>
        </w:tc>
        <w:tc>
          <w:tcPr>
            <w:tcW w:w="980" w:type="dxa"/>
            <w:shd w:val="clear" w:color="auto" w:fill="auto"/>
            <w:vAlign w:val="center"/>
          </w:tcPr>
          <w:p>
            <w:pPr>
              <w:pStyle w:val="290"/>
              <w:rPr>
                <w:color w:val="FF0000"/>
              </w:rPr>
            </w:pPr>
            <w:r>
              <w:rPr>
                <w:color w:val="FF0000"/>
              </w:rPr>
              <w:t>米条</w:t>
            </w:r>
          </w:p>
        </w:tc>
        <w:tc>
          <w:tcPr>
            <w:tcW w:w="796" w:type="dxa"/>
            <w:shd w:val="clear" w:color="auto" w:fill="auto"/>
            <w:vAlign w:val="center"/>
          </w:tcPr>
          <w:p>
            <w:pPr>
              <w:pStyle w:val="290"/>
              <w:rPr>
                <w:color w:val="FF0000"/>
              </w:rPr>
            </w:pPr>
            <w:r>
              <w:rPr>
                <w:color w:val="FF0000"/>
              </w:rPr>
              <w:t>0.08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atLeast"/>
          <w:jc w:val="center"/>
        </w:trPr>
        <w:tc>
          <w:tcPr>
            <w:tcW w:w="1264" w:type="dxa"/>
            <w:shd w:val="clear" w:color="auto" w:fill="auto"/>
            <w:vAlign w:val="center"/>
          </w:tcPr>
          <w:p>
            <w:pPr>
              <w:pStyle w:val="290"/>
              <w:rPr>
                <w:color w:val="FF0000"/>
              </w:rPr>
            </w:pPr>
            <w:r>
              <w:rPr>
                <w:color w:val="FF0000"/>
              </w:rPr>
              <w:t>TSW2-033</w:t>
            </w:r>
          </w:p>
        </w:tc>
        <w:tc>
          <w:tcPr>
            <w:tcW w:w="3635" w:type="dxa"/>
            <w:shd w:val="clear" w:color="auto" w:fill="auto"/>
            <w:vAlign w:val="center"/>
          </w:tcPr>
          <w:p>
            <w:pPr>
              <w:pStyle w:val="290"/>
              <w:rPr>
                <w:color w:val="FF0000"/>
              </w:rPr>
            </w:pPr>
            <w:r>
              <w:rPr>
                <w:color w:val="FF0000"/>
              </w:rPr>
              <w:t>安装集束电缆(馈线)</w:t>
            </w:r>
          </w:p>
        </w:tc>
        <w:tc>
          <w:tcPr>
            <w:tcW w:w="980" w:type="dxa"/>
            <w:shd w:val="clear" w:color="auto" w:fill="auto"/>
            <w:vAlign w:val="center"/>
          </w:tcPr>
          <w:p>
            <w:pPr>
              <w:pStyle w:val="290"/>
              <w:rPr>
                <w:color w:val="FF0000"/>
              </w:rPr>
            </w:pPr>
            <w:r>
              <w:rPr>
                <w:color w:val="FF0000"/>
              </w:rPr>
              <w:t>m</w:t>
            </w:r>
          </w:p>
        </w:tc>
        <w:tc>
          <w:tcPr>
            <w:tcW w:w="796" w:type="dxa"/>
            <w:shd w:val="clear" w:color="auto" w:fill="auto"/>
            <w:vAlign w:val="center"/>
          </w:tcPr>
          <w:p>
            <w:pPr>
              <w:pStyle w:val="290"/>
              <w:rPr>
                <w:color w:val="FF0000"/>
              </w:rPr>
            </w:pPr>
            <w:r>
              <w:rPr>
                <w:color w:val="FF0000"/>
              </w:rPr>
              <w:t>0.1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 w:hRule="atLeast"/>
          <w:jc w:val="center"/>
        </w:trPr>
        <w:tc>
          <w:tcPr>
            <w:tcW w:w="1264" w:type="dxa"/>
            <w:shd w:val="clear" w:color="auto" w:fill="auto"/>
            <w:vAlign w:val="center"/>
          </w:tcPr>
          <w:p>
            <w:pPr>
              <w:pStyle w:val="290"/>
              <w:rPr>
                <w:color w:val="FF0000"/>
              </w:rPr>
            </w:pPr>
            <w:r>
              <w:rPr>
                <w:color w:val="FF0000"/>
              </w:rPr>
              <w:t>TSW2-034</w:t>
            </w:r>
          </w:p>
        </w:tc>
        <w:tc>
          <w:tcPr>
            <w:tcW w:w="3635" w:type="dxa"/>
            <w:shd w:val="clear" w:color="auto" w:fill="auto"/>
            <w:vAlign w:val="center"/>
          </w:tcPr>
          <w:p>
            <w:pPr>
              <w:pStyle w:val="290"/>
              <w:rPr>
                <w:color w:val="FF0000"/>
              </w:rPr>
            </w:pPr>
            <w:r>
              <w:rPr>
                <w:color w:val="FF0000"/>
              </w:rPr>
              <w:t>安装集束电缆(馈线)端头</w:t>
            </w:r>
          </w:p>
        </w:tc>
        <w:tc>
          <w:tcPr>
            <w:tcW w:w="980" w:type="dxa"/>
            <w:shd w:val="clear" w:color="auto" w:fill="auto"/>
            <w:vAlign w:val="center"/>
          </w:tcPr>
          <w:p>
            <w:pPr>
              <w:pStyle w:val="290"/>
              <w:rPr>
                <w:color w:val="FF0000"/>
              </w:rPr>
            </w:pPr>
            <w:r>
              <w:rPr>
                <w:color w:val="FF0000"/>
              </w:rPr>
              <w:t>个</w:t>
            </w:r>
          </w:p>
        </w:tc>
        <w:tc>
          <w:tcPr>
            <w:tcW w:w="796" w:type="dxa"/>
            <w:shd w:val="clear" w:color="auto" w:fill="auto"/>
            <w:vAlign w:val="center"/>
          </w:tcPr>
          <w:p>
            <w:pPr>
              <w:pStyle w:val="290"/>
              <w:rPr>
                <w:color w:val="FF0000"/>
              </w:rPr>
            </w:pPr>
            <w:r>
              <w:rPr>
                <w:color w:val="FF0000"/>
              </w:rPr>
              <w:t>0.05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TSW2-035</w:t>
            </w:r>
          </w:p>
        </w:tc>
        <w:tc>
          <w:tcPr>
            <w:tcW w:w="3635" w:type="dxa"/>
            <w:shd w:val="clear" w:color="auto" w:fill="auto"/>
            <w:vAlign w:val="center"/>
          </w:tcPr>
          <w:p>
            <w:pPr>
              <w:pStyle w:val="290"/>
              <w:rPr>
                <w:color w:val="FF0000"/>
              </w:rPr>
            </w:pPr>
            <w:r>
              <w:rPr>
                <w:color w:val="FF0000"/>
              </w:rPr>
              <w:t>安装、调测塔顶信号放大器(有源)</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1.8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jc w:val="center"/>
        </w:trPr>
        <w:tc>
          <w:tcPr>
            <w:tcW w:w="1264" w:type="dxa"/>
            <w:shd w:val="clear" w:color="auto" w:fill="auto"/>
            <w:vAlign w:val="center"/>
          </w:tcPr>
          <w:p>
            <w:pPr>
              <w:pStyle w:val="290"/>
              <w:rPr>
                <w:color w:val="FF0000"/>
              </w:rPr>
            </w:pPr>
            <w:r>
              <w:rPr>
                <w:color w:val="FF0000"/>
              </w:rPr>
              <w:t>TSW2-036</w:t>
            </w:r>
          </w:p>
        </w:tc>
        <w:tc>
          <w:tcPr>
            <w:tcW w:w="3635" w:type="dxa"/>
            <w:shd w:val="clear" w:color="auto" w:fill="auto"/>
            <w:vAlign w:val="center"/>
          </w:tcPr>
          <w:p>
            <w:pPr>
              <w:pStyle w:val="290"/>
              <w:rPr>
                <w:color w:val="FF0000"/>
              </w:rPr>
            </w:pPr>
            <w:r>
              <w:rPr>
                <w:color w:val="FF0000"/>
              </w:rPr>
              <w:t>安装电调天线控制器</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0.1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 w:hRule="atLeast"/>
          <w:jc w:val="center"/>
        </w:trPr>
        <w:tc>
          <w:tcPr>
            <w:tcW w:w="1264" w:type="dxa"/>
            <w:shd w:val="clear" w:color="auto" w:fill="auto"/>
            <w:vAlign w:val="center"/>
          </w:tcPr>
          <w:p>
            <w:pPr>
              <w:pStyle w:val="290"/>
              <w:rPr>
                <w:color w:val="FF0000"/>
              </w:rPr>
            </w:pPr>
            <w:r>
              <w:rPr>
                <w:color w:val="FF0000"/>
              </w:rPr>
              <w:t>TSW2-037</w:t>
            </w:r>
          </w:p>
        </w:tc>
        <w:tc>
          <w:tcPr>
            <w:tcW w:w="3635" w:type="dxa"/>
            <w:shd w:val="clear" w:color="auto" w:fill="auto"/>
            <w:vAlign w:val="center"/>
          </w:tcPr>
          <w:p>
            <w:pPr>
              <w:pStyle w:val="290"/>
              <w:rPr>
                <w:color w:val="FF0000"/>
              </w:rPr>
            </w:pPr>
            <w:r>
              <w:rPr>
                <w:color w:val="FF0000"/>
              </w:rPr>
              <w:t>安装室外滤波器</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2.5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264" w:type="dxa"/>
            <w:shd w:val="clear" w:color="auto" w:fill="auto"/>
            <w:vAlign w:val="center"/>
          </w:tcPr>
          <w:p>
            <w:pPr>
              <w:pStyle w:val="290"/>
              <w:rPr>
                <w:color w:val="FF0000"/>
              </w:rPr>
            </w:pPr>
            <w:r>
              <w:rPr>
                <w:color w:val="FF0000"/>
              </w:rPr>
              <w:t>TSW2-044</w:t>
            </w:r>
          </w:p>
        </w:tc>
        <w:tc>
          <w:tcPr>
            <w:tcW w:w="3635" w:type="dxa"/>
            <w:shd w:val="clear" w:color="auto" w:fill="auto"/>
            <w:vAlign w:val="center"/>
          </w:tcPr>
          <w:p>
            <w:pPr>
              <w:pStyle w:val="290"/>
              <w:rPr>
                <w:color w:val="FF0000"/>
              </w:rPr>
            </w:pPr>
            <w:r>
              <w:rPr>
                <w:color w:val="FF0000"/>
              </w:rPr>
              <w:t>宏基站天、馈线系统调测(1/2英寸射频同轴电缆)</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0.38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TSW2-045</w:t>
            </w:r>
          </w:p>
        </w:tc>
        <w:tc>
          <w:tcPr>
            <w:tcW w:w="3635" w:type="dxa"/>
            <w:shd w:val="clear" w:color="auto" w:fill="auto"/>
            <w:vAlign w:val="center"/>
          </w:tcPr>
          <w:p>
            <w:pPr>
              <w:pStyle w:val="290"/>
              <w:rPr>
                <w:color w:val="FF0000"/>
              </w:rPr>
            </w:pPr>
            <w:r>
              <w:rPr>
                <w:color w:val="FF0000"/>
              </w:rPr>
              <w:t>宏基站天、馈线系统调测(7/8英寸射频同轴电缆)</w:t>
            </w:r>
          </w:p>
        </w:tc>
        <w:tc>
          <w:tcPr>
            <w:tcW w:w="980" w:type="dxa"/>
            <w:shd w:val="clear" w:color="auto" w:fill="auto"/>
            <w:vAlign w:val="center"/>
          </w:tcPr>
          <w:p>
            <w:pPr>
              <w:pStyle w:val="290"/>
              <w:rPr>
                <w:color w:val="FF0000"/>
              </w:rPr>
            </w:pPr>
            <w:r>
              <w:rPr>
                <w:color w:val="FF0000"/>
              </w:rPr>
              <w:t>条</w:t>
            </w:r>
          </w:p>
        </w:tc>
        <w:tc>
          <w:tcPr>
            <w:tcW w:w="796" w:type="dxa"/>
            <w:shd w:val="clear" w:color="auto" w:fill="auto"/>
            <w:vAlign w:val="center"/>
          </w:tcPr>
          <w:p>
            <w:pPr>
              <w:pStyle w:val="290"/>
              <w:rPr>
                <w:color w:val="FF0000"/>
              </w:rPr>
            </w:pPr>
            <w:r>
              <w:rPr>
                <w:color w:val="FF0000"/>
              </w:rPr>
              <w:t>1.1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TSW2-048</w:t>
            </w:r>
          </w:p>
        </w:tc>
        <w:tc>
          <w:tcPr>
            <w:tcW w:w="3635" w:type="dxa"/>
            <w:shd w:val="clear" w:color="auto" w:fill="auto"/>
            <w:vAlign w:val="center"/>
          </w:tcPr>
          <w:p>
            <w:pPr>
              <w:pStyle w:val="290"/>
              <w:rPr>
                <w:color w:val="FF0000"/>
              </w:rPr>
            </w:pPr>
            <w:r>
              <w:rPr>
                <w:color w:val="FF0000"/>
              </w:rPr>
              <w:t>配合调测天、馈线系统</w:t>
            </w:r>
          </w:p>
        </w:tc>
        <w:tc>
          <w:tcPr>
            <w:tcW w:w="980" w:type="dxa"/>
            <w:shd w:val="clear" w:color="auto" w:fill="auto"/>
            <w:vAlign w:val="center"/>
          </w:tcPr>
          <w:p>
            <w:pPr>
              <w:pStyle w:val="290"/>
              <w:rPr>
                <w:color w:val="FF0000"/>
              </w:rPr>
            </w:pPr>
            <w:r>
              <w:rPr>
                <w:color w:val="FF0000"/>
              </w:rPr>
              <w:t>扇区</w:t>
            </w:r>
          </w:p>
        </w:tc>
        <w:tc>
          <w:tcPr>
            <w:tcW w:w="796" w:type="dxa"/>
            <w:shd w:val="clear" w:color="auto" w:fill="auto"/>
            <w:vAlign w:val="center"/>
          </w:tcPr>
          <w:p>
            <w:pPr>
              <w:pStyle w:val="290"/>
              <w:rPr>
                <w:color w:val="FF0000"/>
              </w:rPr>
            </w:pPr>
            <w:r>
              <w:rPr>
                <w:color w:val="FF0000"/>
              </w:rPr>
              <w:t>0.47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TSW2-049</w:t>
            </w:r>
          </w:p>
        </w:tc>
        <w:tc>
          <w:tcPr>
            <w:tcW w:w="3635" w:type="dxa"/>
            <w:shd w:val="clear" w:color="auto" w:fill="auto"/>
            <w:vAlign w:val="center"/>
          </w:tcPr>
          <w:p>
            <w:pPr>
              <w:pStyle w:val="290"/>
              <w:rPr>
                <w:color w:val="FF0000"/>
              </w:rPr>
            </w:pPr>
            <w:r>
              <w:rPr>
                <w:color w:val="FF0000"/>
              </w:rPr>
              <w:t>安装基站主设备(室外落地式)</w:t>
            </w:r>
          </w:p>
        </w:tc>
        <w:tc>
          <w:tcPr>
            <w:tcW w:w="980" w:type="dxa"/>
            <w:shd w:val="clear" w:color="auto" w:fill="auto"/>
            <w:vAlign w:val="center"/>
          </w:tcPr>
          <w:p>
            <w:pPr>
              <w:pStyle w:val="290"/>
              <w:rPr>
                <w:color w:val="FF0000"/>
              </w:rPr>
            </w:pPr>
            <w:r>
              <w:rPr>
                <w:color w:val="FF0000"/>
              </w:rPr>
              <w:t>部</w:t>
            </w:r>
          </w:p>
        </w:tc>
        <w:tc>
          <w:tcPr>
            <w:tcW w:w="796" w:type="dxa"/>
            <w:shd w:val="clear" w:color="auto" w:fill="auto"/>
            <w:vAlign w:val="center"/>
          </w:tcPr>
          <w:p>
            <w:pPr>
              <w:pStyle w:val="290"/>
              <w:rPr>
                <w:color w:val="FF0000"/>
              </w:rPr>
            </w:pPr>
            <w:r>
              <w:rPr>
                <w:color w:val="FF0000"/>
              </w:rPr>
              <w:t>7.17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TSW2-050</w:t>
            </w:r>
          </w:p>
        </w:tc>
        <w:tc>
          <w:tcPr>
            <w:tcW w:w="3635" w:type="dxa"/>
            <w:shd w:val="clear" w:color="auto" w:fill="auto"/>
          </w:tcPr>
          <w:p>
            <w:pPr>
              <w:pStyle w:val="290"/>
              <w:rPr>
                <w:color w:val="FF0000"/>
              </w:rPr>
            </w:pPr>
            <w:r>
              <w:rPr>
                <w:color w:val="FF0000"/>
              </w:rPr>
              <w:t>安装基站主设备(室内落地式)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5.92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TSW2-051</w:t>
            </w:r>
          </w:p>
        </w:tc>
        <w:tc>
          <w:tcPr>
            <w:tcW w:w="3635" w:type="dxa"/>
            <w:shd w:val="clear" w:color="auto" w:fill="auto"/>
          </w:tcPr>
          <w:p>
            <w:pPr>
              <w:pStyle w:val="290"/>
              <w:rPr>
                <w:color w:val="FF0000"/>
              </w:rPr>
            </w:pPr>
            <w:r>
              <w:rPr>
                <w:color w:val="FF0000"/>
              </w:rPr>
              <w:t>安装基站主设备(壁挂式)</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3.06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TSW2-052</w:t>
            </w:r>
          </w:p>
        </w:tc>
        <w:tc>
          <w:tcPr>
            <w:tcW w:w="3635" w:type="dxa"/>
            <w:shd w:val="clear" w:color="auto" w:fill="auto"/>
          </w:tcPr>
          <w:p>
            <w:pPr>
              <w:pStyle w:val="290"/>
              <w:rPr>
                <w:color w:val="FF0000"/>
              </w:rPr>
            </w:pPr>
            <w:r>
              <w:rPr>
                <w:color w:val="FF0000"/>
              </w:rPr>
              <w:t>安装基站主设备(机柜/箱嵌入式)</w:t>
            </w:r>
          </w:p>
        </w:tc>
        <w:tc>
          <w:tcPr>
            <w:tcW w:w="980" w:type="dxa"/>
            <w:shd w:val="clear" w:color="auto" w:fill="auto"/>
            <w:vAlign w:val="center"/>
          </w:tcPr>
          <w:p>
            <w:pPr>
              <w:pStyle w:val="290"/>
              <w:rPr>
                <w:color w:val="FF0000"/>
              </w:rPr>
            </w:pPr>
            <w:r>
              <w:rPr>
                <w:color w:val="FF0000"/>
              </w:rPr>
              <w:t>台</w:t>
            </w:r>
          </w:p>
        </w:tc>
        <w:tc>
          <w:tcPr>
            <w:tcW w:w="796" w:type="dxa"/>
            <w:shd w:val="clear" w:color="auto" w:fill="auto"/>
            <w:vAlign w:val="center"/>
          </w:tcPr>
          <w:p>
            <w:pPr>
              <w:pStyle w:val="290"/>
              <w:rPr>
                <w:color w:val="FF0000"/>
              </w:rPr>
            </w:pPr>
            <w:r>
              <w:rPr>
                <w:color w:val="FF0000"/>
              </w:rPr>
              <w:t>1.08</w:t>
            </w:r>
          </w:p>
        </w:tc>
        <w:tc>
          <w:tcPr>
            <w:tcW w:w="796" w:type="dxa"/>
            <w:tcBorders>
              <w:bottom w:val="single" w:color="auto" w:sz="4" w:space="0"/>
            </w:tcBorders>
            <w:vAlign w:val="center"/>
          </w:tcPr>
          <w:p>
            <w:pPr>
              <w:pStyle w:val="290"/>
              <w:rPr>
                <w:color w:val="FF0000"/>
              </w:rPr>
            </w:pPr>
          </w:p>
        </w:tc>
        <w:tc>
          <w:tcPr>
            <w:tcW w:w="746" w:type="dxa"/>
            <w:tcBorders>
              <w:bottom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TSW2-053</w:t>
            </w:r>
          </w:p>
        </w:tc>
        <w:tc>
          <w:tcPr>
            <w:tcW w:w="3635" w:type="dxa"/>
            <w:shd w:val="clear" w:color="auto" w:fill="auto"/>
            <w:vAlign w:val="center"/>
          </w:tcPr>
          <w:p>
            <w:pPr>
              <w:pStyle w:val="290"/>
              <w:rPr>
                <w:color w:val="FF0000"/>
              </w:rPr>
            </w:pPr>
            <w:r>
              <w:rPr>
                <w:color w:val="FF0000"/>
              </w:rPr>
              <w:t>安装射频拉远设备(楼顶铁塔上)(20m以下)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2.69</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TSW2-054</w:t>
            </w:r>
          </w:p>
        </w:tc>
        <w:tc>
          <w:tcPr>
            <w:tcW w:w="3635" w:type="dxa"/>
            <w:shd w:val="clear" w:color="auto" w:fill="auto"/>
            <w:vAlign w:val="center"/>
          </w:tcPr>
          <w:p>
            <w:pPr>
              <w:pStyle w:val="290"/>
              <w:rPr>
                <w:color w:val="FF0000"/>
              </w:rPr>
            </w:pPr>
            <w:r>
              <w:rPr>
                <w:color w:val="FF0000"/>
              </w:rPr>
              <w:t>安装射频拉远设备(楼顶铁塔上)(20m以上每增加1m)</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0.04</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TSW2-055</w:t>
            </w:r>
          </w:p>
        </w:tc>
        <w:tc>
          <w:tcPr>
            <w:tcW w:w="3635" w:type="dxa"/>
            <w:shd w:val="clear" w:color="auto" w:fill="auto"/>
            <w:vAlign w:val="center"/>
          </w:tcPr>
          <w:p>
            <w:pPr>
              <w:pStyle w:val="290"/>
              <w:rPr>
                <w:color w:val="FF0000"/>
              </w:rPr>
            </w:pPr>
            <w:r>
              <w:rPr>
                <w:color w:val="FF0000"/>
              </w:rPr>
              <w:t>安装射频拉远设备(地面铁塔上)(40m以下)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2.88</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TSW2-056</w:t>
            </w:r>
          </w:p>
        </w:tc>
        <w:tc>
          <w:tcPr>
            <w:tcW w:w="3635" w:type="dxa"/>
            <w:shd w:val="clear" w:color="auto" w:fill="auto"/>
            <w:vAlign w:val="center"/>
          </w:tcPr>
          <w:p>
            <w:pPr>
              <w:pStyle w:val="290"/>
              <w:rPr>
                <w:color w:val="FF0000"/>
              </w:rPr>
            </w:pPr>
            <w:r>
              <w:rPr>
                <w:color w:val="FF0000"/>
              </w:rPr>
              <w:t>安装射频拉远设备(地面铁塔上)(40m以上至80m以下每增加1m)</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0.04</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TSW2-057</w:t>
            </w:r>
          </w:p>
        </w:tc>
        <w:tc>
          <w:tcPr>
            <w:tcW w:w="3635" w:type="dxa"/>
            <w:shd w:val="clear" w:color="auto" w:fill="auto"/>
            <w:vAlign w:val="center"/>
          </w:tcPr>
          <w:p>
            <w:pPr>
              <w:pStyle w:val="290"/>
              <w:rPr>
                <w:color w:val="FF0000"/>
              </w:rPr>
            </w:pPr>
            <w:r>
              <w:rPr>
                <w:color w:val="FF0000"/>
              </w:rPr>
              <w:t>安装射频拉远设备(地面铁塔上)(80m以上至90m以下)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4.25</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TSW2-058</w:t>
            </w:r>
          </w:p>
        </w:tc>
        <w:tc>
          <w:tcPr>
            <w:tcW w:w="3635" w:type="dxa"/>
            <w:shd w:val="clear" w:color="auto" w:fill="auto"/>
            <w:vAlign w:val="center"/>
          </w:tcPr>
          <w:p>
            <w:pPr>
              <w:pStyle w:val="290"/>
              <w:rPr>
                <w:color w:val="FF0000"/>
              </w:rPr>
            </w:pPr>
            <w:r>
              <w:rPr>
                <w:color w:val="FF0000"/>
              </w:rPr>
              <w:t>安装射频拉远设备(地面铁塔上)(90m以上每增加1m)</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0.1</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TSW2-059</w:t>
            </w:r>
          </w:p>
        </w:tc>
        <w:tc>
          <w:tcPr>
            <w:tcW w:w="3635" w:type="dxa"/>
            <w:shd w:val="clear" w:color="auto" w:fill="auto"/>
            <w:vAlign w:val="center"/>
          </w:tcPr>
          <w:p>
            <w:pPr>
              <w:pStyle w:val="290"/>
              <w:rPr>
                <w:color w:val="FF0000"/>
              </w:rPr>
            </w:pPr>
            <w:r>
              <w:rPr>
                <w:color w:val="FF0000"/>
              </w:rPr>
              <w:t>安装射频拉远设备(拉线塔(桅杆)上)</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3.06</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TSW2-060</w:t>
            </w:r>
          </w:p>
        </w:tc>
        <w:tc>
          <w:tcPr>
            <w:tcW w:w="3635" w:type="dxa"/>
            <w:shd w:val="clear" w:color="auto" w:fill="auto"/>
            <w:vAlign w:val="center"/>
          </w:tcPr>
          <w:p>
            <w:pPr>
              <w:pStyle w:val="290"/>
              <w:rPr>
                <w:color w:val="FF0000"/>
              </w:rPr>
            </w:pPr>
            <w:r>
              <w:rPr>
                <w:color w:val="FF0000"/>
              </w:rPr>
              <w:t>安装射频拉远设备(抱杆上)</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2.13</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TSW2-061</w:t>
            </w:r>
          </w:p>
        </w:tc>
        <w:tc>
          <w:tcPr>
            <w:tcW w:w="3635" w:type="dxa"/>
            <w:shd w:val="clear" w:color="auto" w:fill="auto"/>
            <w:vAlign w:val="center"/>
          </w:tcPr>
          <w:p>
            <w:pPr>
              <w:pStyle w:val="290"/>
              <w:rPr>
                <w:color w:val="FF0000"/>
              </w:rPr>
            </w:pPr>
            <w:r>
              <w:rPr>
                <w:color w:val="FF0000"/>
              </w:rPr>
              <w:t>安装射频拉远设备(楼外墙壁)</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2.88</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TSW2-062</w:t>
            </w:r>
          </w:p>
        </w:tc>
        <w:tc>
          <w:tcPr>
            <w:tcW w:w="3635" w:type="dxa"/>
            <w:shd w:val="clear" w:color="auto" w:fill="auto"/>
            <w:vAlign w:val="center"/>
          </w:tcPr>
          <w:p>
            <w:pPr>
              <w:pStyle w:val="290"/>
              <w:rPr>
                <w:color w:val="FF0000"/>
              </w:rPr>
            </w:pPr>
            <w:r>
              <w:rPr>
                <w:color w:val="FF0000"/>
              </w:rPr>
              <w:t>安装射频拉远设备(室内壁挂)</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1.94</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TSW2-063</w:t>
            </w:r>
          </w:p>
        </w:tc>
        <w:tc>
          <w:tcPr>
            <w:tcW w:w="3635" w:type="dxa"/>
            <w:shd w:val="clear" w:color="auto" w:fill="auto"/>
            <w:vAlign w:val="center"/>
          </w:tcPr>
          <w:p>
            <w:pPr>
              <w:pStyle w:val="290"/>
              <w:rPr>
                <w:color w:val="FF0000"/>
              </w:rPr>
            </w:pPr>
            <w:r>
              <w:rPr>
                <w:color w:val="FF0000"/>
              </w:rPr>
              <w:t>安装小型基站设备(挂杆)(杆高20m以下)</w:t>
            </w:r>
          </w:p>
        </w:tc>
        <w:tc>
          <w:tcPr>
            <w:tcW w:w="980" w:type="dxa"/>
            <w:shd w:val="clear" w:color="auto" w:fill="auto"/>
            <w:vAlign w:val="center"/>
          </w:tcPr>
          <w:p>
            <w:pPr>
              <w:pStyle w:val="290"/>
              <w:rPr>
                <w:color w:val="FF0000"/>
              </w:rPr>
            </w:pPr>
            <w:r>
              <w:rPr>
                <w:color w:val="FF0000"/>
              </w:rPr>
              <w:t>套</w:t>
            </w:r>
          </w:p>
        </w:tc>
        <w:tc>
          <w:tcPr>
            <w:tcW w:w="796" w:type="dxa"/>
            <w:tcBorders>
              <w:right w:val="single" w:color="auto" w:sz="4" w:space="0"/>
            </w:tcBorders>
            <w:shd w:val="clear" w:color="auto" w:fill="auto"/>
            <w:vAlign w:val="center"/>
          </w:tcPr>
          <w:p>
            <w:pPr>
              <w:pStyle w:val="290"/>
              <w:rPr>
                <w:color w:val="FF0000"/>
              </w:rPr>
            </w:pPr>
            <w:r>
              <w:rPr>
                <w:color w:val="FF0000"/>
              </w:rPr>
              <w:t>2.31</w:t>
            </w:r>
          </w:p>
        </w:tc>
        <w:tc>
          <w:tcPr>
            <w:tcW w:w="796" w:type="dxa"/>
            <w:tcBorders>
              <w:top w:val="single" w:color="auto" w:sz="4" w:space="0"/>
              <w:left w:val="single" w:color="auto" w:sz="4" w:space="0"/>
              <w:bottom w:val="single" w:color="auto" w:sz="4" w:space="0"/>
              <w:right w:val="single" w:color="auto" w:sz="4" w:space="0"/>
            </w:tcBorders>
            <w:vAlign w:val="center"/>
          </w:tcPr>
          <w:p>
            <w:pPr>
              <w:pStyle w:val="290"/>
              <w:rPr>
                <w:color w:val="FF0000"/>
              </w:rPr>
            </w:pPr>
          </w:p>
        </w:tc>
        <w:tc>
          <w:tcPr>
            <w:tcW w:w="74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TSW2-064</w:t>
            </w:r>
          </w:p>
        </w:tc>
        <w:tc>
          <w:tcPr>
            <w:tcW w:w="3635" w:type="dxa"/>
            <w:shd w:val="clear" w:color="auto" w:fill="auto"/>
            <w:vAlign w:val="center"/>
          </w:tcPr>
          <w:p>
            <w:pPr>
              <w:pStyle w:val="290"/>
              <w:rPr>
                <w:color w:val="FF0000"/>
              </w:rPr>
            </w:pPr>
            <w:r>
              <w:rPr>
                <w:color w:val="FF0000"/>
              </w:rPr>
              <w:t>安装小型基站设备(挂杆)(杆高20m以上)</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2.88</w:t>
            </w:r>
          </w:p>
        </w:tc>
        <w:tc>
          <w:tcPr>
            <w:tcW w:w="796" w:type="dxa"/>
            <w:tcBorders>
              <w:top w:val="single" w:color="auto" w:sz="4" w:space="0"/>
            </w:tcBorders>
            <w:vAlign w:val="center"/>
          </w:tcPr>
          <w:p>
            <w:pPr>
              <w:pStyle w:val="290"/>
              <w:rPr>
                <w:color w:val="FF0000"/>
              </w:rPr>
            </w:pPr>
          </w:p>
        </w:tc>
        <w:tc>
          <w:tcPr>
            <w:tcW w:w="746" w:type="dxa"/>
            <w:tcBorders>
              <w:top w:val="single" w:color="auto" w:sz="4" w:space="0"/>
            </w:tcBorders>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TSW2-065</w:t>
            </w:r>
          </w:p>
        </w:tc>
        <w:tc>
          <w:tcPr>
            <w:tcW w:w="3635" w:type="dxa"/>
            <w:shd w:val="clear" w:color="auto" w:fill="auto"/>
            <w:vAlign w:val="center"/>
          </w:tcPr>
          <w:p>
            <w:pPr>
              <w:pStyle w:val="290"/>
              <w:rPr>
                <w:color w:val="FF0000"/>
              </w:rPr>
            </w:pPr>
            <w:r>
              <w:rPr>
                <w:color w:val="FF0000"/>
              </w:rPr>
              <w:t>安装小型基站设备(室内壁挂)</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2.04</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TSW2-066</w:t>
            </w:r>
          </w:p>
        </w:tc>
        <w:tc>
          <w:tcPr>
            <w:tcW w:w="3635" w:type="dxa"/>
            <w:shd w:val="clear" w:color="auto" w:fill="auto"/>
            <w:vAlign w:val="center"/>
          </w:tcPr>
          <w:p>
            <w:pPr>
              <w:pStyle w:val="290"/>
              <w:rPr>
                <w:color w:val="FF0000"/>
              </w:rPr>
            </w:pPr>
            <w:r>
              <w:rPr>
                <w:color w:val="FF0000"/>
              </w:rPr>
              <w:t>安装小型基站设备(室外壁挂)</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2.98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TSW2-071</w:t>
            </w:r>
          </w:p>
        </w:tc>
        <w:tc>
          <w:tcPr>
            <w:tcW w:w="3635" w:type="dxa"/>
            <w:shd w:val="clear" w:color="auto" w:fill="auto"/>
            <w:vAlign w:val="center"/>
          </w:tcPr>
          <w:p>
            <w:pPr>
              <w:pStyle w:val="290"/>
              <w:rPr>
                <w:color w:val="FF0000"/>
              </w:rPr>
            </w:pPr>
            <w:r>
              <w:rPr>
                <w:color w:val="FF0000"/>
              </w:rPr>
              <w:t>扩装设备板件</w:t>
            </w:r>
          </w:p>
        </w:tc>
        <w:tc>
          <w:tcPr>
            <w:tcW w:w="980" w:type="dxa"/>
            <w:shd w:val="clear" w:color="auto" w:fill="auto"/>
            <w:vAlign w:val="center"/>
          </w:tcPr>
          <w:p>
            <w:pPr>
              <w:pStyle w:val="290"/>
              <w:rPr>
                <w:color w:val="FF0000"/>
              </w:rPr>
            </w:pPr>
            <w:r>
              <w:rPr>
                <w:color w:val="FF0000"/>
              </w:rPr>
              <w:t>块</w:t>
            </w:r>
          </w:p>
        </w:tc>
        <w:tc>
          <w:tcPr>
            <w:tcW w:w="796" w:type="dxa"/>
            <w:shd w:val="clear" w:color="auto" w:fill="auto"/>
            <w:vAlign w:val="center"/>
          </w:tcPr>
          <w:p>
            <w:pPr>
              <w:pStyle w:val="290"/>
              <w:rPr>
                <w:color w:val="FF0000"/>
              </w:rPr>
            </w:pPr>
            <w:r>
              <w:rPr>
                <w:color w:val="FF0000"/>
              </w:rPr>
              <w:t>0.5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TSW2-072</w:t>
            </w:r>
          </w:p>
        </w:tc>
        <w:tc>
          <w:tcPr>
            <w:tcW w:w="3635" w:type="dxa"/>
            <w:shd w:val="clear" w:color="auto" w:fill="auto"/>
            <w:vAlign w:val="center"/>
          </w:tcPr>
          <w:p>
            <w:pPr>
              <w:pStyle w:val="290"/>
              <w:rPr>
                <w:color w:val="FF0000"/>
              </w:rPr>
            </w:pPr>
            <w:r>
              <w:rPr>
                <w:color w:val="FF0000"/>
              </w:rPr>
              <w:t>安装落地式基站功率放大器</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4.28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64" w:type="dxa"/>
            <w:shd w:val="clear" w:color="auto" w:fill="auto"/>
            <w:vAlign w:val="center"/>
          </w:tcPr>
          <w:p>
            <w:pPr>
              <w:pStyle w:val="290"/>
              <w:rPr>
                <w:color w:val="FF0000"/>
              </w:rPr>
            </w:pPr>
            <w:r>
              <w:rPr>
                <w:color w:val="FF0000"/>
              </w:rPr>
              <w:t>TSW2-077</w:t>
            </w:r>
          </w:p>
        </w:tc>
        <w:tc>
          <w:tcPr>
            <w:tcW w:w="3635" w:type="dxa"/>
            <w:shd w:val="clear" w:color="auto" w:fill="auto"/>
            <w:vAlign w:val="center"/>
          </w:tcPr>
          <w:p>
            <w:pPr>
              <w:pStyle w:val="290"/>
              <w:rPr>
                <w:color w:val="FF0000"/>
              </w:rPr>
            </w:pPr>
            <w:r>
              <w:rPr>
                <w:color w:val="FF0000"/>
              </w:rPr>
              <w:t>LTE/4G基站系统调测(3个“载·扇”以下)</w:t>
            </w:r>
          </w:p>
        </w:tc>
        <w:tc>
          <w:tcPr>
            <w:tcW w:w="980" w:type="dxa"/>
            <w:shd w:val="clear" w:color="auto" w:fill="auto"/>
            <w:vAlign w:val="center"/>
          </w:tcPr>
          <w:p>
            <w:pPr>
              <w:pStyle w:val="290"/>
              <w:rPr>
                <w:color w:val="FF0000"/>
              </w:rPr>
            </w:pPr>
            <w:r>
              <w:rPr>
                <w:color w:val="FF0000"/>
              </w:rPr>
              <w:t>站</w:t>
            </w:r>
          </w:p>
        </w:tc>
        <w:tc>
          <w:tcPr>
            <w:tcW w:w="796" w:type="dxa"/>
            <w:shd w:val="clear" w:color="auto" w:fill="auto"/>
            <w:vAlign w:val="center"/>
          </w:tcPr>
          <w:p>
            <w:pPr>
              <w:pStyle w:val="290"/>
              <w:rPr>
                <w:color w:val="FF0000"/>
              </w:rPr>
            </w:pPr>
            <w:r>
              <w:rPr>
                <w:color w:val="FF0000"/>
              </w:rPr>
              <w:t>16.85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64" w:type="dxa"/>
            <w:shd w:val="clear" w:color="auto" w:fill="auto"/>
            <w:vAlign w:val="center"/>
          </w:tcPr>
          <w:p>
            <w:pPr>
              <w:pStyle w:val="290"/>
              <w:rPr>
                <w:color w:val="FF0000"/>
              </w:rPr>
            </w:pPr>
            <w:r>
              <w:rPr>
                <w:color w:val="FF0000"/>
              </w:rPr>
              <w:t>TSW2-078</w:t>
            </w:r>
          </w:p>
        </w:tc>
        <w:tc>
          <w:tcPr>
            <w:tcW w:w="3635" w:type="dxa"/>
            <w:shd w:val="clear" w:color="auto" w:fill="auto"/>
            <w:vAlign w:val="center"/>
          </w:tcPr>
          <w:p>
            <w:pPr>
              <w:pStyle w:val="290"/>
              <w:rPr>
                <w:color w:val="FF0000"/>
              </w:rPr>
            </w:pPr>
            <w:r>
              <w:rPr>
                <w:color w:val="FF0000"/>
              </w:rPr>
              <w:t>LTE/4G基站系统调测(3个“载·扇”以上每增加一个“载·扇”)</w:t>
            </w:r>
          </w:p>
        </w:tc>
        <w:tc>
          <w:tcPr>
            <w:tcW w:w="980" w:type="dxa"/>
            <w:shd w:val="clear" w:color="auto" w:fill="auto"/>
            <w:vAlign w:val="center"/>
          </w:tcPr>
          <w:p>
            <w:pPr>
              <w:pStyle w:val="290"/>
              <w:rPr>
                <w:color w:val="FF0000"/>
              </w:rPr>
            </w:pPr>
            <w:r>
              <w:rPr>
                <w:color w:val="FF0000"/>
              </w:rPr>
              <w:t>载·扇</w:t>
            </w:r>
          </w:p>
        </w:tc>
        <w:tc>
          <w:tcPr>
            <w:tcW w:w="796" w:type="dxa"/>
            <w:shd w:val="clear" w:color="auto" w:fill="auto"/>
            <w:vAlign w:val="center"/>
          </w:tcPr>
          <w:p>
            <w:pPr>
              <w:pStyle w:val="290"/>
              <w:rPr>
                <w:color w:val="FF0000"/>
              </w:rPr>
            </w:pPr>
            <w:r>
              <w:rPr>
                <w:color w:val="FF0000"/>
              </w:rPr>
              <w:t>1.06</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 w:hRule="atLeast"/>
          <w:jc w:val="center"/>
        </w:trPr>
        <w:tc>
          <w:tcPr>
            <w:tcW w:w="1264" w:type="dxa"/>
            <w:shd w:val="clear" w:color="auto" w:fill="auto"/>
            <w:vAlign w:val="center"/>
          </w:tcPr>
          <w:p>
            <w:pPr>
              <w:pStyle w:val="290"/>
              <w:rPr>
                <w:color w:val="FF0000"/>
              </w:rPr>
            </w:pPr>
            <w:r>
              <w:rPr>
                <w:color w:val="FF0000"/>
              </w:rPr>
              <w:t>TSW2-081</w:t>
            </w:r>
          </w:p>
        </w:tc>
        <w:tc>
          <w:tcPr>
            <w:tcW w:w="3635" w:type="dxa"/>
            <w:shd w:val="clear" w:color="auto" w:fill="auto"/>
            <w:vAlign w:val="center"/>
          </w:tcPr>
          <w:p>
            <w:pPr>
              <w:pStyle w:val="290"/>
              <w:rPr>
                <w:color w:val="FF0000"/>
              </w:rPr>
            </w:pPr>
            <w:r>
              <w:rPr>
                <w:color w:val="FF0000"/>
              </w:rPr>
              <w:t>配合基站系统调测(定向)</w:t>
            </w:r>
          </w:p>
        </w:tc>
        <w:tc>
          <w:tcPr>
            <w:tcW w:w="980" w:type="dxa"/>
            <w:shd w:val="clear" w:color="auto" w:fill="auto"/>
            <w:vAlign w:val="center"/>
          </w:tcPr>
          <w:p>
            <w:pPr>
              <w:pStyle w:val="290"/>
              <w:rPr>
                <w:color w:val="FF0000"/>
              </w:rPr>
            </w:pPr>
            <w:r>
              <w:rPr>
                <w:color w:val="FF0000"/>
              </w:rPr>
              <w:t>扇区</w:t>
            </w:r>
          </w:p>
        </w:tc>
        <w:tc>
          <w:tcPr>
            <w:tcW w:w="796" w:type="dxa"/>
            <w:shd w:val="clear" w:color="auto" w:fill="auto"/>
            <w:vAlign w:val="center"/>
          </w:tcPr>
          <w:p>
            <w:pPr>
              <w:pStyle w:val="290"/>
              <w:rPr>
                <w:color w:val="FF0000"/>
              </w:rPr>
            </w:pPr>
            <w:r>
              <w:rPr>
                <w:color w:val="FF0000"/>
              </w:rPr>
              <w:t>1.41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TSW2-082</w:t>
            </w:r>
          </w:p>
        </w:tc>
        <w:tc>
          <w:tcPr>
            <w:tcW w:w="3635" w:type="dxa"/>
            <w:shd w:val="clear" w:color="auto" w:fill="auto"/>
            <w:vAlign w:val="center"/>
          </w:tcPr>
          <w:p>
            <w:pPr>
              <w:pStyle w:val="290"/>
              <w:rPr>
                <w:color w:val="FF0000"/>
              </w:rPr>
            </w:pPr>
            <w:r>
              <w:rPr>
                <w:color w:val="FF0000"/>
              </w:rPr>
              <w:t>操作维护中心设备(OMCR)(安装)</w:t>
            </w:r>
          </w:p>
        </w:tc>
        <w:tc>
          <w:tcPr>
            <w:tcW w:w="980" w:type="dxa"/>
            <w:shd w:val="clear" w:color="auto" w:fill="auto"/>
            <w:vAlign w:val="center"/>
          </w:tcPr>
          <w:p>
            <w:pPr>
              <w:pStyle w:val="290"/>
              <w:rPr>
                <w:color w:val="FF0000"/>
              </w:rPr>
            </w:pPr>
            <w:r>
              <w:rPr>
                <w:color w:val="FF0000"/>
              </w:rPr>
              <w:t>架</w:t>
            </w:r>
          </w:p>
        </w:tc>
        <w:tc>
          <w:tcPr>
            <w:tcW w:w="796" w:type="dxa"/>
            <w:shd w:val="clear" w:color="auto" w:fill="auto"/>
            <w:vAlign w:val="center"/>
          </w:tcPr>
          <w:p>
            <w:pPr>
              <w:pStyle w:val="290"/>
              <w:rPr>
                <w:color w:val="FF0000"/>
              </w:rPr>
            </w:pPr>
            <w:r>
              <w:rPr>
                <w:color w:val="FF0000"/>
              </w:rPr>
              <w:t>2.67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TSW2-083</w:t>
            </w:r>
          </w:p>
        </w:tc>
        <w:tc>
          <w:tcPr>
            <w:tcW w:w="3635" w:type="dxa"/>
            <w:shd w:val="clear" w:color="auto" w:fill="auto"/>
            <w:vAlign w:val="center"/>
          </w:tcPr>
          <w:p>
            <w:pPr>
              <w:pStyle w:val="290"/>
              <w:rPr>
                <w:color w:val="FF0000"/>
              </w:rPr>
            </w:pPr>
            <w:r>
              <w:rPr>
                <w:color w:val="FF0000"/>
              </w:rPr>
              <w:t>操作维护中心设备(OMCR)(调测)</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6.8</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TSW2-084</w:t>
            </w:r>
          </w:p>
        </w:tc>
        <w:tc>
          <w:tcPr>
            <w:tcW w:w="3635" w:type="dxa"/>
            <w:shd w:val="clear" w:color="auto" w:fill="auto"/>
            <w:vAlign w:val="center"/>
          </w:tcPr>
          <w:p>
            <w:pPr>
              <w:pStyle w:val="290"/>
              <w:rPr>
                <w:color w:val="FF0000"/>
              </w:rPr>
            </w:pPr>
            <w:r>
              <w:rPr>
                <w:color w:val="FF0000"/>
              </w:rPr>
              <w:t>无线操作维护中心(OMCR)扩容(扩装功能模块)</w:t>
            </w:r>
          </w:p>
        </w:tc>
        <w:tc>
          <w:tcPr>
            <w:tcW w:w="980" w:type="dxa"/>
            <w:shd w:val="clear" w:color="auto" w:fill="auto"/>
            <w:vAlign w:val="center"/>
          </w:tcPr>
          <w:p>
            <w:pPr>
              <w:pStyle w:val="290"/>
              <w:rPr>
                <w:color w:val="FF0000"/>
              </w:rPr>
            </w:pPr>
            <w:r>
              <w:rPr>
                <w:color w:val="FF0000"/>
              </w:rPr>
              <w:t>单元</w:t>
            </w:r>
          </w:p>
        </w:tc>
        <w:tc>
          <w:tcPr>
            <w:tcW w:w="796" w:type="dxa"/>
            <w:shd w:val="clear" w:color="auto" w:fill="auto"/>
            <w:vAlign w:val="center"/>
          </w:tcPr>
          <w:p>
            <w:pPr>
              <w:pStyle w:val="290"/>
              <w:rPr>
                <w:color w:val="FF0000"/>
              </w:rPr>
            </w:pPr>
            <w:r>
              <w:rPr>
                <w:color w:val="FF0000"/>
              </w:rPr>
              <w:t>0.75</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TSW2-085</w:t>
            </w:r>
          </w:p>
        </w:tc>
        <w:tc>
          <w:tcPr>
            <w:tcW w:w="3635" w:type="dxa"/>
            <w:shd w:val="clear" w:color="auto" w:fill="auto"/>
            <w:vAlign w:val="center"/>
          </w:tcPr>
          <w:p>
            <w:pPr>
              <w:pStyle w:val="290"/>
              <w:rPr>
                <w:color w:val="FF0000"/>
              </w:rPr>
            </w:pPr>
            <w:r>
              <w:rPr>
                <w:color w:val="FF0000"/>
              </w:rPr>
              <w:t>无线操作维护中心(OMCR)扩容(调测)</w:t>
            </w:r>
          </w:p>
        </w:tc>
        <w:tc>
          <w:tcPr>
            <w:tcW w:w="980" w:type="dxa"/>
            <w:shd w:val="clear" w:color="auto" w:fill="auto"/>
            <w:vAlign w:val="center"/>
          </w:tcPr>
          <w:p>
            <w:pPr>
              <w:pStyle w:val="290"/>
              <w:rPr>
                <w:color w:val="FF0000"/>
              </w:rPr>
            </w:pPr>
            <w:r>
              <w:rPr>
                <w:color w:val="FF0000"/>
              </w:rPr>
              <w:t>套</w:t>
            </w:r>
          </w:p>
        </w:tc>
        <w:tc>
          <w:tcPr>
            <w:tcW w:w="796" w:type="dxa"/>
            <w:shd w:val="clear" w:color="auto" w:fill="auto"/>
            <w:vAlign w:val="center"/>
          </w:tcPr>
          <w:p>
            <w:pPr>
              <w:pStyle w:val="290"/>
              <w:rPr>
                <w:color w:val="FF0000"/>
              </w:rPr>
            </w:pPr>
            <w:r>
              <w:rPr>
                <w:color w:val="FF0000"/>
              </w:rPr>
              <w:t>5.7</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TSW2-093</w:t>
            </w:r>
          </w:p>
        </w:tc>
        <w:tc>
          <w:tcPr>
            <w:tcW w:w="3635" w:type="dxa"/>
            <w:shd w:val="clear" w:color="auto" w:fill="auto"/>
            <w:vAlign w:val="center"/>
          </w:tcPr>
          <w:p>
            <w:pPr>
              <w:pStyle w:val="290"/>
              <w:rPr>
                <w:color w:val="FF0000"/>
              </w:rPr>
            </w:pPr>
            <w:r>
              <w:rPr>
                <w:color w:val="FF0000"/>
              </w:rPr>
              <w:t>LTE/4G基站联网调测</w:t>
            </w:r>
          </w:p>
        </w:tc>
        <w:tc>
          <w:tcPr>
            <w:tcW w:w="980" w:type="dxa"/>
            <w:shd w:val="clear" w:color="auto" w:fill="auto"/>
            <w:vAlign w:val="center"/>
          </w:tcPr>
          <w:p>
            <w:pPr>
              <w:pStyle w:val="290"/>
              <w:rPr>
                <w:color w:val="FF0000"/>
              </w:rPr>
            </w:pPr>
            <w:r>
              <w:rPr>
                <w:color w:val="FF0000"/>
              </w:rPr>
              <w:t>扇区</w:t>
            </w:r>
          </w:p>
        </w:tc>
        <w:tc>
          <w:tcPr>
            <w:tcW w:w="796" w:type="dxa"/>
            <w:shd w:val="clear" w:color="auto" w:fill="auto"/>
            <w:vAlign w:val="center"/>
          </w:tcPr>
          <w:p>
            <w:pPr>
              <w:pStyle w:val="290"/>
              <w:rPr>
                <w:color w:val="FF0000"/>
              </w:rPr>
            </w:pPr>
            <w:r>
              <w:rPr>
                <w:color w:val="FF0000"/>
              </w:rPr>
              <w:t>6.32</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TSW2-094</w:t>
            </w:r>
          </w:p>
        </w:tc>
        <w:tc>
          <w:tcPr>
            <w:tcW w:w="3635" w:type="dxa"/>
            <w:shd w:val="clear" w:color="auto" w:fill="auto"/>
            <w:vAlign w:val="center"/>
          </w:tcPr>
          <w:p>
            <w:pPr>
              <w:pStyle w:val="290"/>
              <w:rPr>
                <w:color w:val="FF0000"/>
              </w:rPr>
            </w:pPr>
            <w:r>
              <w:rPr>
                <w:color w:val="FF0000"/>
              </w:rPr>
              <w:t>配合联网调测</w:t>
            </w:r>
          </w:p>
        </w:tc>
        <w:tc>
          <w:tcPr>
            <w:tcW w:w="980" w:type="dxa"/>
            <w:shd w:val="clear" w:color="auto" w:fill="auto"/>
            <w:vAlign w:val="center"/>
          </w:tcPr>
          <w:p>
            <w:pPr>
              <w:pStyle w:val="290"/>
              <w:rPr>
                <w:color w:val="FF0000"/>
              </w:rPr>
            </w:pPr>
            <w:r>
              <w:rPr>
                <w:color w:val="FF0000"/>
              </w:rPr>
              <w:t>站</w:t>
            </w:r>
          </w:p>
        </w:tc>
        <w:tc>
          <w:tcPr>
            <w:tcW w:w="796" w:type="dxa"/>
            <w:shd w:val="clear" w:color="auto" w:fill="auto"/>
            <w:vAlign w:val="center"/>
          </w:tcPr>
          <w:p>
            <w:pPr>
              <w:pStyle w:val="290"/>
              <w:rPr>
                <w:color w:val="FF0000"/>
              </w:rPr>
            </w:pPr>
            <w:r>
              <w:rPr>
                <w:color w:val="FF0000"/>
              </w:rPr>
              <w:t>2.11</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64" w:type="dxa"/>
            <w:shd w:val="clear" w:color="auto" w:fill="auto"/>
            <w:vAlign w:val="center"/>
          </w:tcPr>
          <w:p>
            <w:pPr>
              <w:pStyle w:val="290"/>
              <w:rPr>
                <w:color w:val="FF0000"/>
              </w:rPr>
            </w:pPr>
            <w:r>
              <w:rPr>
                <w:color w:val="FF0000"/>
              </w:rPr>
              <w:t>TSW2-095</w:t>
            </w:r>
          </w:p>
        </w:tc>
        <w:tc>
          <w:tcPr>
            <w:tcW w:w="3635" w:type="dxa"/>
            <w:shd w:val="clear" w:color="auto" w:fill="auto"/>
            <w:vAlign w:val="center"/>
          </w:tcPr>
          <w:p>
            <w:pPr>
              <w:pStyle w:val="290"/>
              <w:rPr>
                <w:color w:val="FF0000"/>
              </w:rPr>
            </w:pPr>
            <w:r>
              <w:rPr>
                <w:color w:val="FF0000"/>
              </w:rPr>
              <w:t>配合基站割接、开通</w:t>
            </w:r>
          </w:p>
        </w:tc>
        <w:tc>
          <w:tcPr>
            <w:tcW w:w="980" w:type="dxa"/>
            <w:shd w:val="clear" w:color="auto" w:fill="auto"/>
            <w:vAlign w:val="center"/>
          </w:tcPr>
          <w:p>
            <w:pPr>
              <w:pStyle w:val="290"/>
              <w:rPr>
                <w:color w:val="FF0000"/>
              </w:rPr>
            </w:pPr>
            <w:r>
              <w:rPr>
                <w:color w:val="FF0000"/>
              </w:rPr>
              <w:t>站</w:t>
            </w:r>
          </w:p>
        </w:tc>
        <w:tc>
          <w:tcPr>
            <w:tcW w:w="796" w:type="dxa"/>
            <w:shd w:val="clear" w:color="auto" w:fill="auto"/>
            <w:vAlign w:val="center"/>
          </w:tcPr>
          <w:p>
            <w:pPr>
              <w:pStyle w:val="290"/>
              <w:rPr>
                <w:color w:val="FF0000"/>
              </w:rPr>
            </w:pPr>
            <w:r>
              <w:rPr>
                <w:color w:val="FF0000"/>
              </w:rPr>
              <w:t>1.3</w:t>
            </w:r>
          </w:p>
        </w:tc>
        <w:tc>
          <w:tcPr>
            <w:tcW w:w="796" w:type="dxa"/>
            <w:vAlign w:val="center"/>
          </w:tcPr>
          <w:p>
            <w:pPr>
              <w:pStyle w:val="290"/>
              <w:rPr>
                <w:color w:val="FF0000"/>
              </w:rPr>
            </w:pPr>
          </w:p>
        </w:tc>
        <w:tc>
          <w:tcPr>
            <w:tcW w:w="746" w:type="dxa"/>
            <w:shd w:val="clear" w:color="auto" w:fill="auto"/>
            <w:vAlign w:val="center"/>
          </w:tcPr>
          <w:p>
            <w:pPr>
              <w:pStyle w:val="290"/>
              <w:rPr>
                <w:color w:val="FF0000"/>
              </w:rPr>
            </w:pPr>
          </w:p>
        </w:tc>
      </w:tr>
    </w:tbl>
    <w:p>
      <w:pPr>
        <w:ind w:firstLine="480"/>
        <w:jc w:val="center"/>
        <w:rPr>
          <w:rFonts w:cs="Times New Roman"/>
          <w:color w:val="0070C0"/>
        </w:rPr>
      </w:pPr>
    </w:p>
    <w:p>
      <w:pPr>
        <w:numPr>
          <w:ilvl w:val="0"/>
          <w:numId w:val="67"/>
        </w:numPr>
        <w:ind w:left="426" w:firstLine="0" w:firstLineChars="0"/>
        <w:rPr>
          <w:rFonts w:cs="Times New Roman"/>
        </w:rPr>
      </w:pPr>
      <w:r>
        <w:rPr>
          <w:rFonts w:cs="Times New Roman"/>
        </w:rPr>
        <w:t>表四</w:t>
      </w:r>
    </w:p>
    <w:p>
      <w:pPr>
        <w:ind w:firstLine="480"/>
        <w:rPr>
          <w:rFonts w:cs="Times New Roman"/>
        </w:rPr>
      </w:pPr>
      <w:r>
        <w:rPr>
          <w:rFonts w:cs="Times New Roman"/>
        </w:rPr>
        <w:t>主要材料费=材料原价+运杂费+运输保险费+采购及保管费+采购代理服务费。</w:t>
      </w:r>
    </w:p>
    <w:p>
      <w:pPr>
        <w:ind w:firstLine="480"/>
        <w:rPr>
          <w:rFonts w:cs="Times New Roman"/>
        </w:rPr>
      </w:pPr>
      <w:r>
        <w:rPr>
          <w:rFonts w:cs="Times New Roman"/>
        </w:rPr>
        <w:t>设备、工器具购置费=设备原价+运杂费+运输保险费+采购及保管费+采购代理服务费。</w:t>
      </w:r>
    </w:p>
    <w:p>
      <w:pPr>
        <w:pStyle w:val="603"/>
        <w:rPr>
          <w:rFonts w:cs="Times New Roman"/>
        </w:rPr>
      </w:pPr>
      <w:r>
        <w:rPr>
          <w:rFonts w:cs="Times New Roman"/>
        </w:rPr>
        <w:t>表1.3</w:t>
      </w:r>
      <w:r>
        <w:rPr>
          <w:rFonts w:cs="Times New Roman"/>
        </w:rPr>
        <w:noBreakHyphen/>
      </w:r>
      <w:r>
        <w:rPr>
          <w:rFonts w:cs="Times New Roman"/>
        </w:rPr>
        <w:t>4  主材及设备工器具取费表</w:t>
      </w:r>
    </w:p>
    <w:tbl>
      <w:tblPr>
        <w:tblStyle w:val="63"/>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2"/>
        <w:gridCol w:w="1701"/>
        <w:gridCol w:w="2977"/>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2993" w:type="dxa"/>
            <w:gridSpan w:val="2"/>
            <w:shd w:val="clear" w:color="auto" w:fill="auto"/>
            <w:vAlign w:val="center"/>
          </w:tcPr>
          <w:p>
            <w:pPr>
              <w:pStyle w:val="290"/>
              <w:rPr>
                <w:color w:val="FF0000"/>
              </w:rPr>
            </w:pPr>
            <w:r>
              <w:rPr>
                <w:color w:val="FF0000"/>
              </w:rPr>
              <w:t>费用名称</w:t>
            </w:r>
          </w:p>
        </w:tc>
        <w:tc>
          <w:tcPr>
            <w:tcW w:w="2977" w:type="dxa"/>
            <w:shd w:val="clear" w:color="auto" w:fill="auto"/>
            <w:vAlign w:val="center"/>
          </w:tcPr>
          <w:p>
            <w:pPr>
              <w:pStyle w:val="290"/>
              <w:rPr>
                <w:color w:val="FF0000"/>
              </w:rPr>
            </w:pPr>
            <w:r>
              <w:rPr>
                <w:color w:val="FF0000"/>
              </w:rPr>
              <w:t>计算方法</w:t>
            </w:r>
          </w:p>
        </w:tc>
        <w:tc>
          <w:tcPr>
            <w:tcW w:w="2410" w:type="dxa"/>
            <w:shd w:val="clear" w:color="auto" w:fill="auto"/>
            <w:vAlign w:val="center"/>
          </w:tcPr>
          <w:p>
            <w:pPr>
              <w:pStyle w:val="290"/>
              <w:rPr>
                <w:color w:val="FF0000"/>
              </w:rPr>
            </w:pPr>
            <w:r>
              <w:rPr>
                <w:color w:val="FF0000"/>
              </w:rPr>
              <w:t>相关费率取值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restart"/>
            <w:shd w:val="clear" w:color="auto" w:fill="auto"/>
            <w:vAlign w:val="center"/>
          </w:tcPr>
          <w:p>
            <w:pPr>
              <w:pStyle w:val="290"/>
              <w:rPr>
                <w:color w:val="FF0000"/>
              </w:rPr>
            </w:pPr>
            <w:r>
              <w:rPr>
                <w:color w:val="FF0000"/>
              </w:rPr>
              <w:t>主要材料费</w:t>
            </w:r>
          </w:p>
        </w:tc>
        <w:tc>
          <w:tcPr>
            <w:tcW w:w="1701" w:type="dxa"/>
            <w:shd w:val="clear" w:color="auto" w:fill="auto"/>
            <w:vAlign w:val="center"/>
          </w:tcPr>
          <w:p>
            <w:pPr>
              <w:pStyle w:val="290"/>
              <w:rPr>
                <w:color w:val="FF0000"/>
              </w:rPr>
            </w:pPr>
            <w:r>
              <w:rPr>
                <w:color w:val="FF0000"/>
              </w:rPr>
              <w:t>材料原价</w:t>
            </w:r>
          </w:p>
        </w:tc>
        <w:tc>
          <w:tcPr>
            <w:tcW w:w="2977" w:type="dxa"/>
            <w:shd w:val="clear" w:color="auto" w:fill="auto"/>
            <w:vAlign w:val="center"/>
          </w:tcPr>
          <w:p>
            <w:pPr>
              <w:pStyle w:val="290"/>
              <w:rPr>
                <w:color w:val="FF0000"/>
              </w:rPr>
            </w:pPr>
            <w:r>
              <w:rPr>
                <w:color w:val="FF0000"/>
              </w:rPr>
              <w:t>供应价或供货地点价</w:t>
            </w:r>
          </w:p>
        </w:tc>
        <w:tc>
          <w:tcPr>
            <w:tcW w:w="2410"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运杂费</w:t>
            </w:r>
          </w:p>
        </w:tc>
        <w:tc>
          <w:tcPr>
            <w:tcW w:w="2977" w:type="dxa"/>
            <w:shd w:val="clear" w:color="auto" w:fill="auto"/>
            <w:vAlign w:val="center"/>
          </w:tcPr>
          <w:p>
            <w:pPr>
              <w:pStyle w:val="290"/>
              <w:rPr>
                <w:color w:val="FF0000"/>
              </w:rPr>
            </w:pPr>
            <w:r>
              <w:rPr>
                <w:color w:val="FF0000"/>
              </w:rPr>
              <w:t>材料原价×器材运杂费费率</w:t>
            </w:r>
          </w:p>
        </w:tc>
        <w:tc>
          <w:tcPr>
            <w:tcW w:w="2410" w:type="dxa"/>
            <w:shd w:val="clear" w:color="auto" w:fill="auto"/>
            <w:vAlign w:val="center"/>
          </w:tcPr>
          <w:p>
            <w:pPr>
              <w:pStyle w:val="290"/>
              <w:rPr>
                <w:color w:val="FF0000"/>
              </w:rPr>
            </w:pPr>
            <w:r>
              <w:rPr>
                <w:color w:val="FF0000"/>
              </w:rPr>
              <w:t>见器材运杂费费率表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运输保险费</w:t>
            </w:r>
          </w:p>
        </w:tc>
        <w:tc>
          <w:tcPr>
            <w:tcW w:w="2977" w:type="dxa"/>
            <w:shd w:val="clear" w:color="auto" w:fill="auto"/>
            <w:vAlign w:val="center"/>
          </w:tcPr>
          <w:p>
            <w:pPr>
              <w:pStyle w:val="290"/>
              <w:rPr>
                <w:color w:val="FF0000"/>
              </w:rPr>
            </w:pPr>
            <w:r>
              <w:rPr>
                <w:color w:val="FF0000"/>
              </w:rPr>
              <w:t>材料原价×保险费费率</w:t>
            </w:r>
          </w:p>
        </w:tc>
        <w:tc>
          <w:tcPr>
            <w:tcW w:w="2410" w:type="dxa"/>
            <w:shd w:val="clear" w:color="auto" w:fill="auto"/>
            <w:vAlign w:val="center"/>
          </w:tcPr>
          <w:p>
            <w:pPr>
              <w:pStyle w:val="290"/>
              <w:rPr>
                <w:color w:val="FF0000"/>
              </w:rPr>
            </w:pPr>
            <w:r>
              <w:rPr>
                <w:color w:val="FF0000"/>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采购及保管费</w:t>
            </w:r>
          </w:p>
        </w:tc>
        <w:tc>
          <w:tcPr>
            <w:tcW w:w="2977" w:type="dxa"/>
            <w:shd w:val="clear" w:color="auto" w:fill="auto"/>
            <w:vAlign w:val="center"/>
          </w:tcPr>
          <w:p>
            <w:pPr>
              <w:pStyle w:val="290"/>
              <w:rPr>
                <w:color w:val="FF0000"/>
              </w:rPr>
            </w:pPr>
            <w:r>
              <w:rPr>
                <w:color w:val="FF0000"/>
              </w:rPr>
              <w:t>材料原价×采购及保管费费率</w:t>
            </w:r>
          </w:p>
        </w:tc>
        <w:tc>
          <w:tcPr>
            <w:tcW w:w="2410" w:type="dxa"/>
            <w:shd w:val="clear" w:color="auto" w:fill="auto"/>
            <w:vAlign w:val="center"/>
          </w:tcPr>
          <w:p>
            <w:pPr>
              <w:pStyle w:val="290"/>
              <w:rPr>
                <w:color w:val="FF0000"/>
              </w:rPr>
            </w:pPr>
            <w:r>
              <w:rPr>
                <w:color w:val="FF000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jc w:val="center"/>
        </w:trPr>
        <w:tc>
          <w:tcPr>
            <w:tcW w:w="1292" w:type="dxa"/>
            <w:vMerge w:val="continue"/>
            <w:vAlign w:val="center"/>
          </w:tcPr>
          <w:p>
            <w:pPr>
              <w:pStyle w:val="290"/>
              <w:rPr>
                <w:color w:val="FF0000"/>
              </w:rPr>
            </w:pPr>
          </w:p>
        </w:tc>
        <w:tc>
          <w:tcPr>
            <w:tcW w:w="1701" w:type="dxa"/>
            <w:shd w:val="clear" w:color="auto" w:fill="auto"/>
            <w:vAlign w:val="center"/>
          </w:tcPr>
          <w:p>
            <w:pPr>
              <w:pStyle w:val="290"/>
              <w:rPr>
                <w:color w:val="FF0000"/>
              </w:rPr>
            </w:pPr>
            <w:r>
              <w:rPr>
                <w:color w:val="FF0000"/>
              </w:rPr>
              <w:t>采购代理服务费</w:t>
            </w:r>
          </w:p>
        </w:tc>
        <w:tc>
          <w:tcPr>
            <w:tcW w:w="2977" w:type="dxa"/>
            <w:shd w:val="clear" w:color="auto" w:fill="auto"/>
            <w:vAlign w:val="center"/>
          </w:tcPr>
          <w:p>
            <w:pPr>
              <w:pStyle w:val="290"/>
              <w:rPr>
                <w:color w:val="FF0000"/>
              </w:rPr>
            </w:pPr>
            <w:r>
              <w:rPr>
                <w:color w:val="FF0000"/>
              </w:rPr>
              <w:t>按实计列</w:t>
            </w:r>
          </w:p>
        </w:tc>
        <w:tc>
          <w:tcPr>
            <w:tcW w:w="2410"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shd w:val="clear" w:color="auto" w:fill="auto"/>
            <w:vAlign w:val="center"/>
          </w:tcPr>
          <w:p>
            <w:pPr>
              <w:pStyle w:val="290"/>
              <w:rPr>
                <w:color w:val="FF0000"/>
              </w:rPr>
            </w:pPr>
            <w:r>
              <w:rPr>
                <w:color w:val="FF0000"/>
              </w:rPr>
              <w:t>辅助材料费</w:t>
            </w:r>
          </w:p>
        </w:tc>
        <w:tc>
          <w:tcPr>
            <w:tcW w:w="1701" w:type="dxa"/>
            <w:shd w:val="clear" w:color="auto" w:fill="auto"/>
            <w:vAlign w:val="center"/>
          </w:tcPr>
          <w:p>
            <w:pPr>
              <w:pStyle w:val="290"/>
              <w:rPr>
                <w:color w:val="FF0000"/>
              </w:rPr>
            </w:pPr>
          </w:p>
        </w:tc>
        <w:tc>
          <w:tcPr>
            <w:tcW w:w="2977" w:type="dxa"/>
            <w:shd w:val="clear" w:color="auto" w:fill="auto"/>
            <w:vAlign w:val="center"/>
          </w:tcPr>
          <w:p>
            <w:pPr>
              <w:pStyle w:val="290"/>
              <w:rPr>
                <w:color w:val="FF0000"/>
              </w:rPr>
            </w:pPr>
            <w:r>
              <w:rPr>
                <w:color w:val="FF0000"/>
              </w:rPr>
              <w:t>主要材料费×辅助材料费费率</w:t>
            </w:r>
          </w:p>
        </w:tc>
        <w:tc>
          <w:tcPr>
            <w:tcW w:w="2410" w:type="dxa"/>
            <w:shd w:val="clear" w:color="auto" w:fill="auto"/>
            <w:vAlign w:val="center"/>
          </w:tcPr>
          <w:p>
            <w:pPr>
              <w:pStyle w:val="290"/>
              <w:rPr>
                <w:color w:val="FF0000"/>
              </w:rPr>
            </w:pPr>
            <w:r>
              <w:rPr>
                <w:color w:val="FF000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restart"/>
            <w:shd w:val="clear" w:color="auto" w:fill="auto"/>
            <w:vAlign w:val="center"/>
          </w:tcPr>
          <w:p>
            <w:pPr>
              <w:pStyle w:val="290"/>
              <w:rPr>
                <w:color w:val="FF0000"/>
              </w:rPr>
            </w:pPr>
            <w:r>
              <w:rPr>
                <w:color w:val="FF0000"/>
              </w:rPr>
              <w:t>设备工器具购置费</w:t>
            </w:r>
          </w:p>
        </w:tc>
        <w:tc>
          <w:tcPr>
            <w:tcW w:w="1701" w:type="dxa"/>
            <w:shd w:val="clear" w:color="auto" w:fill="auto"/>
            <w:vAlign w:val="center"/>
          </w:tcPr>
          <w:p>
            <w:pPr>
              <w:pStyle w:val="290"/>
              <w:rPr>
                <w:color w:val="FF0000"/>
              </w:rPr>
            </w:pPr>
            <w:r>
              <w:rPr>
                <w:color w:val="FF0000"/>
              </w:rPr>
              <w:t>设备原价</w:t>
            </w:r>
          </w:p>
        </w:tc>
        <w:tc>
          <w:tcPr>
            <w:tcW w:w="2977" w:type="dxa"/>
            <w:shd w:val="clear" w:color="auto" w:fill="auto"/>
            <w:vAlign w:val="center"/>
          </w:tcPr>
          <w:p>
            <w:pPr>
              <w:pStyle w:val="290"/>
              <w:rPr>
                <w:color w:val="FF0000"/>
              </w:rPr>
            </w:pPr>
            <w:r>
              <w:rPr>
                <w:color w:val="FF0000"/>
              </w:rPr>
              <w:t>供应价或供货地点价</w:t>
            </w:r>
          </w:p>
        </w:tc>
        <w:tc>
          <w:tcPr>
            <w:tcW w:w="2410" w:type="dxa"/>
            <w:shd w:val="clear" w:color="auto" w:fill="auto"/>
            <w:vAlign w:val="center"/>
          </w:tcPr>
          <w:p>
            <w:pPr>
              <w:pStyle w:val="29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shd w:val="clear" w:color="auto" w:fill="auto"/>
            <w:vAlign w:val="center"/>
          </w:tcPr>
          <w:p>
            <w:pPr>
              <w:pStyle w:val="290"/>
              <w:rPr>
                <w:color w:val="FF0000"/>
              </w:rPr>
            </w:pPr>
            <w:r>
              <w:rPr>
                <w:color w:val="FF0000"/>
              </w:rPr>
              <w:t>运杂费</w:t>
            </w:r>
          </w:p>
        </w:tc>
        <w:tc>
          <w:tcPr>
            <w:tcW w:w="2977" w:type="dxa"/>
            <w:shd w:val="clear" w:color="auto" w:fill="auto"/>
            <w:vAlign w:val="center"/>
          </w:tcPr>
          <w:p>
            <w:pPr>
              <w:pStyle w:val="290"/>
              <w:rPr>
                <w:color w:val="FF0000"/>
              </w:rPr>
            </w:pPr>
            <w:r>
              <w:rPr>
                <w:color w:val="FF0000"/>
              </w:rPr>
              <w:t>设备原价×设备运杂费费率</w:t>
            </w:r>
          </w:p>
        </w:tc>
        <w:tc>
          <w:tcPr>
            <w:tcW w:w="2410" w:type="dxa"/>
            <w:shd w:val="clear" w:color="auto" w:fill="auto"/>
            <w:vAlign w:val="center"/>
          </w:tcPr>
          <w:p>
            <w:pPr>
              <w:pStyle w:val="290"/>
              <w:rPr>
                <w:color w:val="FF0000"/>
              </w:rPr>
            </w:pPr>
            <w:r>
              <w:rPr>
                <w:color w:val="FF0000"/>
              </w:rPr>
              <w:t>见设备运杂费费率表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shd w:val="clear" w:color="auto" w:fill="auto"/>
            <w:vAlign w:val="center"/>
          </w:tcPr>
          <w:p>
            <w:pPr>
              <w:pStyle w:val="290"/>
              <w:rPr>
                <w:color w:val="FF0000"/>
              </w:rPr>
            </w:pPr>
            <w:r>
              <w:rPr>
                <w:color w:val="FF0000"/>
              </w:rPr>
              <w:t>运输保险费</w:t>
            </w:r>
          </w:p>
        </w:tc>
        <w:tc>
          <w:tcPr>
            <w:tcW w:w="2977" w:type="dxa"/>
            <w:shd w:val="clear" w:color="auto" w:fill="auto"/>
            <w:vAlign w:val="center"/>
          </w:tcPr>
          <w:p>
            <w:pPr>
              <w:pStyle w:val="290"/>
              <w:rPr>
                <w:color w:val="FF0000"/>
              </w:rPr>
            </w:pPr>
            <w:r>
              <w:rPr>
                <w:color w:val="FF0000"/>
              </w:rPr>
              <w:t>设备原价×保险费费率</w:t>
            </w:r>
          </w:p>
        </w:tc>
        <w:tc>
          <w:tcPr>
            <w:tcW w:w="2410" w:type="dxa"/>
            <w:shd w:val="clear" w:color="auto" w:fill="auto"/>
            <w:vAlign w:val="center"/>
          </w:tcPr>
          <w:p>
            <w:pPr>
              <w:pStyle w:val="290"/>
              <w:rPr>
                <w:color w:val="FF0000"/>
              </w:rPr>
            </w:pPr>
            <w:r>
              <w:rPr>
                <w:color w:val="FF0000"/>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vMerge w:val="restart"/>
            <w:shd w:val="clear" w:color="auto" w:fill="auto"/>
            <w:vAlign w:val="center"/>
          </w:tcPr>
          <w:p>
            <w:pPr>
              <w:pStyle w:val="290"/>
              <w:rPr>
                <w:color w:val="FF0000"/>
              </w:rPr>
            </w:pPr>
            <w:r>
              <w:rPr>
                <w:color w:val="FF0000"/>
              </w:rPr>
              <w:t>采购及保管费</w:t>
            </w:r>
          </w:p>
        </w:tc>
        <w:tc>
          <w:tcPr>
            <w:tcW w:w="2977" w:type="dxa"/>
            <w:vMerge w:val="restart"/>
            <w:shd w:val="clear" w:color="auto" w:fill="auto"/>
            <w:vAlign w:val="center"/>
          </w:tcPr>
          <w:p>
            <w:pPr>
              <w:pStyle w:val="290"/>
              <w:rPr>
                <w:color w:val="FF0000"/>
              </w:rPr>
            </w:pPr>
            <w:r>
              <w:rPr>
                <w:color w:val="FF0000"/>
              </w:rPr>
              <w:t>设备原价×采购及保管费费率</w:t>
            </w:r>
          </w:p>
        </w:tc>
        <w:tc>
          <w:tcPr>
            <w:tcW w:w="2410" w:type="dxa"/>
            <w:shd w:val="clear" w:color="auto" w:fill="auto"/>
            <w:vAlign w:val="center"/>
          </w:tcPr>
          <w:p>
            <w:pPr>
              <w:pStyle w:val="290"/>
              <w:rPr>
                <w:color w:val="FF0000"/>
              </w:rPr>
            </w:pPr>
            <w:r>
              <w:rPr>
                <w:color w:val="FF0000"/>
              </w:rPr>
              <w:t>需要安装设备:0.82%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1292" w:type="dxa"/>
            <w:vMerge w:val="continue"/>
            <w:shd w:val="clear" w:color="auto" w:fill="auto"/>
            <w:vAlign w:val="center"/>
          </w:tcPr>
          <w:p>
            <w:pPr>
              <w:pStyle w:val="290"/>
              <w:rPr>
                <w:color w:val="FF0000"/>
              </w:rPr>
            </w:pPr>
          </w:p>
        </w:tc>
        <w:tc>
          <w:tcPr>
            <w:tcW w:w="1701" w:type="dxa"/>
            <w:vMerge w:val="continue"/>
            <w:shd w:val="clear" w:color="auto" w:fill="auto"/>
            <w:vAlign w:val="center"/>
          </w:tcPr>
          <w:p>
            <w:pPr>
              <w:pStyle w:val="290"/>
              <w:rPr>
                <w:color w:val="FF0000"/>
              </w:rPr>
            </w:pPr>
          </w:p>
        </w:tc>
        <w:tc>
          <w:tcPr>
            <w:tcW w:w="2977" w:type="dxa"/>
            <w:vMerge w:val="continue"/>
            <w:shd w:val="clear" w:color="auto" w:fill="auto"/>
            <w:vAlign w:val="center"/>
          </w:tcPr>
          <w:p>
            <w:pPr>
              <w:pStyle w:val="290"/>
              <w:rPr>
                <w:color w:val="FF0000"/>
              </w:rPr>
            </w:pPr>
          </w:p>
        </w:tc>
        <w:tc>
          <w:tcPr>
            <w:tcW w:w="2410" w:type="dxa"/>
            <w:shd w:val="clear" w:color="auto" w:fill="auto"/>
            <w:vAlign w:val="center"/>
          </w:tcPr>
          <w:p>
            <w:pPr>
              <w:pStyle w:val="290"/>
              <w:rPr>
                <w:color w:val="FF0000"/>
              </w:rPr>
            </w:pPr>
            <w:r>
              <w:rPr>
                <w:color w:val="FF0000"/>
              </w:rPr>
              <w:t>不需要安装设备:0.41%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92" w:type="dxa"/>
            <w:vMerge w:val="continue"/>
            <w:shd w:val="clear" w:color="auto" w:fill="auto"/>
            <w:vAlign w:val="center"/>
          </w:tcPr>
          <w:p>
            <w:pPr>
              <w:pStyle w:val="290"/>
              <w:rPr>
                <w:color w:val="FF0000"/>
              </w:rPr>
            </w:pPr>
          </w:p>
        </w:tc>
        <w:tc>
          <w:tcPr>
            <w:tcW w:w="1701" w:type="dxa"/>
            <w:shd w:val="clear" w:color="auto" w:fill="auto"/>
            <w:vAlign w:val="center"/>
          </w:tcPr>
          <w:p>
            <w:pPr>
              <w:pStyle w:val="290"/>
              <w:rPr>
                <w:color w:val="FF0000"/>
              </w:rPr>
            </w:pPr>
            <w:r>
              <w:rPr>
                <w:color w:val="FF0000"/>
              </w:rPr>
              <w:t>采购代理服务费</w:t>
            </w:r>
          </w:p>
        </w:tc>
        <w:tc>
          <w:tcPr>
            <w:tcW w:w="2977" w:type="dxa"/>
            <w:shd w:val="clear" w:color="auto" w:fill="auto"/>
            <w:vAlign w:val="center"/>
          </w:tcPr>
          <w:p>
            <w:pPr>
              <w:pStyle w:val="290"/>
              <w:rPr>
                <w:color w:val="FF0000"/>
              </w:rPr>
            </w:pPr>
            <w:r>
              <w:rPr>
                <w:color w:val="FF0000"/>
              </w:rPr>
              <w:t>按实计列</w:t>
            </w:r>
          </w:p>
        </w:tc>
        <w:tc>
          <w:tcPr>
            <w:tcW w:w="2410" w:type="dxa"/>
            <w:shd w:val="clear" w:color="auto" w:fill="auto"/>
            <w:vAlign w:val="center"/>
          </w:tcPr>
          <w:p>
            <w:pPr>
              <w:pStyle w:val="290"/>
              <w:rPr>
                <w:color w:val="FF0000"/>
              </w:rPr>
            </w:pPr>
            <w:r>
              <w:rPr>
                <w:color w:val="FF0000"/>
              </w:rPr>
              <w:t>　</w:t>
            </w:r>
          </w:p>
        </w:tc>
      </w:tr>
    </w:tbl>
    <w:p>
      <w:pPr>
        <w:numPr>
          <w:ilvl w:val="0"/>
          <w:numId w:val="67"/>
        </w:numPr>
        <w:ind w:left="426" w:firstLine="0" w:firstLineChars="0"/>
        <w:rPr>
          <w:rFonts w:cs="Times New Roman"/>
        </w:rPr>
      </w:pPr>
      <w:r>
        <w:rPr>
          <w:rFonts w:cs="Times New Roman"/>
        </w:rPr>
        <w:t>表五</w:t>
      </w:r>
    </w:p>
    <w:p>
      <w:pPr>
        <w:pStyle w:val="603"/>
        <w:rPr>
          <w:rFonts w:cs="Times New Roman"/>
        </w:rPr>
      </w:pPr>
      <w:r>
        <w:rPr>
          <w:rFonts w:cs="Times New Roman"/>
        </w:rPr>
        <w:t>表1.3-5  工程建设其他费</w:t>
      </w:r>
    </w:p>
    <w:tbl>
      <w:tblPr>
        <w:tblStyle w:val="63"/>
        <w:tblW w:w="86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835"/>
        <w:gridCol w:w="5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blHeader/>
          <w:jc w:val="center"/>
        </w:trPr>
        <w:tc>
          <w:tcPr>
            <w:tcW w:w="817" w:type="dxa"/>
            <w:vAlign w:val="center"/>
          </w:tcPr>
          <w:p>
            <w:pPr>
              <w:pStyle w:val="290"/>
              <w:rPr>
                <w:color w:val="FF0000"/>
              </w:rPr>
            </w:pPr>
            <w:r>
              <w:rPr>
                <w:color w:val="FF0000"/>
              </w:rPr>
              <w:t>序号</w:t>
            </w:r>
          </w:p>
        </w:tc>
        <w:tc>
          <w:tcPr>
            <w:tcW w:w="2835" w:type="dxa"/>
            <w:shd w:val="clear" w:color="auto" w:fill="auto"/>
            <w:vAlign w:val="center"/>
          </w:tcPr>
          <w:p>
            <w:pPr>
              <w:pStyle w:val="290"/>
              <w:rPr>
                <w:color w:val="FF0000"/>
              </w:rPr>
            </w:pPr>
            <w:r>
              <w:rPr>
                <w:color w:val="FF0000"/>
              </w:rPr>
              <w:t>名称</w:t>
            </w:r>
          </w:p>
        </w:tc>
        <w:tc>
          <w:tcPr>
            <w:tcW w:w="5027" w:type="dxa"/>
            <w:shd w:val="clear" w:color="auto" w:fill="auto"/>
            <w:vAlign w:val="center"/>
          </w:tcPr>
          <w:p>
            <w:pPr>
              <w:pStyle w:val="290"/>
              <w:rPr>
                <w:color w:val="FF0000"/>
              </w:rPr>
            </w:pPr>
            <w:r>
              <w:rPr>
                <w:color w:val="FF0000"/>
              </w:rPr>
              <w:t>取费标准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1</w:t>
            </w:r>
          </w:p>
        </w:tc>
        <w:tc>
          <w:tcPr>
            <w:tcW w:w="2835" w:type="dxa"/>
            <w:shd w:val="clear" w:color="auto" w:fill="auto"/>
            <w:vAlign w:val="center"/>
          </w:tcPr>
          <w:p>
            <w:pPr>
              <w:pStyle w:val="290"/>
              <w:rPr>
                <w:color w:val="FF0000"/>
              </w:rPr>
            </w:pPr>
            <w:r>
              <w:rPr>
                <w:color w:val="FF0000"/>
              </w:rPr>
              <w:t>建设用地及综合赔补费</w:t>
            </w:r>
          </w:p>
        </w:tc>
        <w:tc>
          <w:tcPr>
            <w:tcW w:w="5027" w:type="dxa"/>
            <w:shd w:val="clear" w:color="auto" w:fill="auto"/>
            <w:vAlign w:val="center"/>
          </w:tcPr>
          <w:p>
            <w:pPr>
              <w:pStyle w:val="290"/>
              <w:rPr>
                <w:color w:val="FF0000"/>
              </w:rPr>
            </w:pPr>
            <w:r>
              <w:rPr>
                <w:color w:val="FF0000"/>
              </w:rPr>
              <w:t>按所在地区标准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2</w:t>
            </w:r>
          </w:p>
        </w:tc>
        <w:tc>
          <w:tcPr>
            <w:tcW w:w="2835" w:type="dxa"/>
            <w:shd w:val="clear" w:color="auto" w:fill="auto"/>
            <w:vAlign w:val="center"/>
          </w:tcPr>
          <w:p>
            <w:pPr>
              <w:pStyle w:val="290"/>
              <w:rPr>
                <w:color w:val="FF0000"/>
              </w:rPr>
            </w:pPr>
            <w:r>
              <w:rPr>
                <w:color w:val="FF0000"/>
              </w:rPr>
              <w:t>项目建设管理费</w:t>
            </w:r>
          </w:p>
        </w:tc>
        <w:tc>
          <w:tcPr>
            <w:tcW w:w="5027" w:type="dxa"/>
            <w:shd w:val="clear" w:color="auto" w:fill="auto"/>
            <w:vAlign w:val="center"/>
          </w:tcPr>
          <w:p>
            <w:pPr>
              <w:pStyle w:val="290"/>
              <w:rPr>
                <w:b/>
                <w:color w:val="FF0000"/>
              </w:rPr>
            </w:pPr>
            <w:r>
              <w:rPr>
                <w:color w:val="FF0000"/>
              </w:rPr>
              <w:t>不计列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3</w:t>
            </w:r>
          </w:p>
        </w:tc>
        <w:tc>
          <w:tcPr>
            <w:tcW w:w="2835" w:type="dxa"/>
            <w:shd w:val="clear" w:color="auto" w:fill="auto"/>
            <w:vAlign w:val="center"/>
          </w:tcPr>
          <w:p>
            <w:pPr>
              <w:pStyle w:val="290"/>
              <w:rPr>
                <w:color w:val="FF0000"/>
              </w:rPr>
            </w:pPr>
            <w:r>
              <w:rPr>
                <w:color w:val="FF0000"/>
              </w:rPr>
              <w:t>可行性研究费</w:t>
            </w:r>
          </w:p>
        </w:tc>
        <w:tc>
          <w:tcPr>
            <w:tcW w:w="5027" w:type="dxa"/>
            <w:shd w:val="clear" w:color="auto" w:fill="auto"/>
            <w:vAlign w:val="center"/>
          </w:tcPr>
          <w:p>
            <w:pPr>
              <w:pStyle w:val="290"/>
              <w:rPr>
                <w:color w:val="FF0000"/>
              </w:rPr>
            </w:pPr>
            <w:r>
              <w:rPr>
                <w:color w:val="FF0000"/>
              </w:rPr>
              <w:t>根据建设单位本期工程咨询设计招标文件规定及签订的可研服务合同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4</w:t>
            </w:r>
          </w:p>
        </w:tc>
        <w:tc>
          <w:tcPr>
            <w:tcW w:w="2835" w:type="dxa"/>
            <w:shd w:val="clear" w:color="auto" w:fill="auto"/>
            <w:vAlign w:val="center"/>
          </w:tcPr>
          <w:p>
            <w:pPr>
              <w:pStyle w:val="290"/>
              <w:rPr>
                <w:color w:val="FF0000"/>
              </w:rPr>
            </w:pPr>
            <w:r>
              <w:rPr>
                <w:color w:val="FF0000"/>
              </w:rPr>
              <w:t>勘察设计费</w:t>
            </w:r>
          </w:p>
        </w:tc>
        <w:tc>
          <w:tcPr>
            <w:tcW w:w="5027" w:type="dxa"/>
            <w:shd w:val="clear" w:color="auto" w:fill="auto"/>
            <w:vAlign w:val="center"/>
          </w:tcPr>
          <w:p>
            <w:pPr>
              <w:pStyle w:val="290"/>
              <w:rPr>
                <w:color w:val="FF0000"/>
              </w:rPr>
            </w:pPr>
            <w:r>
              <w:rPr>
                <w:color w:val="FF0000"/>
              </w:rPr>
              <w:t>根据建设单位本期工程勘察设计招标文件规定及签订的勘察设计服务合同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5</w:t>
            </w:r>
          </w:p>
        </w:tc>
        <w:tc>
          <w:tcPr>
            <w:tcW w:w="2835" w:type="dxa"/>
            <w:shd w:val="clear" w:color="auto" w:fill="auto"/>
            <w:vAlign w:val="center"/>
          </w:tcPr>
          <w:p>
            <w:pPr>
              <w:pStyle w:val="290"/>
              <w:rPr>
                <w:color w:val="FF0000"/>
              </w:rPr>
            </w:pPr>
            <w:r>
              <w:rPr>
                <w:color w:val="FF0000"/>
              </w:rPr>
              <w:t>环境影响评价费</w:t>
            </w:r>
          </w:p>
        </w:tc>
        <w:tc>
          <w:tcPr>
            <w:tcW w:w="5027" w:type="dxa"/>
            <w:shd w:val="clear" w:color="auto" w:fill="auto"/>
            <w:vAlign w:val="center"/>
          </w:tcPr>
          <w:p>
            <w:pPr>
              <w:pStyle w:val="290"/>
              <w:rPr>
                <w:color w:val="FF0000"/>
              </w:rPr>
            </w:pPr>
            <w:r>
              <w:rPr>
                <w:color w:val="FF0000"/>
              </w:rPr>
              <w:t>根据建设单位本期工程与环评机构签订的服务合同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6</w:t>
            </w:r>
          </w:p>
        </w:tc>
        <w:tc>
          <w:tcPr>
            <w:tcW w:w="2835" w:type="dxa"/>
            <w:shd w:val="clear" w:color="auto" w:fill="auto"/>
            <w:vAlign w:val="center"/>
          </w:tcPr>
          <w:p>
            <w:pPr>
              <w:pStyle w:val="290"/>
              <w:rPr>
                <w:color w:val="FF0000"/>
              </w:rPr>
            </w:pPr>
            <w:r>
              <w:rPr>
                <w:color w:val="FF0000"/>
              </w:rPr>
              <w:t>建设工程监理费</w:t>
            </w:r>
          </w:p>
        </w:tc>
        <w:tc>
          <w:tcPr>
            <w:tcW w:w="5027" w:type="dxa"/>
            <w:shd w:val="clear" w:color="auto" w:fill="auto"/>
            <w:vAlign w:val="center"/>
          </w:tcPr>
          <w:p>
            <w:pPr>
              <w:pStyle w:val="290"/>
              <w:rPr>
                <w:color w:val="FF0000"/>
              </w:rPr>
            </w:pPr>
            <w:r>
              <w:rPr>
                <w:color w:val="FF0000"/>
              </w:rPr>
              <w:t>根据建设单位本期工程监理招标文件规定及签订的监理服务合同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7</w:t>
            </w:r>
          </w:p>
        </w:tc>
        <w:tc>
          <w:tcPr>
            <w:tcW w:w="2835" w:type="dxa"/>
            <w:shd w:val="clear" w:color="auto" w:fill="auto"/>
            <w:vAlign w:val="center"/>
          </w:tcPr>
          <w:p>
            <w:pPr>
              <w:pStyle w:val="290"/>
              <w:rPr>
                <w:color w:val="FF0000"/>
              </w:rPr>
            </w:pPr>
            <w:r>
              <w:rPr>
                <w:color w:val="FF0000"/>
              </w:rPr>
              <w:t>安全生产费</w:t>
            </w:r>
          </w:p>
        </w:tc>
        <w:tc>
          <w:tcPr>
            <w:tcW w:w="5027" w:type="dxa"/>
            <w:shd w:val="clear" w:color="auto" w:fill="auto"/>
            <w:vAlign w:val="center"/>
          </w:tcPr>
          <w:p>
            <w:pPr>
              <w:pStyle w:val="290"/>
              <w:rPr>
                <w:color w:val="FF0000"/>
              </w:rPr>
            </w:pPr>
            <w:r>
              <w:rPr>
                <w:color w:val="FF0000"/>
              </w:rPr>
              <w:t>工信部通函〔2012〕213号《关于调整通信工程安全生产费取费标准和使用范围的通知》，安全生产费=建安费×1.5%，任何单位和个人不得直接或间接对安全生产费进行打折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8</w:t>
            </w:r>
          </w:p>
        </w:tc>
        <w:tc>
          <w:tcPr>
            <w:tcW w:w="2835" w:type="dxa"/>
            <w:shd w:val="clear" w:color="auto" w:fill="auto"/>
            <w:vAlign w:val="center"/>
          </w:tcPr>
          <w:p>
            <w:pPr>
              <w:pStyle w:val="290"/>
              <w:rPr>
                <w:color w:val="FF0000"/>
              </w:rPr>
            </w:pPr>
            <w:r>
              <w:rPr>
                <w:color w:val="FF0000"/>
              </w:rPr>
              <w:t>审计费</w:t>
            </w:r>
          </w:p>
        </w:tc>
        <w:tc>
          <w:tcPr>
            <w:tcW w:w="5027" w:type="dxa"/>
            <w:shd w:val="clear" w:color="auto" w:fill="auto"/>
            <w:vAlign w:val="center"/>
          </w:tcPr>
          <w:p>
            <w:pPr>
              <w:pStyle w:val="290"/>
              <w:rPr>
                <w:color w:val="FF0000"/>
              </w:rPr>
            </w:pPr>
            <w:r>
              <w:rPr>
                <w:color w:val="FF0000"/>
              </w:rPr>
              <w:t>结合各省市实际情况计取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17" w:type="dxa"/>
            <w:vAlign w:val="center"/>
          </w:tcPr>
          <w:p>
            <w:pPr>
              <w:pStyle w:val="290"/>
              <w:rPr>
                <w:color w:val="FF0000"/>
              </w:rPr>
            </w:pPr>
            <w:r>
              <w:rPr>
                <w:color w:val="FF0000"/>
              </w:rPr>
              <w:t>9</w:t>
            </w:r>
          </w:p>
        </w:tc>
        <w:tc>
          <w:tcPr>
            <w:tcW w:w="2835" w:type="dxa"/>
            <w:shd w:val="clear" w:color="auto" w:fill="auto"/>
            <w:vAlign w:val="center"/>
          </w:tcPr>
          <w:p>
            <w:pPr>
              <w:pStyle w:val="290"/>
              <w:rPr>
                <w:color w:val="FF0000"/>
              </w:rPr>
            </w:pPr>
            <w:r>
              <w:rPr>
                <w:color w:val="FF0000"/>
              </w:rPr>
              <w:t>选站协调费</w:t>
            </w:r>
          </w:p>
        </w:tc>
        <w:tc>
          <w:tcPr>
            <w:tcW w:w="5027" w:type="dxa"/>
            <w:shd w:val="clear" w:color="auto" w:fill="auto"/>
            <w:vAlign w:val="center"/>
          </w:tcPr>
          <w:p>
            <w:pPr>
              <w:pStyle w:val="290"/>
              <w:rPr>
                <w:color w:val="FF0000"/>
              </w:rPr>
            </w:pPr>
            <w:r>
              <w:rPr>
                <w:color w:val="FF0000"/>
              </w:rPr>
              <w:t>结合各省市实际情况计取</w:t>
            </w:r>
          </w:p>
        </w:tc>
      </w:tr>
    </w:tbl>
    <w:p>
      <w:pPr>
        <w:ind w:firstLine="480"/>
        <w:rPr>
          <w:rFonts w:cs="Times New Roman"/>
        </w:rPr>
      </w:pPr>
    </w:p>
    <w:p>
      <w:pPr>
        <w:pStyle w:val="5"/>
        <w:rPr>
          <w:rFonts w:cs="Times New Roman"/>
        </w:rPr>
      </w:pPr>
      <w:bookmarkStart w:id="1109" w:name="_Toc119049552"/>
      <w:bookmarkStart w:id="1110" w:name="_Toc207423267"/>
      <w:bookmarkStart w:id="1111" w:name="_Toc2868750"/>
      <w:bookmarkStart w:id="1112" w:name="_Toc302075788"/>
      <w:bookmarkStart w:id="1113" w:name="_Toc447204598"/>
      <w:bookmarkStart w:id="1114" w:name="_Toc119593572"/>
      <w:bookmarkStart w:id="1115" w:name="_Toc119138219"/>
      <w:bookmarkStart w:id="1116" w:name="_Toc447202549"/>
      <w:bookmarkStart w:id="1117" w:name="_Toc511"/>
      <w:bookmarkStart w:id="1118" w:name="_Toc452131668"/>
      <w:r>
        <w:rPr>
          <w:rFonts w:cs="Times New Roman"/>
        </w:rPr>
        <w:t>其他需要说明的问题</w:t>
      </w:r>
      <w:bookmarkEnd w:id="1109"/>
      <w:bookmarkEnd w:id="1110"/>
      <w:bookmarkEnd w:id="1111"/>
      <w:bookmarkEnd w:id="1112"/>
      <w:bookmarkEnd w:id="1113"/>
      <w:bookmarkEnd w:id="1114"/>
      <w:bookmarkEnd w:id="1115"/>
      <w:bookmarkEnd w:id="1116"/>
      <w:bookmarkEnd w:id="1117"/>
      <w:bookmarkEnd w:id="1118"/>
    </w:p>
    <w:p>
      <w:pPr>
        <w:ind w:firstLine="480"/>
        <w:rPr>
          <w:rFonts w:cs="Times New Roman"/>
        </w:rPr>
      </w:pPr>
    </w:p>
    <w:p>
      <w:pPr>
        <w:pStyle w:val="4"/>
        <w:rPr>
          <w:rFonts w:cs="Times New Roman"/>
          <w:highlight w:val="yellow"/>
        </w:rPr>
      </w:pPr>
      <w:bookmarkStart w:id="1119" w:name="_Toc176345529"/>
      <w:bookmarkStart w:id="1120" w:name="_Toc2868751"/>
      <w:bookmarkStart w:id="1121" w:name="_Toc447202550"/>
      <w:bookmarkStart w:id="1122" w:name="_Toc447204599"/>
      <w:bookmarkStart w:id="1123" w:name="_Toc162879767"/>
      <w:bookmarkStart w:id="1124" w:name="_Toc452131669"/>
      <w:bookmarkStart w:id="1125" w:name="_Toc26277"/>
      <w:bookmarkStart w:id="1126" w:name="_Toc302075789"/>
      <w:r>
        <w:rPr>
          <w:rFonts w:cs="Times New Roman"/>
        </w:rPr>
        <w:t>概算表格</w:t>
      </w:r>
      <w:bookmarkEnd w:id="1119"/>
      <w:bookmarkEnd w:id="1120"/>
      <w:bookmarkEnd w:id="1121"/>
      <w:bookmarkEnd w:id="1122"/>
      <w:bookmarkEnd w:id="1123"/>
      <w:bookmarkEnd w:id="1124"/>
      <w:bookmarkEnd w:id="1125"/>
      <w:bookmarkEnd w:id="1126"/>
    </w:p>
    <w:tbl>
      <w:tblPr>
        <w:tblStyle w:val="63"/>
        <w:tblW w:w="8522" w:type="dxa"/>
        <w:tblInd w:w="0" w:type="dxa"/>
        <w:tblLayout w:type="fixed"/>
        <w:tblCellMar>
          <w:top w:w="0" w:type="dxa"/>
          <w:left w:w="108" w:type="dxa"/>
          <w:bottom w:w="0" w:type="dxa"/>
          <w:right w:w="108" w:type="dxa"/>
        </w:tblCellMar>
      </w:tblPr>
      <w:tblGrid>
        <w:gridCol w:w="2857"/>
        <w:gridCol w:w="5665"/>
      </w:tblGrid>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概(预)算表格编号</w:t>
            </w:r>
          </w:p>
        </w:tc>
        <w:tc>
          <w:tcPr>
            <w:tcW w:w="5665" w:type="dxa"/>
            <w:vAlign w:val="center"/>
          </w:tcPr>
          <w:p>
            <w:pPr>
              <w:pStyle w:val="290"/>
              <w:rPr>
                <w:color w:val="FF0000"/>
              </w:rPr>
            </w:pPr>
            <w:r>
              <w:rPr>
                <w:color w:val="FF0000"/>
              </w:rPr>
              <w:t>概(预)算表名称</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GYSB-HZ-B1</w:t>
            </w:r>
          </w:p>
        </w:tc>
        <w:tc>
          <w:tcPr>
            <w:tcW w:w="5665" w:type="dxa"/>
            <w:vAlign w:val="center"/>
          </w:tcPr>
          <w:p>
            <w:pPr>
              <w:pStyle w:val="290"/>
              <w:rPr>
                <w:color w:val="FF0000"/>
              </w:rPr>
            </w:pPr>
            <w:r>
              <w:rPr>
                <w:color w:val="FF0000"/>
              </w:rPr>
              <w:t>建设项目总概算表(汇总表)</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GYSB-B1</w:t>
            </w:r>
          </w:p>
        </w:tc>
        <w:tc>
          <w:tcPr>
            <w:tcW w:w="5665" w:type="dxa"/>
            <w:vAlign w:val="center"/>
          </w:tcPr>
          <w:p>
            <w:pPr>
              <w:pStyle w:val="290"/>
              <w:rPr>
                <w:color w:val="FF0000"/>
              </w:rPr>
            </w:pPr>
            <w:r>
              <w:rPr>
                <w:color w:val="FF0000"/>
              </w:rPr>
              <w:t>各部分工程概算表( (表一)</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GYSB-B2</w:t>
            </w:r>
          </w:p>
        </w:tc>
        <w:tc>
          <w:tcPr>
            <w:tcW w:w="5665" w:type="dxa"/>
            <w:vAlign w:val="center"/>
          </w:tcPr>
          <w:p>
            <w:pPr>
              <w:pStyle w:val="290"/>
              <w:rPr>
                <w:color w:val="FF0000"/>
              </w:rPr>
            </w:pPr>
            <w:r>
              <w:rPr>
                <w:color w:val="FF0000"/>
              </w:rPr>
              <w:t>建筑安装工程费用概算表(表二)</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GYSB-B3-01</w:t>
            </w:r>
          </w:p>
        </w:tc>
        <w:tc>
          <w:tcPr>
            <w:tcW w:w="5665" w:type="dxa"/>
            <w:vAlign w:val="center"/>
          </w:tcPr>
          <w:p>
            <w:pPr>
              <w:pStyle w:val="290"/>
              <w:rPr>
                <w:color w:val="FF0000"/>
              </w:rPr>
            </w:pPr>
            <w:r>
              <w:rPr>
                <w:color w:val="FF0000"/>
              </w:rPr>
              <w:t>建筑安装工程量概算表(表三)甲</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GYSB-B3-02</w:t>
            </w:r>
          </w:p>
        </w:tc>
        <w:tc>
          <w:tcPr>
            <w:tcW w:w="5665" w:type="dxa"/>
            <w:vAlign w:val="center"/>
          </w:tcPr>
          <w:p>
            <w:pPr>
              <w:pStyle w:val="290"/>
              <w:rPr>
                <w:color w:val="FF0000"/>
              </w:rPr>
            </w:pPr>
            <w:r>
              <w:rPr>
                <w:color w:val="FF0000"/>
              </w:rPr>
              <w:t>建筑安装工程机械使用费概算表(表三)乙</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GYSB-B3-03</w:t>
            </w:r>
          </w:p>
        </w:tc>
        <w:tc>
          <w:tcPr>
            <w:tcW w:w="5665" w:type="dxa"/>
            <w:vAlign w:val="center"/>
          </w:tcPr>
          <w:p>
            <w:pPr>
              <w:pStyle w:val="290"/>
              <w:rPr>
                <w:color w:val="FF0000"/>
              </w:rPr>
            </w:pPr>
            <w:r>
              <w:rPr>
                <w:color w:val="FF0000"/>
              </w:rPr>
              <w:t>建筑安装工程仪器仪表使用费概算表(表三)丙</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GYSB-B4-01</w:t>
            </w:r>
          </w:p>
        </w:tc>
        <w:tc>
          <w:tcPr>
            <w:tcW w:w="5665" w:type="dxa"/>
            <w:vAlign w:val="center"/>
          </w:tcPr>
          <w:p>
            <w:pPr>
              <w:pStyle w:val="290"/>
              <w:rPr>
                <w:color w:val="FF0000"/>
              </w:rPr>
            </w:pPr>
            <w:r>
              <w:rPr>
                <w:color w:val="FF0000"/>
              </w:rPr>
              <w:t>国内器材概算表(表四)甲(需安装设备)</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GYSB-B4-02</w:t>
            </w:r>
          </w:p>
        </w:tc>
        <w:tc>
          <w:tcPr>
            <w:tcW w:w="5665" w:type="dxa"/>
            <w:vAlign w:val="center"/>
          </w:tcPr>
          <w:p>
            <w:pPr>
              <w:pStyle w:val="290"/>
              <w:rPr>
                <w:color w:val="FF0000"/>
              </w:rPr>
            </w:pPr>
            <w:r>
              <w:rPr>
                <w:color w:val="FF0000"/>
              </w:rPr>
              <w:t>国内器材概算表(表四)甲(不需安装设备)</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GYSB-B4-03</w:t>
            </w:r>
          </w:p>
        </w:tc>
        <w:tc>
          <w:tcPr>
            <w:tcW w:w="5665" w:type="dxa"/>
            <w:vAlign w:val="center"/>
          </w:tcPr>
          <w:p>
            <w:pPr>
              <w:pStyle w:val="290"/>
              <w:rPr>
                <w:color w:val="FF0000"/>
              </w:rPr>
            </w:pPr>
            <w:r>
              <w:rPr>
                <w:color w:val="FF0000"/>
              </w:rPr>
              <w:t>国内器材概算表(表四)甲(主材)</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GYSB-B5</w:t>
            </w:r>
          </w:p>
        </w:tc>
        <w:tc>
          <w:tcPr>
            <w:tcW w:w="5665" w:type="dxa"/>
            <w:vAlign w:val="center"/>
          </w:tcPr>
          <w:p>
            <w:pPr>
              <w:pStyle w:val="290"/>
              <w:rPr>
                <w:color w:val="FF0000"/>
              </w:rPr>
            </w:pPr>
            <w:r>
              <w:rPr>
                <w:color w:val="FF0000"/>
              </w:rPr>
              <w:t>工程建设其他费概算表(表五)甲</w:t>
            </w:r>
          </w:p>
        </w:tc>
      </w:tr>
      <w:tr>
        <w:tblPrEx>
          <w:tblCellMar>
            <w:top w:w="0" w:type="dxa"/>
            <w:left w:w="108" w:type="dxa"/>
            <w:bottom w:w="0" w:type="dxa"/>
            <w:right w:w="108" w:type="dxa"/>
          </w:tblCellMar>
        </w:tblPrEx>
        <w:trPr>
          <w:trHeight w:val="270" w:hRule="atLeast"/>
        </w:trPr>
        <w:tc>
          <w:tcPr>
            <w:tcW w:w="2857" w:type="dxa"/>
            <w:vAlign w:val="center"/>
          </w:tcPr>
          <w:p>
            <w:pPr>
              <w:pStyle w:val="290"/>
              <w:rPr>
                <w:color w:val="FF0000"/>
              </w:rPr>
            </w:pPr>
            <w:r>
              <w:rPr>
                <w:color w:val="FF0000"/>
              </w:rPr>
              <w:t>GYSB-B6</w:t>
            </w:r>
          </w:p>
        </w:tc>
        <w:tc>
          <w:tcPr>
            <w:tcW w:w="5665" w:type="dxa"/>
            <w:vAlign w:val="center"/>
          </w:tcPr>
          <w:p>
            <w:pPr>
              <w:pStyle w:val="290"/>
              <w:rPr>
                <w:color w:val="FF0000"/>
              </w:rPr>
            </w:pPr>
            <w:r>
              <w:rPr>
                <w:color w:val="FF0000"/>
              </w:rPr>
              <w:t>小型建筑工程概算表</w:t>
            </w:r>
          </w:p>
        </w:tc>
      </w:tr>
    </w:tbl>
    <w:p>
      <w:pPr>
        <w:ind w:firstLine="480"/>
        <w:rPr>
          <w:rFonts w:cs="Times New Roman"/>
          <w:color w:val="FF0000"/>
        </w:rPr>
      </w:pPr>
    </w:p>
    <w:bookmarkEnd w:id="1099"/>
    <w:bookmarkEnd w:id="1100"/>
    <w:bookmarkEnd w:id="1101"/>
    <w:bookmarkEnd w:id="1102"/>
    <w:bookmarkEnd w:id="1103"/>
    <w:bookmarkEnd w:id="1104"/>
    <w:p>
      <w:pPr>
        <w:pStyle w:val="3"/>
        <w:rPr>
          <w:rFonts w:cs="Times New Roman"/>
        </w:rPr>
      </w:pPr>
      <w:bookmarkStart w:id="1127" w:name="_Toc19504"/>
      <w:bookmarkStart w:id="1128" w:name="_Toc2868752"/>
      <w:bookmarkStart w:id="1129" w:name="_Toc452131670"/>
      <w:bookmarkStart w:id="1130" w:name="_Toc447204600"/>
      <w:bookmarkStart w:id="1131" w:name="_Toc447202551"/>
      <w:r>
        <w:rPr>
          <w:rFonts w:cs="Times New Roman"/>
        </w:rPr>
        <w:t>图纸</w:t>
      </w:r>
      <w:bookmarkEnd w:id="1127"/>
      <w:bookmarkEnd w:id="1128"/>
      <w:bookmarkEnd w:id="1129"/>
      <w:bookmarkEnd w:id="1130"/>
      <w:bookmarkEnd w:id="1131"/>
    </w:p>
    <w:tbl>
      <w:tblPr>
        <w:tblStyle w:val="63"/>
        <w:tblW w:w="7675" w:type="dxa"/>
        <w:tblInd w:w="513" w:type="dxa"/>
        <w:tblLayout w:type="fixed"/>
        <w:tblCellMar>
          <w:top w:w="0" w:type="dxa"/>
          <w:left w:w="108" w:type="dxa"/>
          <w:bottom w:w="0" w:type="dxa"/>
          <w:right w:w="108" w:type="dxa"/>
        </w:tblCellMar>
      </w:tblPr>
      <w:tblGrid>
        <w:gridCol w:w="2572"/>
        <w:gridCol w:w="1017"/>
        <w:gridCol w:w="4086"/>
      </w:tblGrid>
      <w:tr>
        <w:tblPrEx>
          <w:tblCellMar>
            <w:top w:w="0" w:type="dxa"/>
            <w:left w:w="108" w:type="dxa"/>
            <w:bottom w:w="0" w:type="dxa"/>
            <w:right w:w="108" w:type="dxa"/>
          </w:tblCellMar>
        </w:tblPrEx>
        <w:trPr>
          <w:trHeight w:val="270" w:hRule="atLeast"/>
        </w:trPr>
        <w:tc>
          <w:tcPr>
            <w:tcW w:w="2572" w:type="dxa"/>
            <w:shd w:val="clear" w:color="auto" w:fill="auto"/>
            <w:vAlign w:val="center"/>
          </w:tcPr>
          <w:p>
            <w:pPr>
              <w:pStyle w:val="290"/>
              <w:rPr>
                <w:color w:val="000000" w:themeColor="text1"/>
                <w14:textFill>
                  <w14:solidFill>
                    <w14:schemeClr w14:val="tx1"/>
                  </w14:solidFill>
                </w14:textFill>
              </w:rPr>
            </w:pPr>
            <w:r>
              <w:rPr>
                <w:rFonts w:hint="eastAsia"/>
                <w:color w:val="000000" w:themeColor="text1"/>
                <w14:textFill>
                  <w14:solidFill>
                    <w14:schemeClr w14:val="tx1"/>
                  </w14:solidFill>
                </w14:textFill>
              </w:rPr>
              <w:t>图纸名称</w:t>
            </w:r>
          </w:p>
        </w:tc>
        <w:tc>
          <w:tcPr>
            <w:tcW w:w="5103" w:type="dxa"/>
            <w:gridSpan w:val="2"/>
            <w:shd w:val="clear" w:color="auto" w:fill="auto"/>
            <w:vAlign w:val="center"/>
          </w:tcPr>
          <w:p>
            <w:pPr>
              <w:pStyle w:val="290"/>
              <w:rPr>
                <w:color w:val="000000" w:themeColor="text1"/>
                <w14:textFill>
                  <w14:solidFill>
                    <w14:schemeClr w14:val="tx1"/>
                  </w14:solidFill>
                </w14:textFill>
              </w:rPr>
            </w:pPr>
            <w:r>
              <w:rPr>
                <w:rFonts w:hint="eastAsia"/>
                <w:color w:val="000000" w:themeColor="text1"/>
                <w14:textFill>
                  <w14:solidFill>
                    <w14:schemeClr w14:val="tx1"/>
                  </w14:solidFill>
                </w14:textFill>
              </w:rPr>
              <w:t>图纸编号</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机房铁架安装方法示意图（无斜撑）</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w:t>
            </w:r>
            <w:r>
              <w:rPr>
                <w:rFonts w:hint="eastAsia"/>
                <w:color w:val="000000" w:themeColor="text1"/>
                <w14:textFill>
                  <w14:solidFill>
                    <w14:schemeClr w14:val="tx1"/>
                  </w14:solidFill>
                </w14:textFill>
              </w:rPr>
              <w:t>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机房铁架安装方法示意图（有斜撑）</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机房走线架安装平面示意图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连固铁与承重墙加固示意图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旁侧撑铁与柱加固示意图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旁侧撑铁与柱或承重墙用膨胀螺栓加固示意图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电缆走线架与承重墙加固示意图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电缆走线架吊挂加固示意图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2019YBCT0368-001-KZJGTYT-08</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电缆走线架穿墙洞加固示意图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2019YBCT0368-001-KZJGTYT-09</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立柱与楼板加固示意图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2019YBCT0368-001-KZJGTYT-10</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立柱与上梁、旁侧撑铁加固示意图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连固铁与柱加固示意图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连固铁与顶柱机列加固示意图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主走线架与墙加固示意图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⑴⑵⑶⑷节点图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⑸⑹节点图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⑺⑻节点图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⑼⑽⑾⑿节点图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2019YBCT0368-001-KZJGTYT-18</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⒀⒁节点图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2019YBCT0368-001-KZJGTYT-19</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⒂⒃⒄节点图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2019YBCT0368-001-KZJGTYT-20</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机架与上梁加固示意图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机架与上梁、列间撑铁与上梁加固示意图（一）</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机架与上梁、列间撑铁与上梁加固示意图（二）</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抗震夹板、加固小角钢加工图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机架与单上梁槽道、机架与双上梁槽道加固示意图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机架延伸架与上梁加固示意图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架式设备安装方式（一）</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架式设备安装方式（二）</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2019YBCT0368-001-KZJGTYT-28</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架式设备顶部连接加固示意图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2019YBCT0368-001-KZJGTYT-29</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架式设备底部连接加固示意图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2019YBCT0368-001-KZJGTYT-30</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带抗震底部设备的底部连接加固示意图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2019YBCT0368-001-KZJGTYT-31</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抗震底座Ⅰ结构图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2019YBCT0368-001-KZJGTYT-32</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抗震底座Ⅱ结构图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2019YBCT0368-001-KZJGTYT-33</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抗震底座Ⅱ加工图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2019YBCT0368-001-KZJGTYT-34</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自立式设备底部连接加固示意图（一）</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2019YBCT0368-001-KZJGTYT-35</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自立式设备底部连接加固示意图（二）</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2019YBCT0368-001-KZJGTYT-36</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自立式设备底部连接加固示意图（三）</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2019YBCT0368-001-KZJGTYT-37</w:t>
            </w:r>
          </w:p>
        </w:tc>
      </w:tr>
      <w:tr>
        <w:tblPrEx>
          <w:tblCellMar>
            <w:top w:w="0" w:type="dxa"/>
            <w:left w:w="108" w:type="dxa"/>
            <w:bottom w:w="0" w:type="dxa"/>
            <w:right w:w="108" w:type="dxa"/>
          </w:tblCellMar>
        </w:tblPrEx>
        <w:trPr>
          <w:trHeight w:val="270" w:hRule="atLeast"/>
        </w:trPr>
        <w:tc>
          <w:tcPr>
            <w:tcW w:w="3589" w:type="dxa"/>
            <w:gridSpan w:val="2"/>
            <w:shd w:val="clear" w:color="auto" w:fill="auto"/>
            <w:vAlign w:val="center"/>
          </w:tcPr>
          <w:p>
            <w:pPr>
              <w:pStyle w:val="29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馈线安装加固示意图</w:t>
            </w:r>
          </w:p>
        </w:tc>
        <w:tc>
          <w:tcPr>
            <w:tcW w:w="4086" w:type="dxa"/>
            <w:shd w:val="clear" w:color="auto" w:fill="auto"/>
            <w:vAlign w:val="center"/>
          </w:tcPr>
          <w:p>
            <w:pPr>
              <w:pStyle w:val="290"/>
              <w:jc w:val="right"/>
              <w:rPr>
                <w:color w:val="000000" w:themeColor="text1"/>
                <w14:textFill>
                  <w14:solidFill>
                    <w14:schemeClr w14:val="tx1"/>
                  </w14:solidFill>
                </w14:textFill>
              </w:rPr>
            </w:pPr>
            <w:r>
              <w:rPr>
                <w:color w:val="000000" w:themeColor="text1"/>
                <w14:textFill>
                  <w14:solidFill>
                    <w14:schemeClr w14:val="tx1"/>
                  </w14:solidFill>
                </w14:textFill>
              </w:rPr>
              <w:t>2019YBCT0368-001-KZJGTYT-38</w:t>
            </w:r>
          </w:p>
        </w:tc>
      </w:tr>
    </w:tbl>
    <w:p>
      <w:pPr>
        <w:pStyle w:val="568"/>
        <w:ind w:firstLine="480"/>
        <w:rPr>
          <w:rFonts w:ascii="Times New Roman"/>
          <w:color w:val="000000"/>
        </w:rPr>
      </w:pPr>
    </w:p>
    <w:p>
      <w:pPr>
        <w:pStyle w:val="568"/>
        <w:ind w:firstLine="0" w:firstLineChars="0"/>
        <w:rPr>
          <w:rFonts w:ascii="Times New Roman"/>
          <w:color w:val="000000"/>
        </w:rPr>
      </w:pPr>
    </w:p>
    <w:sectPr>
      <w:headerReference r:id="rId14" w:type="default"/>
      <w:footerReference r:id="rId1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Sim Sun">
    <w:altName w:val="方正舒体"/>
    <w:panose1 w:val="00000000000000000000"/>
    <w:charset w:val="86"/>
    <w:family w:val="auto"/>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swiss"/>
    <w:pitch w:val="default"/>
    <w:sig w:usb0="FFFFFFFF" w:usb1="E9FFFFFF" w:usb2="0000003F" w:usb3="00000000" w:csb0="603F01FF" w:csb1="FFFF0000"/>
  </w:font>
  <w:font w:name="Verdana">
    <w:panose1 w:val="020B0604030504040204"/>
    <w:charset w:val="00"/>
    <w:family w:val="swiss"/>
    <w:pitch w:val="default"/>
    <w:sig w:usb0="A00006FF" w:usb1="4000205B" w:usb2="00000010" w:usb3="00000000" w:csb0="2000019F" w:csb1="00000000"/>
  </w:font>
  <w:font w:name="隶书">
    <w:panose1 w:val="02010509060101010101"/>
    <w:charset w:val="86"/>
    <w:family w:val="modern"/>
    <w:pitch w:val="default"/>
    <w:sig w:usb0="00000001" w:usb1="080E0000" w:usb2="00000000" w:usb3="00000000" w:csb0="00040000" w:csb1="00000000"/>
  </w:font>
  <w:font w:name="Mangal">
    <w:altName w:val="Segoe Print"/>
    <w:panose1 w:val="00000400000000000000"/>
    <w:charset w:val="01"/>
    <w:family w:val="roman"/>
    <w:pitch w:val="default"/>
    <w:sig w:usb0="00000000" w:usb1="00000000" w:usb2="00000000" w:usb3="00000000" w:csb0="00000000" w:csb1="00000000"/>
  </w:font>
  <w:font w:name="仿宋_GB2312">
    <w:altName w:val="仿宋"/>
    <w:panose1 w:val="02010609030101010101"/>
    <w:charset w:val="86"/>
    <w:family w:val="modern"/>
    <w:pitch w:val="default"/>
    <w:sig w:usb0="00000000" w:usb1="00000000" w:usb2="00000000" w:usb3="00000000" w:csb0="00040000" w:csb1="00000000"/>
  </w:font>
  <w:font w:name="Meiryo UI">
    <w:altName w:val="Yu Gothic UI"/>
    <w:panose1 w:val="020B0604030504040204"/>
    <w:charset w:val="80"/>
    <w:family w:val="swiss"/>
    <w:pitch w:val="default"/>
    <w:sig w:usb0="00000000" w:usb1="00000000" w:usb2="00010012" w:usb3="00000000" w:csb0="6002009F" w:csb1="DFD70000"/>
  </w:font>
  <w:font w:name="PMingLiU">
    <w:altName w:val="Microsoft JhengHei UI"/>
    <w:panose1 w:val="02010601000101010101"/>
    <w:charset w:val="88"/>
    <w:family w:val="auto"/>
    <w:pitch w:val="default"/>
    <w:sig w:usb0="00000000" w:usb1="00000000" w:usb2="00000010" w:usb3="00000000" w:csb0="00100000" w:csb1="00000000"/>
  </w:font>
  <w:font w:name="MS PGothic">
    <w:panose1 w:val="020B0600070205080204"/>
    <w:charset w:val="80"/>
    <w:family w:val="swiss"/>
    <w:pitch w:val="default"/>
    <w:sig w:usb0="E00002FF" w:usb1="6AC7FDFB" w:usb2="08000012" w:usb3="00000000" w:csb0="4002009F" w:csb1="DFD70000"/>
  </w:font>
  <w:font w:name="Arial Narrow">
    <w:altName w:val="Arial"/>
    <w:panose1 w:val="020B0606020202030204"/>
    <w:charset w:val="00"/>
    <w:family w:val="swiss"/>
    <w:pitch w:val="default"/>
    <w:sig w:usb0="00000000"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Batang">
    <w:altName w:val="Malgun Gothic"/>
    <w:panose1 w:val="02030600000101010101"/>
    <w:charset w:val="81"/>
    <w:family w:val="roman"/>
    <w:pitch w:val="default"/>
    <w:sig w:usb0="00000000" w:usb1="00000000" w:usb2="00000030" w:usb3="00000000" w:csb0="0008009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framePr w:wrap="around" w:vAnchor="text" w:hAnchor="margin" w:xAlign="right" w:y="1"/>
      <w:ind w:firstLine="360"/>
      <w:rPr>
        <w:rStyle w:val="69"/>
      </w:rPr>
    </w:pPr>
  </w:p>
  <w:p>
    <w:pPr>
      <w:pStyle w:val="40"/>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framePr w:wrap="around" w:vAnchor="text" w:hAnchor="margin" w:xAlign="right" w:y="1"/>
      <w:ind w:firstLine="360"/>
      <w:rPr>
        <w:rStyle w:val="69"/>
      </w:rPr>
    </w:pPr>
  </w:p>
  <w:p>
    <w:pPr>
      <w:pStyle w:val="40"/>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p>
    <w:pPr>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firstLine="360"/>
      <w:jc w:val="center"/>
      <w:rPr>
        <w:sz w:val="18"/>
        <w:szCs w:val="18"/>
      </w:rPr>
    </w:pPr>
    <w:r>
      <w:rPr>
        <w:rStyle w:val="69"/>
        <w:sz w:val="18"/>
        <w:szCs w:val="18"/>
      </w:rPr>
      <w:fldChar w:fldCharType="begin"/>
    </w:r>
    <w:r>
      <w:rPr>
        <w:rStyle w:val="69"/>
        <w:sz w:val="18"/>
        <w:szCs w:val="18"/>
      </w:rPr>
      <w:instrText xml:space="preserve"> PAGE </w:instrText>
    </w:r>
    <w:r>
      <w:rPr>
        <w:rStyle w:val="69"/>
        <w:sz w:val="18"/>
        <w:szCs w:val="18"/>
      </w:rPr>
      <w:fldChar w:fldCharType="separate"/>
    </w:r>
    <w:r>
      <w:rPr>
        <w:rStyle w:val="69"/>
        <w:sz w:val="18"/>
        <w:szCs w:val="18"/>
      </w:rPr>
      <w:t>5</w:t>
    </w:r>
    <w:r>
      <w:rPr>
        <w:rStyle w:val="69"/>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firstLine="360"/>
      <w:jc w:val="center"/>
      <w:rPr>
        <w:sz w:val="18"/>
        <w:szCs w:val="18"/>
      </w:rPr>
    </w:pPr>
    <w:r>
      <w:rPr>
        <w:rStyle w:val="69"/>
        <w:sz w:val="18"/>
        <w:szCs w:val="18"/>
      </w:rPr>
      <w:fldChar w:fldCharType="begin"/>
    </w:r>
    <w:r>
      <w:rPr>
        <w:rStyle w:val="69"/>
        <w:sz w:val="18"/>
        <w:szCs w:val="18"/>
      </w:rPr>
      <w:instrText xml:space="preserve"> PAGE </w:instrText>
    </w:r>
    <w:r>
      <w:rPr>
        <w:rStyle w:val="69"/>
        <w:sz w:val="18"/>
        <w:szCs w:val="18"/>
      </w:rPr>
      <w:fldChar w:fldCharType="separate"/>
    </w:r>
    <w:r>
      <w:rPr>
        <w:rStyle w:val="69"/>
        <w:sz w:val="18"/>
        <w:szCs w:val="18"/>
      </w:rPr>
      <w:t>11</w:t>
    </w:r>
    <w:r>
      <w:rPr>
        <w:rStyle w:val="69"/>
        <w:sz w:val="18"/>
        <w:szCs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pBdr>
        <w:bottom w:val="single" w:color="auto" w:sz="4" w:space="1"/>
      </w:pBdr>
      <w:tabs>
        <w:tab w:val="left" w:pos="3630"/>
      </w:tabs>
      <w:ind w:firstLine="360"/>
      <w:rPr>
        <w:rFonts w:cs="Arial" w:asciiTheme="minorEastAsia" w:hAnsiTheme="minorEastAsia" w:eastAsiaTheme="minorEastAsia"/>
      </w:rPr>
    </w:pPr>
    <w:r>
      <w:rPr>
        <w:rFonts w:hint="eastAsia"/>
      </w:rPr>
      <w:t>中国移动江苏公司2019年无锡地区5G一期（预商用）无线主设备工程第一册 第一分册</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1"/>
      <w:pBdr>
        <w:bottom w:val="single" w:color="auto" w:sz="4" w:space="1"/>
      </w:pBdr>
      <w:tabs>
        <w:tab w:val="left" w:pos="3630"/>
      </w:tabs>
      <w:wordWrap w:val="0"/>
      <w:ind w:firstLine="360"/>
      <w:jc w:val="right"/>
      <w:rPr>
        <w:rFonts w:ascii="宋体" w:hAnsi="宋体"/>
      </w:rPr>
    </w:pPr>
    <w:r>
      <w:rPr>
        <w:rFonts w:hint="eastAsia"/>
      </w:rPr>
      <w:t xml:space="preserve">中国移动江苏公司2019年无锡地区5G一期二阶段无线主设备工程 第一分册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E3DF30"/>
    <w:multiLevelType w:val="singleLevel"/>
    <w:tmpl w:val="C8E3DF30"/>
    <w:lvl w:ilvl="0" w:tentative="0">
      <w:start w:val="1"/>
      <w:numFmt w:val="decimal"/>
      <w:suff w:val="nothing"/>
      <w:lvlText w:val="（%1）"/>
      <w:lvlJc w:val="left"/>
    </w:lvl>
  </w:abstractNum>
  <w:abstractNum w:abstractNumId="1">
    <w:nsid w:val="FFFFFF7C"/>
    <w:multiLevelType w:val="singleLevel"/>
    <w:tmpl w:val="FFFFFF7C"/>
    <w:lvl w:ilvl="0" w:tentative="0">
      <w:start w:val="1"/>
      <w:numFmt w:val="decimal"/>
      <w:pStyle w:val="45"/>
      <w:lvlText w:val="%1."/>
      <w:lvlJc w:val="left"/>
      <w:pPr>
        <w:tabs>
          <w:tab w:val="left" w:pos="2040"/>
        </w:tabs>
        <w:ind w:left="2040" w:hanging="360"/>
      </w:pPr>
    </w:lvl>
  </w:abstractNum>
  <w:abstractNum w:abstractNumId="2">
    <w:nsid w:val="FFFFFF7D"/>
    <w:multiLevelType w:val="singleLevel"/>
    <w:tmpl w:val="FFFFFF7D"/>
    <w:lvl w:ilvl="0" w:tentative="0">
      <w:start w:val="1"/>
      <w:numFmt w:val="decimal"/>
      <w:pStyle w:val="35"/>
      <w:lvlText w:val="%1."/>
      <w:lvlJc w:val="left"/>
      <w:pPr>
        <w:tabs>
          <w:tab w:val="left" w:pos="1620"/>
        </w:tabs>
        <w:ind w:left="1620" w:hanging="360"/>
      </w:pPr>
    </w:lvl>
  </w:abstractNum>
  <w:abstractNum w:abstractNumId="3">
    <w:nsid w:val="FFFFFF7E"/>
    <w:multiLevelType w:val="singleLevel"/>
    <w:tmpl w:val="FFFFFF7E"/>
    <w:lvl w:ilvl="0" w:tentative="0">
      <w:start w:val="1"/>
      <w:numFmt w:val="decimal"/>
      <w:pStyle w:val="27"/>
      <w:lvlText w:val="%1."/>
      <w:lvlJc w:val="left"/>
      <w:pPr>
        <w:tabs>
          <w:tab w:val="left" w:pos="1200"/>
        </w:tabs>
        <w:ind w:left="1200" w:hanging="360"/>
      </w:pPr>
    </w:lvl>
  </w:abstractNum>
  <w:abstractNum w:abstractNumId="4">
    <w:nsid w:val="FFFFFF80"/>
    <w:multiLevelType w:val="singleLevel"/>
    <w:tmpl w:val="FFFFFF80"/>
    <w:lvl w:ilvl="0" w:tentative="0">
      <w:start w:val="1"/>
      <w:numFmt w:val="bullet"/>
      <w:pStyle w:val="34"/>
      <w:lvlText w:val=""/>
      <w:lvlJc w:val="left"/>
      <w:pPr>
        <w:tabs>
          <w:tab w:val="left" w:pos="2040"/>
        </w:tabs>
        <w:ind w:left="2040" w:hanging="360"/>
      </w:pPr>
      <w:rPr>
        <w:rFonts w:hint="default" w:ascii="Wingdings" w:hAnsi="Wingdings"/>
      </w:rPr>
    </w:lvl>
  </w:abstractNum>
  <w:abstractNum w:abstractNumId="5">
    <w:nsid w:val="FFFFFF82"/>
    <w:multiLevelType w:val="singleLevel"/>
    <w:tmpl w:val="FFFFFF82"/>
    <w:lvl w:ilvl="0" w:tentative="0">
      <w:start w:val="1"/>
      <w:numFmt w:val="bullet"/>
      <w:pStyle w:val="24"/>
      <w:lvlText w:val=""/>
      <w:lvlJc w:val="left"/>
      <w:pPr>
        <w:tabs>
          <w:tab w:val="left" w:pos="1200"/>
        </w:tabs>
        <w:ind w:left="1200" w:hanging="360"/>
      </w:pPr>
      <w:rPr>
        <w:rFonts w:hint="default" w:ascii="Wingdings" w:hAnsi="Wingdings"/>
      </w:rPr>
    </w:lvl>
  </w:abstractNum>
  <w:abstractNum w:abstractNumId="6">
    <w:nsid w:val="FFFFFF83"/>
    <w:multiLevelType w:val="singleLevel"/>
    <w:tmpl w:val="FFFFFF83"/>
    <w:lvl w:ilvl="0" w:tentative="0">
      <w:start w:val="1"/>
      <w:numFmt w:val="bullet"/>
      <w:pStyle w:val="30"/>
      <w:lvlText w:val=""/>
      <w:lvlJc w:val="left"/>
      <w:pPr>
        <w:tabs>
          <w:tab w:val="left" w:pos="780"/>
        </w:tabs>
        <w:ind w:left="780" w:hanging="360"/>
      </w:pPr>
      <w:rPr>
        <w:rFonts w:hint="default" w:ascii="Wingdings" w:hAnsi="Wingdings"/>
      </w:rPr>
    </w:lvl>
  </w:abstractNum>
  <w:abstractNum w:abstractNumId="7">
    <w:nsid w:val="FFFFFF89"/>
    <w:multiLevelType w:val="singleLevel"/>
    <w:tmpl w:val="FFFFFF89"/>
    <w:lvl w:ilvl="0" w:tentative="0">
      <w:start w:val="1"/>
      <w:numFmt w:val="bullet"/>
      <w:pStyle w:val="19"/>
      <w:lvlText w:val=""/>
      <w:lvlJc w:val="left"/>
      <w:pPr>
        <w:tabs>
          <w:tab w:val="left" w:pos="360"/>
        </w:tabs>
        <w:ind w:left="360" w:hanging="360"/>
      </w:pPr>
      <w:rPr>
        <w:rFonts w:hint="default" w:ascii="Wingdings" w:hAnsi="Wingdings"/>
      </w:rPr>
    </w:lvl>
  </w:abstractNum>
  <w:abstractNum w:abstractNumId="8">
    <w:nsid w:val="00000004"/>
    <w:multiLevelType w:val="multilevel"/>
    <w:tmpl w:val="00000004"/>
    <w:lvl w:ilvl="0" w:tentative="0">
      <w:start w:val="1"/>
      <w:numFmt w:val="decimal"/>
      <w:pStyle w:val="292"/>
      <w:lvlText w:val="（%1）"/>
      <w:lvlJc w:val="left"/>
      <w:pPr>
        <w:tabs>
          <w:tab w:val="left" w:pos="1200"/>
        </w:tabs>
        <w:ind w:left="1200" w:hanging="72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D64204"/>
    <w:multiLevelType w:val="multilevel"/>
    <w:tmpl w:val="00D64204"/>
    <w:lvl w:ilvl="0" w:tentative="0">
      <w:start w:val="1"/>
      <w:numFmt w:val="decimal"/>
      <w:lvlText w:val="附录%1."/>
      <w:lvlJc w:val="left"/>
      <w:pPr>
        <w:tabs>
          <w:tab w:val="left" w:pos="1930"/>
        </w:tabs>
        <w:ind w:left="850" w:firstLine="0"/>
      </w:pPr>
      <w:rPr>
        <w:rFonts w:hint="eastAsia"/>
      </w:rPr>
    </w:lvl>
    <w:lvl w:ilvl="1" w:tentative="0">
      <w:start w:val="1"/>
      <w:numFmt w:val="decimal"/>
      <w:lvlRestart w:val="0"/>
      <w:lvlText w:val="附录%1.%2."/>
      <w:lvlJc w:val="left"/>
      <w:pPr>
        <w:tabs>
          <w:tab w:val="left" w:pos="2781"/>
        </w:tabs>
        <w:ind w:left="1701" w:firstLine="0"/>
      </w:pPr>
      <w:rPr>
        <w:rFonts w:hint="eastAsia"/>
      </w:rPr>
    </w:lvl>
    <w:lvl w:ilvl="2" w:tentative="0">
      <w:start w:val="1"/>
      <w:numFmt w:val="decimal"/>
      <w:pStyle w:val="132"/>
      <w:lvlText w:val="附录%1.%2.%3."/>
      <w:lvlJc w:val="left"/>
      <w:pPr>
        <w:tabs>
          <w:tab w:val="left" w:pos="3991"/>
        </w:tabs>
        <w:ind w:left="2551" w:firstLine="0"/>
      </w:pPr>
      <w:rPr>
        <w:rFonts w:hint="eastAsia"/>
      </w:rPr>
    </w:lvl>
    <w:lvl w:ilvl="3" w:tentative="0">
      <w:start w:val="1"/>
      <w:numFmt w:val="decimal"/>
      <w:lvlText w:val="附录%1.%2.%3.%4"/>
      <w:lvlJc w:val="left"/>
      <w:pPr>
        <w:tabs>
          <w:tab w:val="left" w:pos="4481"/>
        </w:tabs>
        <w:ind w:left="3401" w:firstLine="0"/>
      </w:pPr>
      <w:rPr>
        <w:rFonts w:hint="eastAsia"/>
      </w:rPr>
    </w:lvl>
    <w:lvl w:ilvl="4" w:tentative="0">
      <w:start w:val="1"/>
      <w:numFmt w:val="decimal"/>
      <w:lvlText w:val="(%5)"/>
      <w:lvlJc w:val="left"/>
      <w:pPr>
        <w:tabs>
          <w:tab w:val="left" w:pos="4677"/>
        </w:tabs>
        <w:ind w:left="4252" w:firstLine="0"/>
      </w:pPr>
      <w:rPr>
        <w:rFonts w:hint="eastAsia"/>
      </w:rPr>
    </w:lvl>
    <w:lvl w:ilvl="5" w:tentative="0">
      <w:start w:val="1"/>
      <w:numFmt w:val="lowerLetter"/>
      <w:lvlText w:val="(%6)"/>
      <w:lvlJc w:val="left"/>
      <w:pPr>
        <w:tabs>
          <w:tab w:val="left" w:pos="5527"/>
        </w:tabs>
        <w:ind w:left="5102" w:firstLine="0"/>
      </w:pPr>
      <w:rPr>
        <w:rFonts w:hint="eastAsia"/>
      </w:rPr>
    </w:lvl>
    <w:lvl w:ilvl="6" w:tentative="0">
      <w:start w:val="1"/>
      <w:numFmt w:val="lowerRoman"/>
      <w:lvlText w:val="(%7)"/>
      <w:lvlJc w:val="left"/>
      <w:pPr>
        <w:tabs>
          <w:tab w:val="left" w:pos="6378"/>
        </w:tabs>
        <w:ind w:left="5952" w:firstLine="0"/>
      </w:pPr>
      <w:rPr>
        <w:rFonts w:hint="eastAsia"/>
      </w:rPr>
    </w:lvl>
    <w:lvl w:ilvl="7" w:tentative="0">
      <w:start w:val="1"/>
      <w:numFmt w:val="lowerLetter"/>
      <w:lvlText w:val="(%8)"/>
      <w:lvlJc w:val="left"/>
      <w:pPr>
        <w:tabs>
          <w:tab w:val="left" w:pos="7228"/>
        </w:tabs>
        <w:ind w:left="6803" w:firstLine="0"/>
      </w:pPr>
      <w:rPr>
        <w:rFonts w:hint="eastAsia"/>
      </w:rPr>
    </w:lvl>
    <w:lvl w:ilvl="8" w:tentative="0">
      <w:start w:val="1"/>
      <w:numFmt w:val="lowerRoman"/>
      <w:lvlText w:val="(%9)"/>
      <w:lvlJc w:val="left"/>
      <w:pPr>
        <w:tabs>
          <w:tab w:val="left" w:pos="8078"/>
        </w:tabs>
        <w:ind w:left="7653" w:firstLine="0"/>
      </w:pPr>
      <w:rPr>
        <w:rFonts w:hint="eastAsia"/>
      </w:rPr>
    </w:lvl>
  </w:abstractNum>
  <w:abstractNum w:abstractNumId="10">
    <w:nsid w:val="015719A2"/>
    <w:multiLevelType w:val="multilevel"/>
    <w:tmpl w:val="015719A2"/>
    <w:lvl w:ilvl="0" w:tentative="0">
      <w:start w:val="1"/>
      <w:numFmt w:val="decimal"/>
      <w:pStyle w:val="11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78D53C6"/>
    <w:multiLevelType w:val="multilevel"/>
    <w:tmpl w:val="078D53C6"/>
    <w:lvl w:ilvl="0" w:tentative="0">
      <w:start w:val="1"/>
      <w:numFmt w:val="decimalEnclosedCircle"/>
      <w:lvlText w:val="%1"/>
      <w:lvlJc w:val="left"/>
      <w:pPr>
        <w:tabs>
          <w:tab w:val="left" w:pos="0"/>
        </w:tabs>
        <w:ind w:left="0" w:firstLine="567"/>
      </w:pPr>
      <w:rPr>
        <w:rFonts w:hint="eastAsia" w:eastAsia="宋体"/>
        <w:sz w:val="24"/>
        <w:szCs w:val="24"/>
      </w:rPr>
    </w:lvl>
    <w:lvl w:ilvl="1" w:tentative="0">
      <w:start w:val="1"/>
      <w:numFmt w:val="lowerLetter"/>
      <w:pStyle w:val="314"/>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80B3FDA"/>
    <w:multiLevelType w:val="multilevel"/>
    <w:tmpl w:val="080B3FDA"/>
    <w:lvl w:ilvl="0" w:tentative="0">
      <w:start w:val="1"/>
      <w:numFmt w:val="decimal"/>
      <w:suff w:val="nothing"/>
      <w:lvlText w:val="%1 "/>
      <w:lvlJc w:val="left"/>
      <w:pPr>
        <w:ind w:left="900" w:firstLine="0"/>
      </w:pPr>
      <w:rPr>
        <w:rFonts w:hint="eastAsia" w:ascii="宋体" w:hAnsi="宋体" w:eastAsia="宋体"/>
        <w:sz w:val="24"/>
        <w:szCs w:val="24"/>
        <w:lang w:val="en-US"/>
      </w:rPr>
    </w:lvl>
    <w:lvl w:ilvl="1" w:tentative="0">
      <w:start w:val="1"/>
      <w:numFmt w:val="decimal"/>
      <w:suff w:val="nothing"/>
      <w:lvlText w:val="%1.%2 "/>
      <w:lvlJc w:val="left"/>
      <w:pPr>
        <w:ind w:left="0" w:firstLine="0"/>
      </w:pPr>
      <w:rPr>
        <w:rFonts w:hint="eastAsia" w:ascii="宋体" w:hAnsi="宋体" w:eastAsia="宋体"/>
        <w:lang w:val="en-US"/>
      </w:rPr>
    </w:lvl>
    <w:lvl w:ilvl="2" w:tentative="0">
      <w:start w:val="1"/>
      <w:numFmt w:val="decimal"/>
      <w:isLgl/>
      <w:suff w:val="nothing"/>
      <w:lvlText w:val="%1.6.%3 "/>
      <w:lvlJc w:val="left"/>
      <w:pPr>
        <w:ind w:left="0" w:firstLine="0"/>
      </w:pPr>
      <w:rPr>
        <w:rFonts w:hint="eastAsia" w:ascii="宋体" w:hAnsi="宋体" w:eastAsia="宋体"/>
        <w:lang w:val="en-US" w:eastAsia="zh-CN"/>
      </w:rPr>
    </w:lvl>
    <w:lvl w:ilvl="3" w:tentative="0">
      <w:start w:val="1"/>
      <w:numFmt w:val="decimal"/>
      <w:suff w:val="nothing"/>
      <w:lvlText w:val="%1.%2.%3.%4 "/>
      <w:lvlJc w:val="left"/>
      <w:pPr>
        <w:ind w:left="0" w:firstLine="0"/>
      </w:pPr>
      <w:rPr>
        <w:rFonts w:hint="eastAsia" w:ascii="宋体" w:hAnsi="宋体" w:eastAsia="宋体"/>
      </w:rPr>
    </w:lvl>
    <w:lvl w:ilvl="4" w:tentative="0">
      <w:start w:val="1"/>
      <w:numFmt w:val="decimal"/>
      <w:suff w:val="nothing"/>
      <w:lvlText w:val="  （%5） "/>
      <w:lvlJc w:val="left"/>
      <w:pPr>
        <w:ind w:left="0" w:firstLine="0"/>
      </w:pPr>
      <w:rPr>
        <w:rFonts w:hint="eastAsia"/>
      </w:rPr>
    </w:lvl>
    <w:lvl w:ilvl="5" w:tentative="0">
      <w:start w:val="1"/>
      <w:numFmt w:val="decimalEnclosedCircle"/>
      <w:suff w:val="nothing"/>
      <w:lvlText w:val="   %6 "/>
      <w:lvlJc w:val="left"/>
      <w:pPr>
        <w:ind w:left="0" w:firstLine="0"/>
      </w:pPr>
      <w:rPr>
        <w:rFonts w:hint="eastAsia"/>
      </w:rPr>
    </w:lvl>
    <w:lvl w:ilvl="6" w:tentative="0">
      <w:start w:val="1"/>
      <w:numFmt w:val="none"/>
      <w:pStyle w:val="9"/>
      <w:suff w:val="nothing"/>
      <w:lvlText w:val=""/>
      <w:lvlJc w:val="left"/>
      <w:pPr>
        <w:ind w:left="0" w:firstLine="0"/>
      </w:pPr>
      <w:rPr>
        <w:rFonts w:hint="eastAsia"/>
      </w:rPr>
    </w:lvl>
    <w:lvl w:ilvl="7" w:tentative="0">
      <w:start w:val="1"/>
      <w:numFmt w:val="none"/>
      <w:pStyle w:val="10"/>
      <w:suff w:val="nothing"/>
      <w:lvlText w:val=""/>
      <w:lvlJc w:val="left"/>
      <w:pPr>
        <w:ind w:left="0" w:firstLine="0"/>
      </w:pPr>
      <w:rPr>
        <w:rFonts w:hint="eastAsia"/>
      </w:rPr>
    </w:lvl>
    <w:lvl w:ilvl="8" w:tentative="0">
      <w:start w:val="1"/>
      <w:numFmt w:val="none"/>
      <w:pStyle w:val="11"/>
      <w:suff w:val="nothing"/>
      <w:lvlText w:val=""/>
      <w:lvlJc w:val="left"/>
      <w:pPr>
        <w:ind w:left="0" w:firstLine="0"/>
      </w:pPr>
      <w:rPr>
        <w:rFonts w:hint="eastAsia"/>
      </w:rPr>
    </w:lvl>
  </w:abstractNum>
  <w:abstractNum w:abstractNumId="13">
    <w:nsid w:val="089D2E1B"/>
    <w:multiLevelType w:val="multilevel"/>
    <w:tmpl w:val="089D2E1B"/>
    <w:lvl w:ilvl="0" w:tentative="0">
      <w:start w:val="1"/>
      <w:numFmt w:val="lowerLetter"/>
      <w:pStyle w:val="524"/>
      <w:lvlText w:val="%1."/>
      <w:lvlJc w:val="left"/>
      <w:pPr>
        <w:tabs>
          <w:tab w:val="left" w:pos="360"/>
        </w:tabs>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4">
    <w:nsid w:val="098D270F"/>
    <w:multiLevelType w:val="multilevel"/>
    <w:tmpl w:val="098D270F"/>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0A7963BA"/>
    <w:multiLevelType w:val="multilevel"/>
    <w:tmpl w:val="0A7963BA"/>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0DB63E1C"/>
    <w:multiLevelType w:val="multilevel"/>
    <w:tmpl w:val="0DB63E1C"/>
    <w:lvl w:ilvl="0" w:tentative="0">
      <w:start w:val="1"/>
      <w:numFmt w:val="decimal"/>
      <w:pStyle w:val="223"/>
      <w:lvlText w:val="(%1)"/>
      <w:lvlJc w:val="left"/>
      <w:pPr>
        <w:tabs>
          <w:tab w:val="left" w:pos="0"/>
        </w:tabs>
        <w:ind w:left="0" w:firstLine="403"/>
      </w:pPr>
      <w:rPr>
        <w:rFonts w:hint="default" w:ascii="Times New Roman" w:hAnsi="Times New Roman" w:eastAsia="宋体"/>
        <w:b w:val="0"/>
        <w:i w:val="0"/>
        <w:color w:val="auto"/>
        <w:sz w:val="24"/>
        <w:szCs w:val="24"/>
        <w:lang w:eastAsia="zh-C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10E97F0F"/>
    <w:multiLevelType w:val="multilevel"/>
    <w:tmpl w:val="10E97F0F"/>
    <w:lvl w:ilvl="0" w:tentative="0">
      <w:start w:val="1"/>
      <w:numFmt w:val="decimal"/>
      <w:lvlText w:val="（%1）"/>
      <w:lvlJc w:val="left"/>
      <w:pPr>
        <w:ind w:left="900" w:hanging="420"/>
      </w:pPr>
      <w:rPr>
        <w:rFonts w:hint="default" w:cs="Arial"/>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14C6350F"/>
    <w:multiLevelType w:val="multilevel"/>
    <w:tmpl w:val="14C6350F"/>
    <w:lvl w:ilvl="0" w:tentative="0">
      <w:start w:val="1"/>
      <w:numFmt w:val="lowerLetter"/>
      <w:pStyle w:val="438"/>
      <w:lvlText w:val="%1)"/>
      <w:lvlJc w:val="left"/>
      <w:pPr>
        <w:tabs>
          <w:tab w:val="left" w:pos="0"/>
        </w:tabs>
        <w:ind w:left="397" w:hanging="397"/>
      </w:pPr>
      <w:rPr>
        <w:rFonts w:hint="eastAsia"/>
        <w:lang w:val="en-US"/>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18094EEB"/>
    <w:multiLevelType w:val="multilevel"/>
    <w:tmpl w:val="18094EEB"/>
    <w:lvl w:ilvl="0" w:tentative="0">
      <w:start w:val="1"/>
      <w:numFmt w:val="decimal"/>
      <w:pStyle w:val="594"/>
      <w:lvlText w:val="%1"/>
      <w:legacy w:legacy="1" w:legacySpace="0" w:legacyIndent="360"/>
      <w:lvlJc w:val="left"/>
      <w:pPr>
        <w:ind w:left="360" w:hanging="360"/>
      </w:pPr>
      <w:rPr>
        <w:rFonts w:hint="default" w:ascii="Times New Roman" w:hAnsi="Times New Roman"/>
      </w:rPr>
    </w:lvl>
    <w:lvl w:ilvl="1" w:tentative="0">
      <w:start w:val="1"/>
      <w:numFmt w:val="decimal"/>
      <w:lvlText w:val="%1.%2"/>
      <w:legacy w:legacy="1" w:legacySpace="0" w:legacyIndent="360"/>
      <w:lvlJc w:val="left"/>
      <w:pPr>
        <w:ind w:left="720" w:hanging="360"/>
      </w:pPr>
      <w:rPr>
        <w:rFonts w:hint="default" w:ascii="Times New Roman" w:hAnsi="Times New Roman"/>
      </w:rPr>
    </w:lvl>
    <w:lvl w:ilvl="2" w:tentative="0">
      <w:start w:val="1"/>
      <w:numFmt w:val="decimal"/>
      <w:lvlText w:val="%1.%2.%3"/>
      <w:legacy w:legacy="1" w:legacySpace="0" w:legacyIndent="360"/>
      <w:lvlJc w:val="left"/>
      <w:pPr>
        <w:ind w:left="1080" w:hanging="360"/>
      </w:pPr>
      <w:rPr>
        <w:rFonts w:hint="default" w:ascii="Times New Roman" w:hAnsi="Times New Roman"/>
      </w:rPr>
    </w:lvl>
    <w:lvl w:ilvl="3" w:tentative="0">
      <w:start w:val="1"/>
      <w:numFmt w:val="decimal"/>
      <w:lvlText w:val="%1.%2.%3.%4"/>
      <w:legacy w:legacy="1" w:legacySpace="0" w:legacyIndent="360"/>
      <w:lvlJc w:val="left"/>
      <w:pPr>
        <w:ind w:left="1440" w:hanging="360"/>
      </w:pPr>
      <w:rPr>
        <w:rFonts w:hint="default" w:ascii="Times New Roman" w:hAnsi="Times New Roman"/>
      </w:rPr>
    </w:lvl>
    <w:lvl w:ilvl="4" w:tentative="0">
      <w:start w:val="1"/>
      <w:numFmt w:val="decimal"/>
      <w:lvlText w:val="%1.%2.%3.%4%5."/>
      <w:legacy w:legacy="1" w:legacySpace="0" w:legacyIndent="360"/>
      <w:lvlJc w:val="left"/>
      <w:pPr>
        <w:ind w:left="1800" w:hanging="360"/>
      </w:pPr>
      <w:rPr>
        <w:rFonts w:hint="default" w:ascii="Times New Roman" w:hAnsi="Times New Roman"/>
      </w:rPr>
    </w:lvl>
    <w:lvl w:ilvl="5" w:tentative="0">
      <w:start w:val="1"/>
      <w:numFmt w:val="decimal"/>
      <w:lvlText w:val="%1.%2.%3.%4%5.%6."/>
      <w:legacy w:legacy="1" w:legacySpace="0" w:legacyIndent="360"/>
      <w:lvlJc w:val="left"/>
      <w:pPr>
        <w:ind w:left="2160" w:hanging="360"/>
      </w:pPr>
      <w:rPr>
        <w:rFonts w:hint="default" w:ascii="Times New Roman" w:hAnsi="Times New Roman"/>
      </w:rPr>
    </w:lvl>
    <w:lvl w:ilvl="6" w:tentative="0">
      <w:start w:val="1"/>
      <w:numFmt w:val="decimal"/>
      <w:lvlText w:val="%1.%2.%3.%4%5.%6.%7."/>
      <w:legacy w:legacy="1" w:legacySpace="0" w:legacyIndent="360"/>
      <w:lvlJc w:val="left"/>
      <w:pPr>
        <w:ind w:left="2520" w:hanging="360"/>
      </w:pPr>
      <w:rPr>
        <w:rFonts w:hint="default" w:ascii="Times New Roman" w:hAnsi="Times New Roman"/>
      </w:rPr>
    </w:lvl>
    <w:lvl w:ilvl="7" w:tentative="0">
      <w:start w:val="1"/>
      <w:numFmt w:val="decimal"/>
      <w:lvlText w:val="%1.%2.%3.%4%5.%6.%7.%8."/>
      <w:legacy w:legacy="1" w:legacySpace="0" w:legacyIndent="360"/>
      <w:lvlJc w:val="left"/>
      <w:pPr>
        <w:ind w:left="2880" w:hanging="360"/>
      </w:pPr>
      <w:rPr>
        <w:rFonts w:hint="default" w:ascii="Times New Roman" w:hAnsi="Times New Roman"/>
      </w:rPr>
    </w:lvl>
    <w:lvl w:ilvl="8" w:tentative="0">
      <w:start w:val="1"/>
      <w:numFmt w:val="decimal"/>
      <w:lvlText w:val="%1.%2.%3.%4%5.%6.%7.%8.%9."/>
      <w:legacy w:legacy="1" w:legacySpace="0" w:legacyIndent="360"/>
      <w:lvlJc w:val="left"/>
      <w:pPr>
        <w:ind w:left="3240" w:hanging="360"/>
      </w:pPr>
      <w:rPr>
        <w:rFonts w:hint="default" w:ascii="Times New Roman" w:hAnsi="Times New Roman"/>
      </w:rPr>
    </w:lvl>
  </w:abstractNum>
  <w:abstractNum w:abstractNumId="20">
    <w:nsid w:val="19047152"/>
    <w:multiLevelType w:val="multilevel"/>
    <w:tmpl w:val="19047152"/>
    <w:lvl w:ilvl="0" w:tentative="0">
      <w:start w:val="1"/>
      <w:numFmt w:val="decimalEnclosedCircle"/>
      <w:lvlText w:val="%1"/>
      <w:lvlJc w:val="left"/>
      <w:pPr>
        <w:ind w:left="900" w:hanging="420"/>
      </w:pPr>
      <w:rPr>
        <w:rFonts w:hint="eastAsia" w:eastAsia="宋体"/>
        <w:sz w:val="24"/>
        <w:szCs w:val="24"/>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19312ADC"/>
    <w:multiLevelType w:val="multilevel"/>
    <w:tmpl w:val="19312ADC"/>
    <w:lvl w:ilvl="0" w:tentative="0">
      <w:start w:val="1"/>
      <w:numFmt w:val="none"/>
      <w:suff w:val="nothing"/>
      <w:lvlText w:val="图1"/>
      <w:lvlJc w:val="left"/>
      <w:pPr>
        <w:ind w:left="0" w:firstLine="0"/>
      </w:pPr>
      <w:rPr>
        <w:rFonts w:hint="eastAsia"/>
      </w:rPr>
    </w:lvl>
    <w:lvl w:ilvl="1" w:tentative="0">
      <w:start w:val="1"/>
      <w:numFmt w:val="none"/>
      <w:lvlRestart w:val="0"/>
      <w:pStyle w:val="165"/>
      <w:lvlText w:val="表32"/>
      <w:lvlJc w:val="left"/>
      <w:pPr>
        <w:tabs>
          <w:tab w:val="left" w:pos="1418"/>
        </w:tabs>
        <w:ind w:left="1418" w:hanging="1418"/>
      </w:pPr>
      <w:rPr>
        <w:rFonts w:hint="eastAsia"/>
      </w:rPr>
    </w:lvl>
    <w:lvl w:ilvl="2" w:tentative="0">
      <w:start w:val="1"/>
      <w:numFmt w:val="decimal"/>
      <w:suff w:val="nothing"/>
      <w:lvlText w:val="1.1.%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2">
    <w:nsid w:val="1B763EA8"/>
    <w:multiLevelType w:val="multilevel"/>
    <w:tmpl w:val="1B763EA8"/>
    <w:lvl w:ilvl="0" w:tentative="0">
      <w:start w:val="1"/>
      <w:numFmt w:val="bullet"/>
      <w:pStyle w:val="521"/>
      <w:lvlText w:val=""/>
      <w:lvlJc w:val="left"/>
      <w:pPr>
        <w:tabs>
          <w:tab w:val="left" w:pos="1667"/>
        </w:tabs>
        <w:ind w:left="1667" w:hanging="420"/>
      </w:pPr>
      <w:rPr>
        <w:rFonts w:hint="default" w:ascii="Symbol" w:hAnsi="Symbol"/>
      </w:rPr>
    </w:lvl>
    <w:lvl w:ilvl="1" w:tentative="0">
      <w:start w:val="1"/>
      <w:numFmt w:val="decimal"/>
      <w:lvlText w:val="%1.%2."/>
      <w:lvlJc w:val="left"/>
      <w:pPr>
        <w:tabs>
          <w:tab w:val="left" w:pos="497"/>
        </w:tabs>
        <w:ind w:left="497" w:hanging="432"/>
      </w:pPr>
      <w:rPr>
        <w:rFonts w:hint="eastAsia"/>
      </w:rPr>
    </w:lvl>
    <w:lvl w:ilvl="2" w:tentative="0">
      <w:start w:val="1"/>
      <w:numFmt w:val="decimal"/>
      <w:lvlText w:val="%1.%2.%3."/>
      <w:lvlJc w:val="left"/>
      <w:pPr>
        <w:tabs>
          <w:tab w:val="left" w:pos="929"/>
        </w:tabs>
        <w:ind w:left="929" w:hanging="504"/>
      </w:pPr>
      <w:rPr>
        <w:rFonts w:hint="eastAsia"/>
      </w:rPr>
    </w:lvl>
    <w:lvl w:ilvl="3" w:tentative="0">
      <w:start w:val="1"/>
      <w:numFmt w:val="decimal"/>
      <w:lvlText w:val="%1.%2.%3.%4."/>
      <w:lvlJc w:val="left"/>
      <w:pPr>
        <w:tabs>
          <w:tab w:val="left" w:pos="1433"/>
        </w:tabs>
        <w:ind w:left="1433" w:hanging="648"/>
      </w:pPr>
      <w:rPr>
        <w:rFonts w:hint="eastAsia"/>
      </w:rPr>
    </w:lvl>
    <w:lvl w:ilvl="4" w:tentative="0">
      <w:start w:val="1"/>
      <w:numFmt w:val="decimal"/>
      <w:lvlText w:val="%1.%2.%3.%4.%5."/>
      <w:lvlJc w:val="left"/>
      <w:pPr>
        <w:tabs>
          <w:tab w:val="left" w:pos="1937"/>
        </w:tabs>
        <w:ind w:left="1937" w:hanging="792"/>
      </w:pPr>
      <w:rPr>
        <w:rFonts w:hint="eastAsia"/>
      </w:rPr>
    </w:lvl>
    <w:lvl w:ilvl="5" w:tentative="0">
      <w:start w:val="1"/>
      <w:numFmt w:val="decimal"/>
      <w:lvlText w:val="%1.%2.%3.%4.%5.%6."/>
      <w:lvlJc w:val="left"/>
      <w:pPr>
        <w:tabs>
          <w:tab w:val="left" w:pos="2441"/>
        </w:tabs>
        <w:ind w:left="2441" w:hanging="936"/>
      </w:pPr>
      <w:rPr>
        <w:rFonts w:hint="eastAsia"/>
      </w:rPr>
    </w:lvl>
    <w:lvl w:ilvl="6" w:tentative="0">
      <w:start w:val="1"/>
      <w:numFmt w:val="decimal"/>
      <w:lvlText w:val="%1.%2.%3.%4.%5.%6.%7."/>
      <w:lvlJc w:val="left"/>
      <w:pPr>
        <w:tabs>
          <w:tab w:val="left" w:pos="2945"/>
        </w:tabs>
        <w:ind w:left="2945" w:hanging="1080"/>
      </w:pPr>
      <w:rPr>
        <w:rFonts w:hint="eastAsia"/>
      </w:rPr>
    </w:lvl>
    <w:lvl w:ilvl="7" w:tentative="0">
      <w:start w:val="1"/>
      <w:numFmt w:val="decimal"/>
      <w:lvlText w:val="%1.%2.%3.%4.%5.%6.%7.%8."/>
      <w:lvlJc w:val="left"/>
      <w:pPr>
        <w:tabs>
          <w:tab w:val="left" w:pos="3449"/>
        </w:tabs>
        <w:ind w:left="3449" w:hanging="1224"/>
      </w:pPr>
      <w:rPr>
        <w:rFonts w:hint="eastAsia"/>
      </w:rPr>
    </w:lvl>
    <w:lvl w:ilvl="8" w:tentative="0">
      <w:start w:val="1"/>
      <w:numFmt w:val="decimal"/>
      <w:lvlText w:val="%1.%2.%3.%4.%5.%6.%7.%8.%9."/>
      <w:lvlJc w:val="left"/>
      <w:pPr>
        <w:tabs>
          <w:tab w:val="left" w:pos="4025"/>
        </w:tabs>
        <w:ind w:left="4025" w:hanging="1440"/>
      </w:pPr>
      <w:rPr>
        <w:rFonts w:hint="eastAsia"/>
      </w:rPr>
    </w:lvl>
  </w:abstractNum>
  <w:abstractNum w:abstractNumId="23">
    <w:nsid w:val="1C214939"/>
    <w:multiLevelType w:val="multilevel"/>
    <w:tmpl w:val="1C214939"/>
    <w:lvl w:ilvl="0" w:tentative="0">
      <w:start w:val="1"/>
      <w:numFmt w:val="decimalEnclosedCircle"/>
      <w:lvlText w:val="%1"/>
      <w:lvlJc w:val="left"/>
      <w:pPr>
        <w:tabs>
          <w:tab w:val="left" w:pos="0"/>
        </w:tabs>
        <w:ind w:left="0" w:firstLine="567"/>
      </w:pPr>
      <w:rPr>
        <w:rFonts w:hint="eastAsia" w:eastAsia="宋体"/>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1D5755D3"/>
    <w:multiLevelType w:val="multilevel"/>
    <w:tmpl w:val="1D5755D3"/>
    <w:lvl w:ilvl="0" w:tentative="0">
      <w:start w:val="1"/>
      <w:numFmt w:val="bullet"/>
      <w:pStyle w:val="536"/>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5">
    <w:nsid w:val="25FD114A"/>
    <w:multiLevelType w:val="multilevel"/>
    <w:tmpl w:val="25FD114A"/>
    <w:lvl w:ilvl="0" w:tentative="0">
      <w:start w:val="1"/>
      <w:numFmt w:val="decimalEnclosedCircle"/>
      <w:lvlText w:val="%1"/>
      <w:lvlJc w:val="left"/>
      <w:pPr>
        <w:ind w:left="288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6EB2D5B"/>
    <w:multiLevelType w:val="multilevel"/>
    <w:tmpl w:val="26EB2D5B"/>
    <w:lvl w:ilvl="0" w:tentative="0">
      <w:start w:val="1"/>
      <w:numFmt w:val="chineseCountingThousand"/>
      <w:pStyle w:val="3"/>
      <w:suff w:val="spac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4"/>
      <w:numFmt w:val="decimal"/>
      <w:lvlText w:val="（%4）"/>
      <w:lvlJc w:val="left"/>
      <w:pPr>
        <w:ind w:left="1980" w:hanging="72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D3C08DF"/>
    <w:multiLevelType w:val="multilevel"/>
    <w:tmpl w:val="2D3C08DF"/>
    <w:lvl w:ilvl="0" w:tentative="0">
      <w:start w:val="1"/>
      <w:numFmt w:val="lowerLetter"/>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31B40A53"/>
    <w:multiLevelType w:val="multilevel"/>
    <w:tmpl w:val="31B40A53"/>
    <w:lvl w:ilvl="0" w:tentative="0">
      <w:start w:val="1"/>
      <w:numFmt w:val="decimal"/>
      <w:pStyle w:val="175"/>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33614ACF"/>
    <w:multiLevelType w:val="multilevel"/>
    <w:tmpl w:val="33614ACF"/>
    <w:lvl w:ilvl="0" w:tentative="0">
      <w:start w:val="1"/>
      <w:numFmt w:val="decimal"/>
      <w:pStyle w:val="305"/>
      <w:lvlText w:val="%1."/>
      <w:lvlJc w:val="left"/>
      <w:pPr>
        <w:tabs>
          <w:tab w:val="left" w:pos="1380"/>
        </w:tabs>
        <w:ind w:left="1380" w:hanging="420"/>
      </w:pPr>
    </w:lvl>
    <w:lvl w:ilvl="1" w:tentative="0">
      <w:start w:val="1"/>
      <w:numFmt w:val="decimal"/>
      <w:lvlText w:val="%2"/>
      <w:lvlJc w:val="left"/>
      <w:pPr>
        <w:tabs>
          <w:tab w:val="left" w:pos="1740"/>
        </w:tabs>
        <w:ind w:left="1740" w:hanging="360"/>
      </w:pPr>
      <w:rPr>
        <w:rFonts w:hint="default"/>
      </w:rPr>
    </w:lvl>
    <w:lvl w:ilvl="2" w:tentative="0">
      <w:start w:val="1"/>
      <w:numFmt w:val="lowerRoman"/>
      <w:lvlText w:val="%3."/>
      <w:lvlJc w:val="right"/>
      <w:pPr>
        <w:tabs>
          <w:tab w:val="left" w:pos="2220"/>
        </w:tabs>
        <w:ind w:left="2220" w:hanging="420"/>
      </w:pPr>
    </w:lvl>
    <w:lvl w:ilvl="3" w:tentative="0">
      <w:start w:val="1"/>
      <w:numFmt w:val="decimal"/>
      <w:lvlText w:val="%4."/>
      <w:lvlJc w:val="left"/>
      <w:pPr>
        <w:tabs>
          <w:tab w:val="left" w:pos="2640"/>
        </w:tabs>
        <w:ind w:left="2640" w:hanging="420"/>
      </w:pPr>
    </w:lvl>
    <w:lvl w:ilvl="4" w:tentative="0">
      <w:start w:val="1"/>
      <w:numFmt w:val="lowerLetter"/>
      <w:lvlText w:val="%5)"/>
      <w:lvlJc w:val="left"/>
      <w:pPr>
        <w:tabs>
          <w:tab w:val="left" w:pos="3060"/>
        </w:tabs>
        <w:ind w:left="3060" w:hanging="420"/>
      </w:pPr>
    </w:lvl>
    <w:lvl w:ilvl="5" w:tentative="0">
      <w:start w:val="1"/>
      <w:numFmt w:val="lowerRoman"/>
      <w:lvlText w:val="%6."/>
      <w:lvlJc w:val="right"/>
      <w:pPr>
        <w:tabs>
          <w:tab w:val="left" w:pos="3480"/>
        </w:tabs>
        <w:ind w:left="3480" w:hanging="420"/>
      </w:pPr>
    </w:lvl>
    <w:lvl w:ilvl="6" w:tentative="0">
      <w:start w:val="1"/>
      <w:numFmt w:val="decimal"/>
      <w:lvlText w:val="%7."/>
      <w:lvlJc w:val="left"/>
      <w:pPr>
        <w:tabs>
          <w:tab w:val="left" w:pos="3900"/>
        </w:tabs>
        <w:ind w:left="3900" w:hanging="420"/>
      </w:pPr>
    </w:lvl>
    <w:lvl w:ilvl="7" w:tentative="0">
      <w:start w:val="1"/>
      <w:numFmt w:val="lowerLetter"/>
      <w:lvlText w:val="%8)"/>
      <w:lvlJc w:val="left"/>
      <w:pPr>
        <w:tabs>
          <w:tab w:val="left" w:pos="4320"/>
        </w:tabs>
        <w:ind w:left="4320" w:hanging="420"/>
      </w:pPr>
    </w:lvl>
    <w:lvl w:ilvl="8" w:tentative="0">
      <w:start w:val="1"/>
      <w:numFmt w:val="lowerRoman"/>
      <w:lvlText w:val="%9."/>
      <w:lvlJc w:val="right"/>
      <w:pPr>
        <w:tabs>
          <w:tab w:val="left" w:pos="4740"/>
        </w:tabs>
        <w:ind w:left="4740" w:hanging="420"/>
      </w:pPr>
    </w:lvl>
  </w:abstractNum>
  <w:abstractNum w:abstractNumId="30">
    <w:nsid w:val="338B21E2"/>
    <w:multiLevelType w:val="multilevel"/>
    <w:tmpl w:val="338B21E2"/>
    <w:lvl w:ilvl="0" w:tentative="0">
      <w:start w:val="1"/>
      <w:numFmt w:val="decimal"/>
      <w:isLgl/>
      <w:suff w:val="nothing"/>
      <w:lvlText w:val="%1、"/>
      <w:lvlJc w:val="left"/>
      <w:pPr>
        <w:ind w:left="0" w:firstLine="0"/>
      </w:pPr>
      <w:rPr>
        <w:rFonts w:hint="default" w:ascii="Times New Roman" w:hAnsi="Times New Roman" w:cs="Times New Roman"/>
        <w:b/>
        <w:i w:val="0"/>
        <w:iCs w:val="0"/>
        <w:caps w:val="0"/>
        <w:strike w:val="0"/>
        <w:dstrike w:val="0"/>
        <w:vanish w:val="0"/>
        <w:color w:val="000000"/>
        <w:spacing w:val="0"/>
        <w:position w:val="0"/>
        <w:sz w:val="28"/>
        <w:szCs w:val="28"/>
        <w:u w:val="none"/>
        <w:vertAlign w:val="baseline"/>
      </w:rPr>
    </w:lvl>
    <w:lvl w:ilvl="1" w:tentative="0">
      <w:start w:val="1"/>
      <w:numFmt w:val="decimal"/>
      <w:suff w:val="space"/>
      <w:lvlText w:val="%1.%2"/>
      <w:lvlJc w:val="left"/>
      <w:pPr>
        <w:ind w:left="170" w:hanging="170"/>
      </w:pPr>
      <w:rPr>
        <w:rFonts w:hint="eastAsia" w:ascii="宋体" w:eastAsia="宋体"/>
        <w:b/>
        <w:i w:val="0"/>
        <w:sz w:val="24"/>
        <w:szCs w:val="24"/>
      </w:rPr>
    </w:lvl>
    <w:lvl w:ilvl="2" w:tentative="0">
      <w:start w:val="1"/>
      <w:numFmt w:val="decimal"/>
      <w:suff w:val="space"/>
      <w:lvlText w:val="%1.%2.%3"/>
      <w:lvlJc w:val="left"/>
      <w:pPr>
        <w:ind w:left="0" w:firstLine="0"/>
      </w:pPr>
      <w:rPr>
        <w:rFonts w:hint="default" w:ascii="Times New Roman" w:hAnsi="Times New Roman" w:eastAsia="宋体"/>
        <w:b/>
        <w:i w:val="0"/>
        <w:sz w:val="24"/>
        <w:szCs w:val="24"/>
      </w:rPr>
    </w:lvl>
    <w:lvl w:ilvl="3" w:tentative="0">
      <w:start w:val="1"/>
      <w:numFmt w:val="decimal"/>
      <w:pStyle w:val="309"/>
      <w:suff w:val="space"/>
      <w:lvlText w:val="%1.%2.%3.%4"/>
      <w:lvlJc w:val="left"/>
      <w:pPr>
        <w:ind w:left="0" w:firstLine="0"/>
      </w:pPr>
      <w:rPr>
        <w:rFonts w:hint="default" w:ascii="Times New Roman" w:hAnsi="Times New Roman" w:eastAsia="宋体"/>
        <w:b/>
        <w:i w:val="0"/>
        <w:sz w:val="24"/>
        <w:szCs w:val="24"/>
      </w:rPr>
    </w:lvl>
    <w:lvl w:ilvl="4" w:tentative="0">
      <w:start w:val="1"/>
      <w:numFmt w:val="decimal"/>
      <w:suff w:val="space"/>
      <w:lvlText w:val="%1.%2.%3.%4.%5"/>
      <w:lvlJc w:val="left"/>
      <w:pPr>
        <w:ind w:left="-873" w:firstLine="3"/>
      </w:pPr>
      <w:rPr>
        <w:rFonts w:hint="eastAsia"/>
      </w:rPr>
    </w:lvl>
    <w:lvl w:ilvl="5" w:tentative="0">
      <w:start w:val="1"/>
      <w:numFmt w:val="decimal"/>
      <w:suff w:val="space"/>
      <w:lvlText w:val="%1.%2.%3.%4.%5.%6"/>
      <w:lvlJc w:val="left"/>
      <w:pPr>
        <w:ind w:left="481" w:firstLine="0"/>
      </w:pPr>
      <w:rPr>
        <w:rFonts w:hint="eastAsia"/>
      </w:rPr>
    </w:lvl>
    <w:lvl w:ilvl="6" w:tentative="0">
      <w:start w:val="1"/>
      <w:numFmt w:val="none"/>
      <w:suff w:val="nothing"/>
      <w:lvlText w:val=""/>
      <w:lvlJc w:val="left"/>
      <w:pPr>
        <w:ind w:left="-873" w:firstLine="0"/>
      </w:pPr>
      <w:rPr>
        <w:rFonts w:hint="eastAsia"/>
      </w:rPr>
    </w:lvl>
    <w:lvl w:ilvl="7" w:tentative="0">
      <w:start w:val="1"/>
      <w:numFmt w:val="none"/>
      <w:suff w:val="nothing"/>
      <w:lvlText w:val=""/>
      <w:lvlJc w:val="left"/>
      <w:pPr>
        <w:ind w:left="-873" w:firstLine="0"/>
      </w:pPr>
      <w:rPr>
        <w:rFonts w:hint="eastAsia"/>
      </w:rPr>
    </w:lvl>
    <w:lvl w:ilvl="8" w:tentative="0">
      <w:start w:val="1"/>
      <w:numFmt w:val="none"/>
      <w:suff w:val="nothing"/>
      <w:lvlText w:val=""/>
      <w:lvlJc w:val="left"/>
      <w:pPr>
        <w:ind w:left="-873" w:firstLine="0"/>
      </w:pPr>
      <w:rPr>
        <w:rFonts w:hint="eastAsia"/>
      </w:rPr>
    </w:lvl>
  </w:abstractNum>
  <w:abstractNum w:abstractNumId="31">
    <w:nsid w:val="34490680"/>
    <w:multiLevelType w:val="multilevel"/>
    <w:tmpl w:val="34490680"/>
    <w:lvl w:ilvl="0" w:tentative="0">
      <w:start w:val="1"/>
      <w:numFmt w:val="decimal"/>
      <w:pStyle w:val="144"/>
      <w:isLgl/>
      <w:suff w:val="nothing"/>
      <w:lvlText w:val="%1、"/>
      <w:lvlJc w:val="left"/>
      <w:pPr>
        <w:ind w:left="0" w:firstLine="0"/>
      </w:pPr>
      <w:rPr>
        <w:rFonts w:hint="default" w:ascii="Times New Roman" w:hAnsi="Times New Roman" w:cs="Times New Roman"/>
        <w:b/>
        <w:i w:val="0"/>
        <w:iCs w:val="0"/>
        <w:caps w:val="0"/>
        <w:strike w:val="0"/>
        <w:dstrike w:val="0"/>
        <w:vanish w:val="0"/>
        <w:color w:val="000000"/>
        <w:spacing w:val="0"/>
        <w:position w:val="0"/>
        <w:sz w:val="28"/>
        <w:szCs w:val="28"/>
        <w:u w:val="none"/>
        <w:vertAlign w:val="baseline"/>
      </w:rPr>
    </w:lvl>
    <w:lvl w:ilvl="1" w:tentative="0">
      <w:start w:val="1"/>
      <w:numFmt w:val="decimal"/>
      <w:suff w:val="space"/>
      <w:lvlText w:val="%1.%2"/>
      <w:lvlJc w:val="left"/>
      <w:pPr>
        <w:ind w:left="170" w:hanging="170"/>
      </w:pPr>
      <w:rPr>
        <w:rFonts w:hint="eastAsia" w:ascii="宋体" w:eastAsia="宋体"/>
        <w:b/>
        <w:i w:val="0"/>
        <w:sz w:val="24"/>
        <w:szCs w:val="24"/>
      </w:rPr>
    </w:lvl>
    <w:lvl w:ilvl="2" w:tentative="0">
      <w:start w:val="1"/>
      <w:numFmt w:val="decimal"/>
      <w:pStyle w:val="147"/>
      <w:suff w:val="space"/>
      <w:lvlText w:val="%1.%2.%3"/>
      <w:lvlJc w:val="left"/>
      <w:pPr>
        <w:ind w:left="256" w:firstLine="0"/>
      </w:pPr>
      <w:rPr>
        <w:rFonts w:hint="default" w:ascii="Times New Roman" w:hAnsi="Times New Roman" w:eastAsia="宋体"/>
        <w:b/>
        <w:i w:val="0"/>
        <w:sz w:val="24"/>
        <w:szCs w:val="24"/>
      </w:rPr>
    </w:lvl>
    <w:lvl w:ilvl="3" w:tentative="0">
      <w:start w:val="1"/>
      <w:numFmt w:val="decimal"/>
      <w:lvlRestart w:val="0"/>
      <w:suff w:val="space"/>
      <w:lvlText w:val="%1.%2.%3.%4"/>
      <w:lvlJc w:val="left"/>
      <w:pPr>
        <w:ind w:left="0" w:firstLine="0"/>
      </w:pPr>
      <w:rPr>
        <w:rFonts w:hint="default" w:ascii="Times New Roman" w:hAnsi="Times New Roman" w:eastAsia="宋体"/>
        <w:b/>
        <w:i w:val="0"/>
        <w:sz w:val="24"/>
        <w:szCs w:val="24"/>
      </w:rPr>
    </w:lvl>
    <w:lvl w:ilvl="4" w:tentative="0">
      <w:start w:val="1"/>
      <w:numFmt w:val="decimal"/>
      <w:suff w:val="space"/>
      <w:lvlText w:val="%1.%2.%3.%4.%5"/>
      <w:lvlJc w:val="left"/>
      <w:pPr>
        <w:ind w:left="-873" w:firstLine="3"/>
      </w:pPr>
      <w:rPr>
        <w:rFonts w:hint="eastAsia"/>
      </w:rPr>
    </w:lvl>
    <w:lvl w:ilvl="5" w:tentative="0">
      <w:start w:val="1"/>
      <w:numFmt w:val="decimal"/>
      <w:suff w:val="space"/>
      <w:lvlText w:val="%1.%2.%3.%4.%5.%6"/>
      <w:lvlJc w:val="left"/>
      <w:pPr>
        <w:ind w:left="481" w:firstLine="0"/>
      </w:pPr>
      <w:rPr>
        <w:rFonts w:hint="eastAsia"/>
      </w:rPr>
    </w:lvl>
    <w:lvl w:ilvl="6" w:tentative="0">
      <w:start w:val="1"/>
      <w:numFmt w:val="none"/>
      <w:suff w:val="nothing"/>
      <w:lvlText w:val=""/>
      <w:lvlJc w:val="left"/>
      <w:pPr>
        <w:ind w:left="-873" w:firstLine="0"/>
      </w:pPr>
      <w:rPr>
        <w:rFonts w:hint="eastAsia"/>
      </w:rPr>
    </w:lvl>
    <w:lvl w:ilvl="7" w:tentative="0">
      <w:start w:val="1"/>
      <w:numFmt w:val="none"/>
      <w:suff w:val="nothing"/>
      <w:lvlText w:val=""/>
      <w:lvlJc w:val="left"/>
      <w:pPr>
        <w:ind w:left="-873" w:firstLine="0"/>
      </w:pPr>
      <w:rPr>
        <w:rFonts w:hint="eastAsia"/>
      </w:rPr>
    </w:lvl>
    <w:lvl w:ilvl="8" w:tentative="0">
      <w:start w:val="1"/>
      <w:numFmt w:val="none"/>
      <w:suff w:val="nothing"/>
      <w:lvlText w:val=""/>
      <w:lvlJc w:val="left"/>
      <w:pPr>
        <w:ind w:left="-873" w:firstLine="0"/>
      </w:pPr>
      <w:rPr>
        <w:rFonts w:hint="eastAsia"/>
      </w:rPr>
    </w:lvl>
  </w:abstractNum>
  <w:abstractNum w:abstractNumId="32">
    <w:nsid w:val="3A5C213A"/>
    <w:multiLevelType w:val="multilevel"/>
    <w:tmpl w:val="3A5C213A"/>
    <w:lvl w:ilvl="0" w:tentative="0">
      <w:start w:val="1"/>
      <w:numFmt w:val="decimal"/>
      <w:pStyle w:val="523"/>
      <w:lvlText w:val="%1)"/>
      <w:lvlJc w:val="left"/>
      <w:pPr>
        <w:tabs>
          <w:tab w:val="left" w:pos="360"/>
        </w:tabs>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3">
    <w:nsid w:val="3B2949ED"/>
    <w:multiLevelType w:val="multilevel"/>
    <w:tmpl w:val="3B2949ED"/>
    <w:lvl w:ilvl="0" w:tentative="0">
      <w:start w:val="1"/>
      <w:numFmt w:val="decimal"/>
      <w:pStyle w:val="446"/>
      <w:suff w:val="space"/>
      <w:lvlText w:val="%1"/>
      <w:lvlJc w:val="left"/>
      <w:pPr>
        <w:ind w:left="0" w:firstLine="0"/>
      </w:pPr>
      <w:rPr>
        <w:rFonts w:hint="eastAsia"/>
        <w:lang w:val="en-US"/>
      </w:r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399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202"/>
        </w:tabs>
        <w:ind w:left="5102" w:hanging="1700"/>
      </w:pPr>
      <w:rPr>
        <w:rFonts w:hint="eastAsia"/>
      </w:rPr>
    </w:lvl>
  </w:abstractNum>
  <w:abstractNum w:abstractNumId="34">
    <w:nsid w:val="40DB5F23"/>
    <w:multiLevelType w:val="multilevel"/>
    <w:tmpl w:val="40DB5F23"/>
    <w:lvl w:ilvl="0" w:tentative="0">
      <w:start w:val="1"/>
      <w:numFmt w:val="decimalEnclosedCircle"/>
      <w:lvlText w:val="%1"/>
      <w:lvlJc w:val="left"/>
      <w:pPr>
        <w:ind w:left="840" w:hanging="360"/>
      </w:pPr>
      <w:rPr>
        <w:rFonts w:hint="eastAsia" w:eastAsia="宋体"/>
        <w:sz w:val="24"/>
        <w:szCs w:val="24"/>
      </w:rPr>
    </w:lvl>
    <w:lvl w:ilvl="1" w:tentative="0">
      <w:start w:val="1"/>
      <w:numFmt w:val="decimal"/>
      <w:lvlText w:val="（%2）"/>
      <w:lvlJc w:val="left"/>
      <w:pPr>
        <w:ind w:left="1476" w:hanging="1056"/>
      </w:pPr>
      <w:rPr>
        <w:rFonts w:hint="default"/>
        <w:color w:val="auto"/>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71665BF"/>
    <w:multiLevelType w:val="multilevel"/>
    <w:tmpl w:val="471665BF"/>
    <w:lvl w:ilvl="0" w:tentative="0">
      <w:start w:val="1"/>
      <w:numFmt w:val="decimal"/>
      <w:pStyle w:val="310"/>
      <w:lvlText w:val="%1"/>
      <w:lvlJc w:val="left"/>
      <w:pPr>
        <w:tabs>
          <w:tab w:val="left" w:pos="425"/>
        </w:tabs>
        <w:ind w:left="425" w:hanging="425"/>
      </w:pPr>
      <w:rPr>
        <w:rFonts w:hint="eastAsia" w:eastAsia="宋体"/>
        <w:b/>
        <w:i w:val="0"/>
        <w:sz w:val="30"/>
        <w:szCs w:val="36"/>
      </w:rPr>
    </w:lvl>
    <w:lvl w:ilvl="1" w:tentative="0">
      <w:start w:val="1"/>
      <w:numFmt w:val="decimal"/>
      <w:lvlText w:val="%1.%2"/>
      <w:lvlJc w:val="left"/>
      <w:pPr>
        <w:tabs>
          <w:tab w:val="left" w:pos="1800"/>
        </w:tabs>
        <w:ind w:left="1800" w:hanging="567"/>
      </w:pPr>
      <w:rPr>
        <w:rFonts w:hint="eastAsia" w:eastAsia="宋体"/>
        <w:sz w:val="32"/>
        <w:szCs w:val="32"/>
      </w:rPr>
    </w:lvl>
    <w:lvl w:ilvl="2" w:tentative="0">
      <w:start w:val="1"/>
      <w:numFmt w:val="decimal"/>
      <w:lvlText w:val="%1.%2.%3"/>
      <w:lvlJc w:val="left"/>
      <w:pPr>
        <w:tabs>
          <w:tab w:val="left" w:pos="2498"/>
        </w:tabs>
        <w:ind w:left="2498" w:hanging="545"/>
      </w:pPr>
      <w:rPr>
        <w:rFonts w:hint="eastAsia" w:eastAsia="宋体"/>
        <w:sz w:val="30"/>
        <w:szCs w:val="30"/>
      </w:rPr>
    </w:lvl>
    <w:lvl w:ilvl="3" w:tentative="0">
      <w:start w:val="1"/>
      <w:numFmt w:val="decimal"/>
      <w:lvlText w:val="%1.%2.%3.%4"/>
      <w:lvlJc w:val="left"/>
      <w:pPr>
        <w:tabs>
          <w:tab w:val="left" w:pos="1984"/>
        </w:tabs>
        <w:ind w:left="1984" w:hanging="708"/>
      </w:pPr>
      <w:rPr>
        <w:rFonts w:hint="eastAsia" w:eastAsia="宋体"/>
        <w:sz w:val="28"/>
        <w:szCs w:val="28"/>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6">
    <w:nsid w:val="496E4D7B"/>
    <w:multiLevelType w:val="multilevel"/>
    <w:tmpl w:val="496E4D7B"/>
    <w:lvl w:ilvl="0" w:tentative="0">
      <w:start w:val="1"/>
      <w:numFmt w:val="none"/>
      <w:pStyle w:val="361"/>
      <w:lvlText w:val="%1注"/>
      <w:lvlJc w:val="left"/>
      <w:pPr>
        <w:tabs>
          <w:tab w:val="left" w:pos="900"/>
        </w:tabs>
        <w:ind w:left="900" w:hanging="50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4C300CE2"/>
    <w:multiLevelType w:val="multilevel"/>
    <w:tmpl w:val="4C300CE2"/>
    <w:lvl w:ilvl="0" w:tentative="0">
      <w:start w:val="1"/>
      <w:numFmt w:val="chineseCountingThousand"/>
      <w:suff w:val="space"/>
      <w:lvlText w:val="%1、"/>
      <w:lvlJc w:val="left"/>
      <w:pPr>
        <w:ind w:left="0" w:firstLine="0"/>
      </w:pPr>
      <w:rPr>
        <w:rFonts w:hint="default" w:ascii="Times New Roman" w:hAnsi="Times New Roman" w:eastAsia="宋体"/>
        <w:b/>
        <w:i w:val="0"/>
        <w:iCs w:val="0"/>
        <w:caps w:val="0"/>
        <w:smallCaps w:val="0"/>
        <w:strike w:val="0"/>
        <w:dstrike w:val="0"/>
        <w:vanish w:val="0"/>
        <w:color w:val="000000"/>
        <w:spacing w:val="0"/>
        <w:position w:val="0"/>
        <w:sz w:val="24"/>
        <w:u w:val="none"/>
        <w:vertAlign w:val="baseline"/>
      </w:rPr>
    </w:lvl>
    <w:lvl w:ilvl="1" w:tentative="0">
      <w:start w:val="1"/>
      <w:numFmt w:val="decimal"/>
      <w:pStyle w:val="4"/>
      <w:suff w:val="space"/>
      <w:lvlText w:val="%2"/>
      <w:lvlJc w:val="left"/>
      <w:pPr>
        <w:ind w:left="0" w:firstLine="0"/>
      </w:pPr>
      <w:rPr>
        <w:rFonts w:hint="eastAsia" w:eastAsia="宋体"/>
        <w:b/>
        <w:sz w:val="24"/>
      </w:rPr>
    </w:lvl>
    <w:lvl w:ilvl="2" w:tentative="0">
      <w:start w:val="1"/>
      <w:numFmt w:val="decimal"/>
      <w:pStyle w:val="5"/>
      <w:suff w:val="space"/>
      <w:lvlText w:val="%2.%3"/>
      <w:lvlJc w:val="left"/>
      <w:pPr>
        <w:ind w:left="0" w:firstLine="0"/>
      </w:pPr>
      <w:rPr>
        <w:rFonts w:hint="eastAsia" w:eastAsia="宋体"/>
        <w:sz w:val="24"/>
      </w:rPr>
    </w:lvl>
    <w:lvl w:ilvl="3" w:tentative="0">
      <w:start w:val="1"/>
      <w:numFmt w:val="decimal"/>
      <w:pStyle w:val="6"/>
      <w:suff w:val="space"/>
      <w:lvlText w:val="%2.%3.%4"/>
      <w:lvlJc w:val="left"/>
      <w:pPr>
        <w:ind w:left="0" w:firstLine="0"/>
      </w:pPr>
      <w:rPr>
        <w:rFonts w:hint="eastAsia" w:eastAsia="宋体"/>
        <w:sz w:val="24"/>
      </w:rPr>
    </w:lvl>
    <w:lvl w:ilvl="4" w:tentative="0">
      <w:start w:val="1"/>
      <w:numFmt w:val="decimal"/>
      <w:pStyle w:val="7"/>
      <w:suff w:val="space"/>
      <w:lvlText w:val="(%5)"/>
      <w:lvlJc w:val="left"/>
      <w:pPr>
        <w:ind w:left="0" w:firstLine="113"/>
      </w:pPr>
      <w:rPr>
        <w:rFonts w:hint="eastAsia" w:eastAsia="宋体"/>
        <w:sz w:val="24"/>
      </w:rPr>
    </w:lvl>
    <w:lvl w:ilvl="5" w:tentative="0">
      <w:start w:val="1"/>
      <w:numFmt w:val="lowerLetter"/>
      <w:pStyle w:val="8"/>
      <w:suff w:val="space"/>
      <w:lvlText w:val="%6."/>
      <w:lvlJc w:val="left"/>
      <w:pPr>
        <w:ind w:left="0" w:firstLine="227"/>
      </w:pPr>
      <w:rPr>
        <w:rFonts w:hint="eastAsia" w:eastAsia="宋体"/>
        <w:sz w:val="24"/>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38">
    <w:nsid w:val="4C924F2E"/>
    <w:multiLevelType w:val="multilevel"/>
    <w:tmpl w:val="4C924F2E"/>
    <w:lvl w:ilvl="0" w:tentative="0">
      <w:start w:val="1"/>
      <w:numFmt w:val="decimal"/>
      <w:isLgl/>
      <w:suff w:val="nothing"/>
      <w:lvlText w:val="%1、"/>
      <w:lvlJc w:val="left"/>
      <w:pPr>
        <w:ind w:left="0" w:firstLine="0"/>
      </w:pPr>
      <w:rPr>
        <w:rFonts w:hint="default" w:ascii="Times New Roman" w:hAnsi="Times New Roman" w:cs="Times New Roman"/>
        <w:b/>
        <w:i w:val="0"/>
        <w:iCs w:val="0"/>
        <w:caps w:val="0"/>
        <w:strike w:val="0"/>
        <w:dstrike w:val="0"/>
        <w:vanish w:val="0"/>
        <w:color w:val="000000"/>
        <w:spacing w:val="0"/>
        <w:position w:val="0"/>
        <w:sz w:val="28"/>
        <w:szCs w:val="28"/>
        <w:u w:val="none"/>
        <w:vertAlign w:val="baseline"/>
      </w:rPr>
    </w:lvl>
    <w:lvl w:ilvl="1" w:tentative="0">
      <w:start w:val="1"/>
      <w:numFmt w:val="decimal"/>
      <w:suff w:val="space"/>
      <w:lvlText w:val="%1.%2"/>
      <w:lvlJc w:val="left"/>
      <w:pPr>
        <w:ind w:left="170" w:hanging="170"/>
      </w:pPr>
      <w:rPr>
        <w:rFonts w:hint="eastAsia" w:ascii="宋体" w:eastAsia="宋体"/>
        <w:b/>
        <w:i w:val="0"/>
        <w:sz w:val="24"/>
        <w:szCs w:val="24"/>
      </w:rPr>
    </w:lvl>
    <w:lvl w:ilvl="2" w:tentative="0">
      <w:start w:val="1"/>
      <w:numFmt w:val="decimal"/>
      <w:pStyle w:val="127"/>
      <w:suff w:val="space"/>
      <w:lvlText w:val="%1.%2.%3"/>
      <w:lvlJc w:val="left"/>
      <w:pPr>
        <w:ind w:left="0" w:firstLine="0"/>
      </w:pPr>
      <w:rPr>
        <w:rFonts w:hint="default" w:ascii="Times New Roman" w:hAnsi="Times New Roman" w:eastAsia="宋体"/>
        <w:b/>
        <w:i w:val="0"/>
        <w:sz w:val="24"/>
        <w:szCs w:val="24"/>
      </w:rPr>
    </w:lvl>
    <w:lvl w:ilvl="3" w:tentative="0">
      <w:start w:val="1"/>
      <w:numFmt w:val="decimal"/>
      <w:lvlRestart w:val="0"/>
      <w:suff w:val="space"/>
      <w:lvlText w:val="%1.%2.%3.%4"/>
      <w:lvlJc w:val="left"/>
      <w:pPr>
        <w:ind w:left="0" w:firstLine="0"/>
      </w:pPr>
      <w:rPr>
        <w:rFonts w:hint="default" w:ascii="Times New Roman" w:hAnsi="Times New Roman" w:eastAsia="宋体"/>
        <w:b/>
        <w:i w:val="0"/>
        <w:sz w:val="24"/>
        <w:szCs w:val="24"/>
      </w:rPr>
    </w:lvl>
    <w:lvl w:ilvl="4" w:tentative="0">
      <w:start w:val="1"/>
      <w:numFmt w:val="decimal"/>
      <w:suff w:val="space"/>
      <w:lvlText w:val="%1.%2.%3.%4.%5"/>
      <w:lvlJc w:val="left"/>
      <w:pPr>
        <w:ind w:left="-873" w:firstLine="3"/>
      </w:pPr>
      <w:rPr>
        <w:rFonts w:hint="eastAsia"/>
      </w:rPr>
    </w:lvl>
    <w:lvl w:ilvl="5" w:tentative="0">
      <w:start w:val="1"/>
      <w:numFmt w:val="decimal"/>
      <w:suff w:val="space"/>
      <w:lvlText w:val="%1.%2.%3.%4.%5.%6"/>
      <w:lvlJc w:val="left"/>
      <w:pPr>
        <w:ind w:left="481" w:firstLine="0"/>
      </w:pPr>
      <w:rPr>
        <w:rFonts w:hint="eastAsia"/>
      </w:rPr>
    </w:lvl>
    <w:lvl w:ilvl="6" w:tentative="0">
      <w:start w:val="1"/>
      <w:numFmt w:val="none"/>
      <w:suff w:val="nothing"/>
      <w:lvlText w:val=""/>
      <w:lvlJc w:val="left"/>
      <w:pPr>
        <w:ind w:left="-873" w:firstLine="0"/>
      </w:pPr>
      <w:rPr>
        <w:rFonts w:hint="eastAsia"/>
      </w:rPr>
    </w:lvl>
    <w:lvl w:ilvl="7" w:tentative="0">
      <w:start w:val="1"/>
      <w:numFmt w:val="none"/>
      <w:suff w:val="nothing"/>
      <w:lvlText w:val=""/>
      <w:lvlJc w:val="left"/>
      <w:pPr>
        <w:ind w:left="-873" w:firstLine="0"/>
      </w:pPr>
      <w:rPr>
        <w:rFonts w:hint="eastAsia"/>
      </w:rPr>
    </w:lvl>
    <w:lvl w:ilvl="8" w:tentative="0">
      <w:start w:val="1"/>
      <w:numFmt w:val="none"/>
      <w:suff w:val="nothing"/>
      <w:lvlText w:val=""/>
      <w:lvlJc w:val="left"/>
      <w:pPr>
        <w:ind w:left="-873" w:firstLine="0"/>
      </w:pPr>
      <w:rPr>
        <w:rFonts w:hint="eastAsia"/>
      </w:rPr>
    </w:lvl>
  </w:abstractNum>
  <w:abstractNum w:abstractNumId="39">
    <w:nsid w:val="4D78456D"/>
    <w:multiLevelType w:val="multilevel"/>
    <w:tmpl w:val="4D78456D"/>
    <w:lvl w:ilvl="0" w:tentative="0">
      <w:start w:val="1"/>
      <w:numFmt w:val="decimal"/>
      <w:pStyle w:val="379"/>
      <w:lvlText w:val="%1"/>
      <w:lvlJc w:val="left"/>
      <w:pPr>
        <w:tabs>
          <w:tab w:val="left" w:pos="425"/>
        </w:tabs>
        <w:ind w:left="425" w:hanging="425"/>
      </w:pPr>
    </w:lvl>
    <w:lvl w:ilvl="1" w:tentative="0">
      <w:start w:val="1"/>
      <w:numFmt w:val="decimal"/>
      <w:lvlText w:val="%1.%2"/>
      <w:lvlJc w:val="left"/>
      <w:pPr>
        <w:tabs>
          <w:tab w:val="left" w:pos="1505"/>
        </w:tabs>
        <w:ind w:left="992" w:hanging="567"/>
      </w:pPr>
    </w:lvl>
    <w:lvl w:ilvl="2" w:tentative="0">
      <w:start w:val="1"/>
      <w:numFmt w:val="decimal"/>
      <w:lvlText w:val="%1.%2.%3"/>
      <w:lvlJc w:val="left"/>
      <w:pPr>
        <w:tabs>
          <w:tab w:val="left" w:pos="2651"/>
        </w:tabs>
        <w:ind w:left="1418" w:hanging="567"/>
      </w:pPr>
    </w:lvl>
    <w:lvl w:ilvl="3" w:tentative="0">
      <w:start w:val="1"/>
      <w:numFmt w:val="decimal"/>
      <w:lvlText w:val="%1.%2.%3.%4"/>
      <w:lvlJc w:val="left"/>
      <w:pPr>
        <w:tabs>
          <w:tab w:val="left" w:pos="3796"/>
        </w:tabs>
        <w:ind w:left="1984" w:hanging="708"/>
      </w:pPr>
    </w:lvl>
    <w:lvl w:ilvl="4" w:tentative="0">
      <w:start w:val="1"/>
      <w:numFmt w:val="decimal"/>
      <w:lvlText w:val="%1.%2.%3.%4.%5"/>
      <w:lvlJc w:val="left"/>
      <w:pPr>
        <w:tabs>
          <w:tab w:val="left" w:pos="4941"/>
        </w:tabs>
        <w:ind w:left="2551" w:hanging="850"/>
      </w:pPr>
    </w:lvl>
    <w:lvl w:ilvl="5" w:tentative="0">
      <w:start w:val="1"/>
      <w:numFmt w:val="decimal"/>
      <w:lvlText w:val="%1.%2.%3.%4.%5.%6"/>
      <w:lvlJc w:val="left"/>
      <w:pPr>
        <w:tabs>
          <w:tab w:val="left" w:pos="6086"/>
        </w:tabs>
        <w:ind w:left="3260" w:hanging="1134"/>
      </w:pPr>
    </w:lvl>
    <w:lvl w:ilvl="6" w:tentative="0">
      <w:start w:val="1"/>
      <w:numFmt w:val="decimal"/>
      <w:lvlText w:val="%1.%2.%3.%4.%5.%6.%7"/>
      <w:lvlJc w:val="left"/>
      <w:pPr>
        <w:tabs>
          <w:tab w:val="left" w:pos="7231"/>
        </w:tabs>
        <w:ind w:left="3827" w:hanging="1276"/>
      </w:pPr>
    </w:lvl>
    <w:lvl w:ilvl="7" w:tentative="0">
      <w:start w:val="1"/>
      <w:numFmt w:val="decimal"/>
      <w:lvlText w:val="%1.%2.%3.%4.%5.%6.%7.%8"/>
      <w:lvlJc w:val="left"/>
      <w:pPr>
        <w:tabs>
          <w:tab w:val="left" w:pos="8376"/>
        </w:tabs>
        <w:ind w:left="4394" w:hanging="1418"/>
      </w:pPr>
    </w:lvl>
    <w:lvl w:ilvl="8" w:tentative="0">
      <w:start w:val="1"/>
      <w:numFmt w:val="decimal"/>
      <w:lvlText w:val="%1.%2.%3.%4.%5.%6.%7.%8.%9"/>
      <w:lvlJc w:val="left"/>
      <w:pPr>
        <w:tabs>
          <w:tab w:val="left" w:pos="9522"/>
        </w:tabs>
        <w:ind w:left="5102" w:hanging="1700"/>
      </w:pPr>
    </w:lvl>
  </w:abstractNum>
  <w:abstractNum w:abstractNumId="40">
    <w:nsid w:val="50E81AE9"/>
    <w:multiLevelType w:val="multilevel"/>
    <w:tmpl w:val="50E81AE9"/>
    <w:lvl w:ilvl="0" w:tentative="0">
      <w:start w:val="1"/>
      <w:numFmt w:val="decimal"/>
      <w:pStyle w:val="17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53941BB9"/>
    <w:multiLevelType w:val="multilevel"/>
    <w:tmpl w:val="53941BB9"/>
    <w:lvl w:ilvl="0" w:tentative="0">
      <w:start w:val="1"/>
      <w:numFmt w:val="decimal"/>
      <w:lvlText w:val="（%1）"/>
      <w:lvlJc w:val="left"/>
      <w:pPr>
        <w:tabs>
          <w:tab w:val="left" w:pos="720"/>
        </w:tabs>
        <w:ind w:left="720" w:hanging="720"/>
      </w:pPr>
      <w:rPr>
        <w:rFonts w:hint="default" w:cs="Arial"/>
      </w:rPr>
    </w:lvl>
    <w:lvl w:ilvl="1" w:tentative="0">
      <w:start w:val="1"/>
      <w:numFmt w:val="lowerLetter"/>
      <w:lvlText w:val="%2)"/>
      <w:lvlJc w:val="left"/>
      <w:pPr>
        <w:tabs>
          <w:tab w:val="left" w:pos="360"/>
        </w:tabs>
        <w:ind w:left="360" w:hanging="420"/>
      </w:pPr>
    </w:lvl>
    <w:lvl w:ilvl="2" w:tentative="0">
      <w:start w:val="1"/>
      <w:numFmt w:val="decimal"/>
      <w:lvlText w:val="(%3)"/>
      <w:lvlJc w:val="left"/>
      <w:pPr>
        <w:ind w:left="1110" w:hanging="750"/>
      </w:pPr>
      <w:rPr>
        <w:rFonts w:hint="default" w:ascii="Times New Roman" w:hAnsi="Times New Roman"/>
        <w:color w:val="auto"/>
      </w:r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42">
    <w:nsid w:val="557C2AF5"/>
    <w:multiLevelType w:val="multilevel"/>
    <w:tmpl w:val="557C2AF5"/>
    <w:lvl w:ilvl="0" w:tentative="0">
      <w:start w:val="1"/>
      <w:numFmt w:val="decimal"/>
      <w:pStyle w:val="33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43">
    <w:nsid w:val="57383BF9"/>
    <w:multiLevelType w:val="multilevel"/>
    <w:tmpl w:val="57383BF9"/>
    <w:lvl w:ilvl="0" w:tentative="0">
      <w:start w:val="1"/>
      <w:numFmt w:val="decimalEnclosedCircle"/>
      <w:pStyle w:val="439"/>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579A7A48"/>
    <w:multiLevelType w:val="multilevel"/>
    <w:tmpl w:val="579A7A48"/>
    <w:lvl w:ilvl="0" w:tentative="0">
      <w:start w:val="1"/>
      <w:numFmt w:val="decimal"/>
      <w:pStyle w:val="605"/>
      <w:lvlText w:val="(%1)"/>
      <w:lvlJc w:val="left"/>
      <w:pPr>
        <w:ind w:left="480" w:hanging="420"/>
      </w:pPr>
      <w:rPr>
        <w:rFonts w:hint="eastAsia"/>
      </w:rPr>
    </w:lvl>
    <w:lvl w:ilvl="1" w:tentative="0">
      <w:start w:val="1"/>
      <w:numFmt w:val="lowerLetter"/>
      <w:lvlText w:val="%2)"/>
      <w:lvlJc w:val="left"/>
      <w:pPr>
        <w:ind w:left="900" w:hanging="420"/>
      </w:pPr>
    </w:lvl>
    <w:lvl w:ilvl="2" w:tentative="0">
      <w:start w:val="1"/>
      <w:numFmt w:val="lowerRoman"/>
      <w:lvlText w:val="%3."/>
      <w:lvlJc w:val="right"/>
      <w:pPr>
        <w:ind w:left="1320" w:hanging="420"/>
      </w:pPr>
    </w:lvl>
    <w:lvl w:ilvl="3" w:tentative="0">
      <w:start w:val="1"/>
      <w:numFmt w:val="decimal"/>
      <w:lvlText w:val="%4."/>
      <w:lvlJc w:val="left"/>
      <w:pPr>
        <w:ind w:left="1740" w:hanging="420"/>
      </w:pPr>
    </w:lvl>
    <w:lvl w:ilvl="4" w:tentative="0">
      <w:start w:val="1"/>
      <w:numFmt w:val="lowerLetter"/>
      <w:lvlText w:val="%5)"/>
      <w:lvlJc w:val="left"/>
      <w:pPr>
        <w:ind w:left="2160" w:hanging="420"/>
      </w:pPr>
    </w:lvl>
    <w:lvl w:ilvl="5" w:tentative="0">
      <w:start w:val="1"/>
      <w:numFmt w:val="lowerRoman"/>
      <w:lvlText w:val="%6."/>
      <w:lvlJc w:val="right"/>
      <w:pPr>
        <w:ind w:left="2580" w:hanging="420"/>
      </w:pPr>
    </w:lvl>
    <w:lvl w:ilvl="6" w:tentative="0">
      <w:start w:val="1"/>
      <w:numFmt w:val="decimal"/>
      <w:lvlText w:val="%7."/>
      <w:lvlJc w:val="left"/>
      <w:pPr>
        <w:ind w:left="3000" w:hanging="420"/>
      </w:pPr>
    </w:lvl>
    <w:lvl w:ilvl="7" w:tentative="0">
      <w:start w:val="1"/>
      <w:numFmt w:val="lowerLetter"/>
      <w:lvlText w:val="%8)"/>
      <w:lvlJc w:val="left"/>
      <w:pPr>
        <w:ind w:left="3420" w:hanging="420"/>
      </w:pPr>
    </w:lvl>
    <w:lvl w:ilvl="8" w:tentative="0">
      <w:start w:val="1"/>
      <w:numFmt w:val="lowerRoman"/>
      <w:lvlText w:val="%9."/>
      <w:lvlJc w:val="right"/>
      <w:pPr>
        <w:ind w:left="3840" w:hanging="420"/>
      </w:pPr>
    </w:lvl>
  </w:abstractNum>
  <w:abstractNum w:abstractNumId="45">
    <w:nsid w:val="5BC96A97"/>
    <w:multiLevelType w:val="multilevel"/>
    <w:tmpl w:val="5BC96A97"/>
    <w:lvl w:ilvl="0" w:tentative="0">
      <w:start w:val="1"/>
      <w:numFmt w:val="decimal"/>
      <w:lvlText w:val="（%1）"/>
      <w:lvlJc w:val="left"/>
      <w:pPr>
        <w:tabs>
          <w:tab w:val="left" w:pos="720"/>
        </w:tabs>
        <w:ind w:left="720" w:hanging="720"/>
      </w:pPr>
      <w:rPr>
        <w:rFonts w:hint="default" w:cs="Arial"/>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pStyle w:val="327"/>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5C7F2DC6"/>
    <w:multiLevelType w:val="multilevel"/>
    <w:tmpl w:val="5C7F2DC6"/>
    <w:lvl w:ilvl="0" w:tentative="0">
      <w:start w:val="1"/>
      <w:numFmt w:val="decimal"/>
      <w:lvlText w:val="（%1）"/>
      <w:lvlJc w:val="left"/>
      <w:pPr>
        <w:ind w:left="720" w:hanging="7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decimal"/>
      <w:lvlText w:val="（%3）"/>
      <w:lvlJc w:val="left"/>
      <w:pPr>
        <w:ind w:left="1560" w:hanging="720"/>
      </w:pPr>
      <w:rPr>
        <w:rFonts w:hint="default"/>
      </w:r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decimal"/>
      <w:lvlText w:val="%6）"/>
      <w:lvlJc w:val="left"/>
      <w:pPr>
        <w:ind w:left="2460" w:hanging="360"/>
      </w:pPr>
      <w:rPr>
        <w:rFonts w:hint="default"/>
      </w:rPr>
    </w:lvl>
    <w:lvl w:ilvl="6" w:tentative="0">
      <w:start w:val="1"/>
      <w:numFmt w:val="decimalEnclosedCircle"/>
      <w:lvlText w:val="%7"/>
      <w:lvlJc w:val="left"/>
      <w:pPr>
        <w:ind w:left="2880" w:hanging="360"/>
      </w:pPr>
      <w:rPr>
        <w:rFonts w:hint="default" w:ascii="宋体" w:hAnsi="宋体"/>
      </w:r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5CEE5A05"/>
    <w:multiLevelType w:val="multilevel"/>
    <w:tmpl w:val="5CEE5A05"/>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5D1A7726"/>
    <w:multiLevelType w:val="multilevel"/>
    <w:tmpl w:val="5D1A7726"/>
    <w:lvl w:ilvl="0" w:tentative="0">
      <w:start w:val="1"/>
      <w:numFmt w:val="upperLetter"/>
      <w:pStyle w:val="567"/>
      <w:lvlText w:val="附录%1"/>
      <w:lvlJc w:val="left"/>
      <w:pPr>
        <w:tabs>
          <w:tab w:val="left" w:pos="425"/>
        </w:tabs>
        <w:ind w:left="0" w:firstLine="0"/>
      </w:pPr>
      <w:rPr>
        <w:rFonts w:hint="eastAsia"/>
      </w:rPr>
    </w:lvl>
    <w:lvl w:ilvl="1" w:tentative="0">
      <w:start w:val="1"/>
      <w:numFmt w:val="decimal"/>
      <w:lvlText w:val="%1.%2."/>
      <w:lvlJc w:val="left"/>
      <w:pPr>
        <w:tabs>
          <w:tab w:val="left" w:pos="567"/>
        </w:tabs>
        <w:ind w:left="567" w:hanging="992"/>
      </w:pPr>
      <w:rPr>
        <w:rFonts w:hint="eastAsia"/>
      </w:rPr>
    </w:lvl>
    <w:lvl w:ilvl="2" w:tentative="0">
      <w:start w:val="1"/>
      <w:numFmt w:val="decimal"/>
      <w:lvlText w:val="%1.%2.%3."/>
      <w:lvlJc w:val="left"/>
      <w:pPr>
        <w:tabs>
          <w:tab w:val="left" w:pos="709"/>
        </w:tabs>
        <w:ind w:left="709" w:hanging="1134"/>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49">
    <w:nsid w:val="657D3FBC"/>
    <w:multiLevelType w:val="multilevel"/>
    <w:tmpl w:val="657D3FBC"/>
    <w:lvl w:ilvl="0" w:tentative="0">
      <w:start w:val="1"/>
      <w:numFmt w:val="upperLetter"/>
      <w:suff w:val="nothing"/>
      <w:lvlText w:val="附　录　%1"/>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pStyle w:val="464"/>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pStyle w:val="465"/>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50">
    <w:nsid w:val="65D90A3F"/>
    <w:multiLevelType w:val="multilevel"/>
    <w:tmpl w:val="65D90A3F"/>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1">
    <w:nsid w:val="66970E24"/>
    <w:multiLevelType w:val="multilevel"/>
    <w:tmpl w:val="66970E24"/>
    <w:lvl w:ilvl="0" w:tentative="0">
      <w:start w:val="1"/>
      <w:numFmt w:val="lowerLetter"/>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2">
    <w:nsid w:val="66F063CC"/>
    <w:multiLevelType w:val="multilevel"/>
    <w:tmpl w:val="66F063CC"/>
    <w:lvl w:ilvl="0" w:tentative="0">
      <w:start w:val="1"/>
      <w:numFmt w:val="decimal"/>
      <w:pStyle w:val="345"/>
      <w:lvlText w:val="(%1)"/>
      <w:lvlJc w:val="left"/>
      <w:pPr>
        <w:ind w:left="420" w:hanging="42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53">
    <w:nsid w:val="69A3630D"/>
    <w:multiLevelType w:val="multilevel"/>
    <w:tmpl w:val="69A3630D"/>
    <w:lvl w:ilvl="0" w:tentative="0">
      <w:start w:val="1"/>
      <w:numFmt w:val="none"/>
      <w:lvlText w:val="6.5.1"/>
      <w:lvlJc w:val="left"/>
      <w:pPr>
        <w:tabs>
          <w:tab w:val="left" w:pos="425"/>
        </w:tabs>
        <w:ind w:left="425" w:hanging="425"/>
      </w:pPr>
      <w:rPr>
        <w:rFonts w:hint="eastAsia"/>
      </w:rPr>
    </w:lvl>
    <w:lvl w:ilvl="1" w:tentative="0">
      <w:start w:val="1"/>
      <w:numFmt w:val="decimal"/>
      <w:isLgl/>
      <w:lvlText w:val="3.%2."/>
      <w:lvlJc w:val="left"/>
      <w:pPr>
        <w:tabs>
          <w:tab w:val="left" w:pos="567"/>
        </w:tabs>
        <w:ind w:left="567" w:hanging="567"/>
      </w:pPr>
      <w:rPr>
        <w:rFonts w:hint="eastAsia"/>
      </w:rPr>
    </w:lvl>
    <w:lvl w:ilvl="2" w:tentative="0">
      <w:start w:val="1"/>
      <w:numFmt w:val="decimal"/>
      <w:pStyle w:val="173"/>
      <w:lvlText w:val="6.5.%3"/>
      <w:lvlJc w:val="left"/>
      <w:pPr>
        <w:tabs>
          <w:tab w:val="left" w:pos="709"/>
        </w:tabs>
        <w:ind w:left="709" w:hanging="709"/>
      </w:pPr>
      <w:rPr>
        <w:rFonts w:hint="default" w:ascii="Arial" w:hAnsi="Arial" w:cs="Arial"/>
        <w:sz w:val="28"/>
        <w:szCs w:val="28"/>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4">
    <w:nsid w:val="6CEA2025"/>
    <w:multiLevelType w:val="multilevel"/>
    <w:tmpl w:val="6CEA2025"/>
    <w:lvl w:ilvl="0" w:tentative="0">
      <w:start w:val="1"/>
      <w:numFmt w:val="none"/>
      <w:pStyle w:val="353"/>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pStyle w:val="355"/>
      <w:suff w:val="nothing"/>
      <w:lvlText w:val="%15.%3　"/>
      <w:lvlJc w:val="left"/>
      <w:pPr>
        <w:ind w:left="0" w:firstLine="0"/>
      </w:pPr>
      <w:rPr>
        <w:rFonts w:hint="eastAsia" w:ascii="黑体" w:hAnsi="Times New Roman" w:eastAsia="黑体"/>
        <w:b w:val="0"/>
        <w:i w:val="0"/>
        <w:sz w:val="21"/>
      </w:rPr>
    </w:lvl>
    <w:lvl w:ilvl="3" w:tentative="0">
      <w:start w:val="1"/>
      <w:numFmt w:val="decimal"/>
      <w:pStyle w:val="356"/>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5">
    <w:nsid w:val="6DBF04F4"/>
    <w:multiLevelType w:val="multilevel"/>
    <w:tmpl w:val="6DBF04F4"/>
    <w:lvl w:ilvl="0" w:tentative="0">
      <w:start w:val="1"/>
      <w:numFmt w:val="none"/>
      <w:pStyle w:val="360"/>
      <w:lvlText w:val="%1注："/>
      <w:lvlJc w:val="left"/>
      <w:pPr>
        <w:tabs>
          <w:tab w:val="left" w:pos="1140"/>
        </w:tabs>
        <w:ind w:left="840" w:hanging="42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6E230785"/>
    <w:multiLevelType w:val="multilevel"/>
    <w:tmpl w:val="6E230785"/>
    <w:lvl w:ilvl="0" w:tentative="0">
      <w:start w:val="1"/>
      <w:numFmt w:val="bullet"/>
      <w:pStyle w:val="537"/>
      <w:lvlText w:val=""/>
      <w:lvlJc w:val="left"/>
      <w:pPr>
        <w:tabs>
          <w:tab w:val="left" w:pos="170"/>
        </w:tabs>
        <w:ind w:left="170" w:hanging="170"/>
      </w:pPr>
      <w:rPr>
        <w:rFonts w:hint="default" w:ascii="Wingdings" w:hAnsi="Wingdings" w:eastAsia="宋体"/>
        <w:b w:val="0"/>
        <w:i w:val="0"/>
        <w:color w:val="auto"/>
        <w:position w:val="3"/>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7">
    <w:nsid w:val="713A110C"/>
    <w:multiLevelType w:val="multilevel"/>
    <w:tmpl w:val="713A110C"/>
    <w:lvl w:ilvl="0" w:tentative="0">
      <w:start w:val="1"/>
      <w:numFmt w:val="decimal"/>
      <w:pStyle w:val="462"/>
      <w:lvlText w:val="表%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8">
    <w:nsid w:val="71C13F8E"/>
    <w:multiLevelType w:val="multilevel"/>
    <w:tmpl w:val="71C13F8E"/>
    <w:lvl w:ilvl="0" w:tentative="0">
      <w:start w:val="1"/>
      <w:numFmt w:val="decimalEnclosedCircle"/>
      <w:lvlText w:val="%1"/>
      <w:lvlJc w:val="left"/>
      <w:pPr>
        <w:tabs>
          <w:tab w:val="left" w:pos="420"/>
        </w:tabs>
        <w:ind w:left="420" w:hanging="420"/>
      </w:pPr>
      <w:rPr>
        <w:rFonts w:hint="eastAsia" w:eastAsia="宋体"/>
        <w:color w:val="auto"/>
        <w:sz w:val="24"/>
        <w:szCs w:val="24"/>
      </w:rPr>
    </w:lvl>
    <w:lvl w:ilvl="1" w:tentative="0">
      <w:start w:val="1"/>
      <w:numFmt w:val="lowerLetter"/>
      <w:lvlText w:val="%2)"/>
      <w:lvlJc w:val="left"/>
      <w:pPr>
        <w:tabs>
          <w:tab w:val="left" w:pos="360"/>
        </w:tabs>
        <w:ind w:left="360" w:hanging="420"/>
      </w:pPr>
    </w:lvl>
    <w:lvl w:ilvl="2" w:tentative="0">
      <w:start w:val="1"/>
      <w:numFmt w:val="lowerRoman"/>
      <w:lvlText w:val="%3."/>
      <w:lvlJc w:val="right"/>
      <w:pPr>
        <w:tabs>
          <w:tab w:val="left" w:pos="780"/>
        </w:tabs>
        <w:ind w:left="780" w:hanging="420"/>
      </w:p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59">
    <w:nsid w:val="73501646"/>
    <w:multiLevelType w:val="multilevel"/>
    <w:tmpl w:val="73501646"/>
    <w:lvl w:ilvl="0" w:tentative="0">
      <w:start w:val="1"/>
      <w:numFmt w:val="decimal"/>
      <w:pStyle w:val="130"/>
      <w:lvlText w:val="附录%1."/>
      <w:lvlJc w:val="left"/>
      <w:pPr>
        <w:tabs>
          <w:tab w:val="left" w:pos="229"/>
        </w:tabs>
        <w:ind w:left="-851" w:firstLine="0"/>
      </w:pPr>
      <w:rPr>
        <w:rFonts w:hint="eastAsia"/>
      </w:rPr>
    </w:lvl>
    <w:lvl w:ilvl="1" w:tentative="0">
      <w:start w:val="1"/>
      <w:numFmt w:val="decimal"/>
      <w:pStyle w:val="131"/>
      <w:lvlText w:val="附录%1.%2."/>
      <w:lvlJc w:val="left"/>
      <w:pPr>
        <w:tabs>
          <w:tab w:val="left" w:pos="1080"/>
        </w:tabs>
        <w:ind w:left="0" w:firstLine="0"/>
      </w:pPr>
      <w:rPr>
        <w:rFonts w:hint="eastAsia"/>
      </w:rPr>
    </w:lvl>
    <w:lvl w:ilvl="2" w:tentative="0">
      <w:start w:val="1"/>
      <w:numFmt w:val="decimal"/>
      <w:lvlText w:val="附录%1.%2.%3."/>
      <w:lvlJc w:val="left"/>
      <w:pPr>
        <w:tabs>
          <w:tab w:val="left" w:pos="1930"/>
        </w:tabs>
        <w:ind w:left="850" w:firstLine="0"/>
      </w:pPr>
      <w:rPr>
        <w:rFonts w:hint="eastAsia"/>
      </w:rPr>
    </w:lvl>
    <w:lvl w:ilvl="3" w:tentative="0">
      <w:start w:val="1"/>
      <w:numFmt w:val="decimal"/>
      <w:lvlText w:val="附录%1.%2.%3.%4"/>
      <w:lvlJc w:val="left"/>
      <w:pPr>
        <w:tabs>
          <w:tab w:val="left" w:pos="2780"/>
        </w:tabs>
        <w:ind w:left="1700" w:firstLine="0"/>
      </w:pPr>
      <w:rPr>
        <w:rFonts w:hint="eastAsia"/>
      </w:rPr>
    </w:lvl>
    <w:lvl w:ilvl="4" w:tentative="0">
      <w:start w:val="1"/>
      <w:numFmt w:val="decimal"/>
      <w:lvlText w:val="(%5)"/>
      <w:lvlJc w:val="left"/>
      <w:pPr>
        <w:tabs>
          <w:tab w:val="left" w:pos="2976"/>
        </w:tabs>
        <w:ind w:left="2551" w:firstLine="0"/>
      </w:pPr>
      <w:rPr>
        <w:rFonts w:hint="eastAsia"/>
      </w:rPr>
    </w:lvl>
    <w:lvl w:ilvl="5" w:tentative="0">
      <w:start w:val="1"/>
      <w:numFmt w:val="lowerLetter"/>
      <w:lvlText w:val="(%6)"/>
      <w:lvlJc w:val="left"/>
      <w:pPr>
        <w:tabs>
          <w:tab w:val="left" w:pos="3826"/>
        </w:tabs>
        <w:ind w:left="3401" w:firstLine="0"/>
      </w:pPr>
      <w:rPr>
        <w:rFonts w:hint="eastAsia"/>
      </w:rPr>
    </w:lvl>
    <w:lvl w:ilvl="6" w:tentative="0">
      <w:start w:val="1"/>
      <w:numFmt w:val="lowerRoman"/>
      <w:lvlText w:val="(%7)"/>
      <w:lvlJc w:val="left"/>
      <w:pPr>
        <w:tabs>
          <w:tab w:val="left" w:pos="4677"/>
        </w:tabs>
        <w:ind w:left="4251" w:firstLine="0"/>
      </w:pPr>
      <w:rPr>
        <w:rFonts w:hint="eastAsia"/>
      </w:rPr>
    </w:lvl>
    <w:lvl w:ilvl="7" w:tentative="0">
      <w:start w:val="1"/>
      <w:numFmt w:val="lowerLetter"/>
      <w:lvlText w:val="(%8)"/>
      <w:lvlJc w:val="left"/>
      <w:pPr>
        <w:tabs>
          <w:tab w:val="left" w:pos="5527"/>
        </w:tabs>
        <w:ind w:left="5102" w:firstLine="0"/>
      </w:pPr>
      <w:rPr>
        <w:rFonts w:hint="eastAsia"/>
      </w:rPr>
    </w:lvl>
    <w:lvl w:ilvl="8" w:tentative="0">
      <w:start w:val="1"/>
      <w:numFmt w:val="lowerRoman"/>
      <w:lvlText w:val="(%9)"/>
      <w:lvlJc w:val="left"/>
      <w:pPr>
        <w:tabs>
          <w:tab w:val="left" w:pos="6377"/>
        </w:tabs>
        <w:ind w:left="5952" w:firstLine="0"/>
      </w:pPr>
      <w:rPr>
        <w:rFonts w:hint="eastAsia"/>
      </w:rPr>
    </w:lvl>
  </w:abstractNum>
  <w:abstractNum w:abstractNumId="60">
    <w:nsid w:val="761C61BA"/>
    <w:multiLevelType w:val="multilevel"/>
    <w:tmpl w:val="761C61BA"/>
    <w:lvl w:ilvl="0" w:tentative="0">
      <w:start w:val="1"/>
      <w:numFmt w:val="decimalEnclosedCircle"/>
      <w:lvlText w:val="%1"/>
      <w:lvlJc w:val="left"/>
      <w:pPr>
        <w:ind w:left="900" w:hanging="420"/>
      </w:pPr>
      <w:rPr>
        <w:rFonts w:hint="default" w:ascii="微软雅黑" w:hAnsi="微软雅黑" w:eastAsia="微软雅黑"/>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1">
    <w:nsid w:val="77070C93"/>
    <w:multiLevelType w:val="multilevel"/>
    <w:tmpl w:val="77070C93"/>
    <w:lvl w:ilvl="0" w:tentative="0">
      <w:start w:val="1"/>
      <w:numFmt w:val="decimal"/>
      <w:pStyle w:val="497"/>
      <w:suff w:val="space"/>
      <w:lvlText w:val="%1."/>
      <w:lvlJc w:val="left"/>
      <w:pPr>
        <w:ind w:left="0" w:firstLine="0"/>
      </w:pPr>
      <w:rPr>
        <w:rFonts w:hint="eastAsia"/>
      </w:rPr>
    </w:lvl>
    <w:lvl w:ilvl="1" w:tentative="0">
      <w:start w:val="1"/>
      <w:numFmt w:val="decimal"/>
      <w:pStyle w:val="498"/>
      <w:suff w:val="space"/>
      <w:lvlText w:val="%1.%2"/>
      <w:lvlJc w:val="left"/>
      <w:pPr>
        <w:ind w:left="0" w:firstLine="0"/>
      </w:pPr>
      <w:rPr>
        <w:rFonts w:hint="eastAsia"/>
      </w:rPr>
    </w:lvl>
    <w:lvl w:ilvl="2" w:tentative="0">
      <w:start w:val="1"/>
      <w:numFmt w:val="decimal"/>
      <w:pStyle w:val="499"/>
      <w:suff w:val="space"/>
      <w:lvlText w:val="%1.%2.%3"/>
      <w:lvlJc w:val="left"/>
      <w:pPr>
        <w:ind w:left="0" w:firstLine="0"/>
      </w:pPr>
      <w:rPr>
        <w:rFonts w:hint="eastAsia"/>
      </w:rPr>
    </w:lvl>
    <w:lvl w:ilvl="3" w:tentative="0">
      <w:start w:val="1"/>
      <w:numFmt w:val="decimal"/>
      <w:pStyle w:val="500"/>
      <w:suff w:val="space"/>
      <w:lvlText w:val="%1.%2.%3.%4"/>
      <w:lvlJc w:val="left"/>
      <w:pPr>
        <w:ind w:left="0" w:firstLine="0"/>
      </w:pPr>
      <w:rPr>
        <w:rFonts w:hint="eastAsia"/>
      </w:rPr>
    </w:lvl>
    <w:lvl w:ilvl="4" w:tentative="0">
      <w:start w:val="1"/>
      <w:numFmt w:val="decimal"/>
      <w:pStyle w:val="501"/>
      <w:suff w:val="space"/>
      <w:lvlText w:val="%1.%2.%3.%4.%5"/>
      <w:lvlJc w:val="left"/>
      <w:pPr>
        <w:ind w:left="1080" w:firstLine="0"/>
      </w:pPr>
      <w:rPr>
        <w:rFonts w:hint="eastAsia"/>
      </w:rPr>
    </w:lvl>
    <w:lvl w:ilvl="5" w:tentative="0">
      <w:start w:val="1"/>
      <w:numFmt w:val="decimal"/>
      <w:pStyle w:val="502"/>
      <w:suff w:val="space"/>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decimal"/>
      <w:suff w:val="nothing"/>
      <w:lvlText w:val="%1.%2.%3.%4.%5.%6.%7.%8.%9"/>
      <w:lvlJc w:val="left"/>
      <w:pPr>
        <w:ind w:left="0" w:firstLine="0"/>
      </w:pPr>
      <w:rPr>
        <w:rFonts w:hint="eastAsia"/>
      </w:rPr>
    </w:lvl>
  </w:abstractNum>
  <w:abstractNum w:abstractNumId="62">
    <w:nsid w:val="771B262E"/>
    <w:multiLevelType w:val="multilevel"/>
    <w:tmpl w:val="771B262E"/>
    <w:lvl w:ilvl="0" w:tentative="0">
      <w:start w:val="1"/>
      <w:numFmt w:val="decimalEnclosedCircle"/>
      <w:lvlText w:val="%1"/>
      <w:lvlJc w:val="left"/>
      <w:pPr>
        <w:ind w:left="0" w:hanging="420"/>
      </w:pPr>
      <w:rPr>
        <w:rFonts w:hint="default"/>
      </w:rPr>
    </w:lvl>
    <w:lvl w:ilvl="1" w:tentative="0">
      <w:start w:val="1"/>
      <w:numFmt w:val="bullet"/>
      <w:lvlText w:val=""/>
      <w:lvlJc w:val="left"/>
      <w:pPr>
        <w:ind w:left="420" w:hanging="420"/>
      </w:pPr>
      <w:rPr>
        <w:rFonts w:hint="default" w:ascii="Wingdings" w:hAnsi="Wingdings"/>
      </w:rPr>
    </w:lvl>
    <w:lvl w:ilvl="2" w:tentative="0">
      <w:start w:val="1"/>
      <w:numFmt w:val="bullet"/>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63">
    <w:nsid w:val="79DB14C0"/>
    <w:multiLevelType w:val="multilevel"/>
    <w:tmpl w:val="79DB14C0"/>
    <w:lvl w:ilvl="0" w:tentative="0">
      <w:start w:val="1"/>
      <w:numFmt w:val="decimal"/>
      <w:lvlText w:val="%1"/>
      <w:lvlJc w:val="left"/>
      <w:pPr>
        <w:tabs>
          <w:tab w:val="left" w:pos="425"/>
        </w:tabs>
        <w:ind w:left="425" w:hanging="425"/>
      </w:pPr>
      <w:rPr>
        <w:rFonts w:hint="default"/>
        <w:b/>
        <w:i w:val="0"/>
        <w:sz w:val="24"/>
        <w:szCs w:val="24"/>
      </w:rPr>
    </w:lvl>
    <w:lvl w:ilvl="1" w:tentative="0">
      <w:start w:val="1"/>
      <w:numFmt w:val="decimal"/>
      <w:lvlText w:val="%1.%2"/>
      <w:lvlJc w:val="left"/>
      <w:pPr>
        <w:tabs>
          <w:tab w:val="left" w:pos="567"/>
        </w:tabs>
        <w:ind w:left="567" w:hanging="567"/>
      </w:pPr>
      <w:rPr>
        <w:rFonts w:hint="eastAsia"/>
        <w:b/>
        <w:i w:val="0"/>
        <w:sz w:val="24"/>
        <w:szCs w:val="24"/>
      </w:rPr>
    </w:lvl>
    <w:lvl w:ilvl="2" w:tentative="0">
      <w:start w:val="1"/>
      <w:numFmt w:val="decimal"/>
      <w:pStyle w:val="247"/>
      <w:lvlText w:val="%1.%2.%3"/>
      <w:lvlJc w:val="left"/>
      <w:pPr>
        <w:tabs>
          <w:tab w:val="left" w:pos="680"/>
        </w:tabs>
        <w:ind w:left="709" w:hanging="709"/>
      </w:pPr>
      <w:rPr>
        <w:rFonts w:hint="eastAsia"/>
        <w:b w:val="0"/>
        <w:i w:val="0"/>
        <w:color w:val="auto"/>
        <w:sz w:val="24"/>
        <w:szCs w:val="24"/>
      </w:rPr>
    </w:lvl>
    <w:lvl w:ilvl="3" w:tentative="0">
      <w:start w:val="1"/>
      <w:numFmt w:val="decimal"/>
      <w:lvlText w:val="%1.%2.%3.%4"/>
      <w:lvlJc w:val="left"/>
      <w:pPr>
        <w:tabs>
          <w:tab w:val="left" w:pos="851"/>
        </w:tabs>
        <w:ind w:left="0" w:firstLine="0"/>
      </w:pPr>
      <w:rPr>
        <w:rFonts w:hint="eastAsia"/>
        <w:b w:val="0"/>
        <w:i w:val="0"/>
        <w:sz w:val="24"/>
        <w:szCs w:val="24"/>
      </w:rPr>
    </w:lvl>
    <w:lvl w:ilvl="4" w:tentative="0">
      <w:start w:val="1"/>
      <w:numFmt w:val="decimal"/>
      <w:lvlText w:val="%1.%2.%3.%4.%5."/>
      <w:lvlJc w:val="left"/>
      <w:pPr>
        <w:tabs>
          <w:tab w:val="left" w:pos="992"/>
        </w:tabs>
        <w:ind w:left="992" w:hanging="992"/>
      </w:pPr>
      <w:rPr>
        <w:rFonts w:hint="default"/>
        <w:b/>
        <w:i w:val="0"/>
        <w:sz w:val="24"/>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4">
    <w:nsid w:val="7B990271"/>
    <w:multiLevelType w:val="multilevel"/>
    <w:tmpl w:val="7B990271"/>
    <w:lvl w:ilvl="0" w:tentative="0">
      <w:start w:val="1"/>
      <w:numFmt w:val="decimal"/>
      <w:lvlText w:val="(%1)"/>
      <w:lvlJc w:val="left"/>
      <w:pPr>
        <w:tabs>
          <w:tab w:val="left" w:pos="0"/>
        </w:tabs>
        <w:ind w:left="0" w:firstLine="0"/>
      </w:pPr>
      <w:rPr>
        <w:rFonts w:hint="eastAsia"/>
      </w:rPr>
    </w:lvl>
    <w:lvl w:ilvl="1" w:tentative="0">
      <w:start w:val="1"/>
      <w:numFmt w:val="lowerLetter"/>
      <w:lvlText w:val="%2)"/>
      <w:lvlJc w:val="left"/>
      <w:pPr>
        <w:tabs>
          <w:tab w:val="left" w:pos="840"/>
        </w:tabs>
        <w:ind w:left="840" w:hanging="420"/>
      </w:pPr>
    </w:lvl>
    <w:lvl w:ilvl="2" w:tentative="0">
      <w:start w:val="1"/>
      <w:numFmt w:val="decimalEnclosedCircle"/>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5">
    <w:nsid w:val="7E1427B5"/>
    <w:multiLevelType w:val="multilevel"/>
    <w:tmpl w:val="7E1427B5"/>
    <w:lvl w:ilvl="0" w:tentative="0">
      <w:start w:val="1"/>
      <w:numFmt w:val="decimal"/>
      <w:suff w:val="nothing"/>
      <w:lvlText w:val="%1."/>
      <w:lvlJc w:val="left"/>
      <w:pPr>
        <w:ind w:left="0" w:firstLine="0"/>
      </w:pPr>
      <w:rPr>
        <w:rFonts w:hint="default" w:ascii="Times New Roman" w:hAnsi="Times New Roman" w:eastAsia="宋体"/>
        <w:b/>
        <w:i w:val="0"/>
        <w:color w:val="FF0000"/>
        <w:sz w:val="24"/>
        <w:szCs w:val="24"/>
      </w:rPr>
    </w:lvl>
    <w:lvl w:ilvl="1" w:tentative="0">
      <w:start w:val="1"/>
      <w:numFmt w:val="decimal"/>
      <w:pStyle w:val="254"/>
      <w:lvlText w:val="%1.%2."/>
      <w:lvlJc w:val="left"/>
      <w:pPr>
        <w:tabs>
          <w:tab w:val="left" w:pos="1571"/>
        </w:tabs>
        <w:ind w:left="1571" w:hanging="567"/>
      </w:pPr>
      <w:rPr>
        <w:rFonts w:hint="eastAsia"/>
      </w:rPr>
    </w:lvl>
    <w:lvl w:ilvl="2" w:tentative="0">
      <w:start w:val="1"/>
      <w:numFmt w:val="decimal"/>
      <w:lvlText w:val="%1.%2.%3."/>
      <w:lvlJc w:val="left"/>
      <w:pPr>
        <w:tabs>
          <w:tab w:val="left" w:pos="1713"/>
        </w:tabs>
        <w:ind w:left="1713" w:hanging="709"/>
      </w:pPr>
      <w:rPr>
        <w:rFonts w:hint="eastAsia"/>
      </w:rPr>
    </w:lvl>
    <w:lvl w:ilvl="3" w:tentative="0">
      <w:start w:val="1"/>
      <w:numFmt w:val="decimal"/>
      <w:suff w:val="nothing"/>
      <w:lvlText w:val="%1.%2.%3.%4"/>
      <w:lvlJc w:val="left"/>
      <w:pPr>
        <w:ind w:left="804" w:firstLine="0"/>
      </w:pPr>
      <w:rPr>
        <w:rFonts w:hint="eastAsia" w:eastAsia="宋体"/>
        <w:sz w:val="24"/>
        <w:szCs w:val="24"/>
      </w:rPr>
    </w:lvl>
    <w:lvl w:ilvl="4" w:tentative="0">
      <w:start w:val="1"/>
      <w:numFmt w:val="decimal"/>
      <w:lvlRestart w:val="3"/>
      <w:suff w:val="space"/>
      <w:lvlText w:val="%2.%3.%4.%5"/>
      <w:lvlJc w:val="left"/>
      <w:pPr>
        <w:ind w:left="0" w:firstLine="0"/>
      </w:pPr>
      <w:rPr>
        <w:rFonts w:hint="default" w:ascii="Arial" w:hAnsi="Arial" w:eastAsia="宋体" w:cs="Times New Roman"/>
        <w:b/>
        <w:bCs w:val="0"/>
        <w:i w:val="0"/>
        <w:iCs w:val="0"/>
        <w:caps w:val="0"/>
        <w:strike w:val="0"/>
        <w:dstrike w:val="0"/>
        <w:vanish w:val="0"/>
        <w:color w:val="000000"/>
        <w:spacing w:val="0"/>
        <w:position w:val="0"/>
        <w:u w:val="none"/>
        <w:vertAlign w:val="baseline"/>
      </w:rPr>
    </w:lvl>
    <w:lvl w:ilvl="5" w:tentative="0">
      <w:start w:val="1"/>
      <w:numFmt w:val="decimal"/>
      <w:lvlText w:val="%1.%2.%3.%4.%5.%6."/>
      <w:lvlJc w:val="left"/>
      <w:pPr>
        <w:tabs>
          <w:tab w:val="left" w:pos="2138"/>
        </w:tabs>
        <w:ind w:left="2138" w:hanging="1134"/>
      </w:pPr>
      <w:rPr>
        <w:rFonts w:hint="eastAsia"/>
      </w:rPr>
    </w:lvl>
    <w:lvl w:ilvl="6" w:tentative="0">
      <w:start w:val="1"/>
      <w:numFmt w:val="decimal"/>
      <w:lvlText w:val="%1.%2.%3.%4.%5.%6.%7."/>
      <w:lvlJc w:val="left"/>
      <w:pPr>
        <w:tabs>
          <w:tab w:val="left" w:pos="2280"/>
        </w:tabs>
        <w:ind w:left="2280" w:hanging="1276"/>
      </w:pPr>
      <w:rPr>
        <w:rFonts w:hint="eastAsia"/>
      </w:rPr>
    </w:lvl>
    <w:lvl w:ilvl="7" w:tentative="0">
      <w:start w:val="1"/>
      <w:numFmt w:val="decimal"/>
      <w:lvlText w:val="%1.%2.%3.%4.%5.%6.%7.%8."/>
      <w:lvlJc w:val="left"/>
      <w:pPr>
        <w:tabs>
          <w:tab w:val="left" w:pos="2422"/>
        </w:tabs>
        <w:ind w:left="2422" w:hanging="1418"/>
      </w:pPr>
      <w:rPr>
        <w:rFonts w:hint="eastAsia"/>
      </w:rPr>
    </w:lvl>
    <w:lvl w:ilvl="8" w:tentative="0">
      <w:start w:val="1"/>
      <w:numFmt w:val="decimal"/>
      <w:lvlText w:val="%1.%2.%3.%4.%5.%6.%7.%8.%9."/>
      <w:lvlJc w:val="left"/>
      <w:pPr>
        <w:tabs>
          <w:tab w:val="left" w:pos="2563"/>
        </w:tabs>
        <w:ind w:left="2563" w:hanging="1559"/>
      </w:pPr>
      <w:rPr>
        <w:rFonts w:hint="eastAsia"/>
      </w:rPr>
    </w:lvl>
  </w:abstractNum>
  <w:num w:numId="1">
    <w:abstractNumId w:val="26"/>
  </w:num>
  <w:num w:numId="2">
    <w:abstractNumId w:val="37"/>
  </w:num>
  <w:num w:numId="3">
    <w:abstractNumId w:val="12"/>
  </w:num>
  <w:num w:numId="4">
    <w:abstractNumId w:val="7"/>
  </w:num>
  <w:num w:numId="5">
    <w:abstractNumId w:val="5"/>
  </w:num>
  <w:num w:numId="6">
    <w:abstractNumId w:val="3"/>
  </w:num>
  <w:num w:numId="7">
    <w:abstractNumId w:val="6"/>
  </w:num>
  <w:num w:numId="8">
    <w:abstractNumId w:val="4"/>
  </w:num>
  <w:num w:numId="9">
    <w:abstractNumId w:val="2"/>
  </w:num>
  <w:num w:numId="10">
    <w:abstractNumId w:val="1"/>
  </w:num>
  <w:num w:numId="11">
    <w:abstractNumId w:val="10"/>
  </w:num>
  <w:num w:numId="12">
    <w:abstractNumId w:val="38"/>
  </w:num>
  <w:num w:numId="13">
    <w:abstractNumId w:val="59"/>
  </w:num>
  <w:num w:numId="14">
    <w:abstractNumId w:val="9"/>
  </w:num>
  <w:num w:numId="15">
    <w:abstractNumId w:val="31"/>
  </w:num>
  <w:num w:numId="16">
    <w:abstractNumId w:val="21"/>
  </w:num>
  <w:num w:numId="17">
    <w:abstractNumId w:val="53"/>
  </w:num>
  <w:num w:numId="18">
    <w:abstractNumId w:val="28"/>
  </w:num>
  <w:num w:numId="19">
    <w:abstractNumId w:val="40"/>
  </w:num>
  <w:num w:numId="20">
    <w:abstractNumId w:val="16"/>
  </w:num>
  <w:num w:numId="21">
    <w:abstractNumId w:val="63"/>
  </w:num>
  <w:num w:numId="22">
    <w:abstractNumId w:val="65"/>
  </w:num>
  <w:num w:numId="23">
    <w:abstractNumId w:val="8"/>
  </w:num>
  <w:num w:numId="24">
    <w:abstractNumId w:val="29"/>
  </w:num>
  <w:num w:numId="25">
    <w:abstractNumId w:val="30"/>
  </w:num>
  <w:num w:numId="26">
    <w:abstractNumId w:val="35"/>
  </w:num>
  <w:num w:numId="27">
    <w:abstractNumId w:val="11"/>
  </w:num>
  <w:num w:numId="28">
    <w:abstractNumId w:val="45"/>
  </w:num>
  <w:num w:numId="29">
    <w:abstractNumId w:val="42"/>
  </w:num>
  <w:num w:numId="30">
    <w:abstractNumId w:val="52"/>
  </w:num>
  <w:num w:numId="31">
    <w:abstractNumId w:val="54"/>
  </w:num>
  <w:num w:numId="32">
    <w:abstractNumId w:val="55"/>
  </w:num>
  <w:num w:numId="33">
    <w:abstractNumId w:val="36"/>
  </w:num>
  <w:num w:numId="34">
    <w:abstractNumId w:val="39"/>
  </w:num>
  <w:num w:numId="35">
    <w:abstractNumId w:val="18"/>
  </w:num>
  <w:num w:numId="36">
    <w:abstractNumId w:val="43"/>
  </w:num>
  <w:num w:numId="37">
    <w:abstractNumId w:val="33"/>
  </w:num>
  <w:num w:numId="38">
    <w:abstractNumId w:val="57"/>
  </w:num>
  <w:num w:numId="39">
    <w:abstractNumId w:val="49"/>
  </w:num>
  <w:num w:numId="40">
    <w:abstractNumId w:val="61"/>
  </w:num>
  <w:num w:numId="41">
    <w:abstractNumId w:val="22"/>
  </w:num>
  <w:num w:numId="42">
    <w:abstractNumId w:val="32"/>
  </w:num>
  <w:num w:numId="43">
    <w:abstractNumId w:val="13"/>
  </w:num>
  <w:num w:numId="44">
    <w:abstractNumId w:val="24"/>
  </w:num>
  <w:num w:numId="45">
    <w:abstractNumId w:val="56"/>
  </w:num>
  <w:num w:numId="46">
    <w:abstractNumId w:val="48"/>
  </w:num>
  <w:num w:numId="47">
    <w:abstractNumId w:val="19"/>
  </w:num>
  <w:num w:numId="48">
    <w:abstractNumId w:val="44"/>
  </w:num>
  <w:num w:numId="49">
    <w:abstractNumId w:val="0"/>
  </w:num>
  <w:num w:numId="50">
    <w:abstractNumId w:val="41"/>
  </w:num>
  <w:num w:numId="51">
    <w:abstractNumId w:val="58"/>
  </w:num>
  <w:num w:numId="52">
    <w:abstractNumId w:val="34"/>
  </w:num>
  <w:num w:numId="53">
    <w:abstractNumId w:val="60"/>
  </w:num>
  <w:num w:numId="54">
    <w:abstractNumId w:val="64"/>
  </w:num>
  <w:num w:numId="55">
    <w:abstractNumId w:val="62"/>
  </w:num>
  <w:num w:numId="56">
    <w:abstractNumId w:val="47"/>
  </w:num>
  <w:num w:numId="57">
    <w:abstractNumId w:val="51"/>
  </w:num>
  <w:num w:numId="58">
    <w:abstractNumId w:val="27"/>
  </w:num>
  <w:num w:numId="59">
    <w:abstractNumId w:val="23"/>
  </w:num>
  <w:num w:numId="60">
    <w:abstractNumId w:val="20"/>
  </w:num>
  <w:num w:numId="61">
    <w:abstractNumId w:val="46"/>
  </w:num>
  <w:num w:numId="62">
    <w:abstractNumId w:val="15"/>
  </w:num>
  <w:num w:numId="63">
    <w:abstractNumId w:val="50"/>
  </w:num>
  <w:num w:numId="64">
    <w:abstractNumId w:val="14"/>
  </w:num>
  <w:num w:numId="65">
    <w:abstractNumId w:val="25"/>
  </w:num>
  <w:num w:numId="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
  <w:embedSystemFonts/>
  <w:bordersDoNotSurroundHeader w:val="1"/>
  <w:bordersDoNotSurroundFooter w:val="1"/>
  <w:hideSpellingErrors/>
  <w:hideGrammatical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EAD"/>
    <w:rsid w:val="00007A1B"/>
    <w:rsid w:val="000258FE"/>
    <w:rsid w:val="00026ECC"/>
    <w:rsid w:val="000310A6"/>
    <w:rsid w:val="00034B02"/>
    <w:rsid w:val="00034D4D"/>
    <w:rsid w:val="0005072E"/>
    <w:rsid w:val="00052780"/>
    <w:rsid w:val="0005282F"/>
    <w:rsid w:val="00062116"/>
    <w:rsid w:val="00062B22"/>
    <w:rsid w:val="00072887"/>
    <w:rsid w:val="000A3503"/>
    <w:rsid w:val="000A5422"/>
    <w:rsid w:val="000B3A1B"/>
    <w:rsid w:val="000C155C"/>
    <w:rsid w:val="000C2785"/>
    <w:rsid w:val="000C4647"/>
    <w:rsid w:val="000C55E5"/>
    <w:rsid w:val="000C773C"/>
    <w:rsid w:val="000D4050"/>
    <w:rsid w:val="000E0762"/>
    <w:rsid w:val="000F0FBB"/>
    <w:rsid w:val="000F2019"/>
    <w:rsid w:val="0010172E"/>
    <w:rsid w:val="00114648"/>
    <w:rsid w:val="00120DE4"/>
    <w:rsid w:val="00122E58"/>
    <w:rsid w:val="00123873"/>
    <w:rsid w:val="00124E22"/>
    <w:rsid w:val="00132030"/>
    <w:rsid w:val="00133FA3"/>
    <w:rsid w:val="00147923"/>
    <w:rsid w:val="00151D5B"/>
    <w:rsid w:val="00153E30"/>
    <w:rsid w:val="0016024F"/>
    <w:rsid w:val="00163918"/>
    <w:rsid w:val="00165798"/>
    <w:rsid w:val="001662B4"/>
    <w:rsid w:val="001901CC"/>
    <w:rsid w:val="00191E1A"/>
    <w:rsid w:val="00192A20"/>
    <w:rsid w:val="001936E4"/>
    <w:rsid w:val="00197C79"/>
    <w:rsid w:val="001A3BAA"/>
    <w:rsid w:val="001A4E06"/>
    <w:rsid w:val="001C00B9"/>
    <w:rsid w:val="001C5A1D"/>
    <w:rsid w:val="001C673F"/>
    <w:rsid w:val="001E11C2"/>
    <w:rsid w:val="0022686F"/>
    <w:rsid w:val="002273C1"/>
    <w:rsid w:val="00230AE1"/>
    <w:rsid w:val="00232641"/>
    <w:rsid w:val="00235747"/>
    <w:rsid w:val="00240076"/>
    <w:rsid w:val="00244AB6"/>
    <w:rsid w:val="0025017C"/>
    <w:rsid w:val="00251904"/>
    <w:rsid w:val="002522BE"/>
    <w:rsid w:val="002636C1"/>
    <w:rsid w:val="00284C61"/>
    <w:rsid w:val="00290AC2"/>
    <w:rsid w:val="002940DB"/>
    <w:rsid w:val="002B18AF"/>
    <w:rsid w:val="002B73FC"/>
    <w:rsid w:val="002D551B"/>
    <w:rsid w:val="002E0DB5"/>
    <w:rsid w:val="002F0569"/>
    <w:rsid w:val="002F2DF9"/>
    <w:rsid w:val="002F5A1E"/>
    <w:rsid w:val="003011A4"/>
    <w:rsid w:val="00304B8B"/>
    <w:rsid w:val="003104C2"/>
    <w:rsid w:val="00310FF2"/>
    <w:rsid w:val="00313DA2"/>
    <w:rsid w:val="00316FB6"/>
    <w:rsid w:val="0032597E"/>
    <w:rsid w:val="0033250B"/>
    <w:rsid w:val="003453F7"/>
    <w:rsid w:val="00346E0C"/>
    <w:rsid w:val="00350469"/>
    <w:rsid w:val="00352853"/>
    <w:rsid w:val="003619C4"/>
    <w:rsid w:val="00376C61"/>
    <w:rsid w:val="00394622"/>
    <w:rsid w:val="003B0560"/>
    <w:rsid w:val="003C6C31"/>
    <w:rsid w:val="003E0CCF"/>
    <w:rsid w:val="004124D9"/>
    <w:rsid w:val="00413D16"/>
    <w:rsid w:val="00424D90"/>
    <w:rsid w:val="0043355C"/>
    <w:rsid w:val="0044390C"/>
    <w:rsid w:val="00455B8D"/>
    <w:rsid w:val="00474C16"/>
    <w:rsid w:val="004B1CF5"/>
    <w:rsid w:val="004B642B"/>
    <w:rsid w:val="004C07A9"/>
    <w:rsid w:val="004C57FA"/>
    <w:rsid w:val="004C689A"/>
    <w:rsid w:val="004D181E"/>
    <w:rsid w:val="004E0882"/>
    <w:rsid w:val="004E1268"/>
    <w:rsid w:val="004E2277"/>
    <w:rsid w:val="00504905"/>
    <w:rsid w:val="00504D98"/>
    <w:rsid w:val="005051FC"/>
    <w:rsid w:val="005063F0"/>
    <w:rsid w:val="0051544D"/>
    <w:rsid w:val="00531C3E"/>
    <w:rsid w:val="00540131"/>
    <w:rsid w:val="005557ED"/>
    <w:rsid w:val="00570E35"/>
    <w:rsid w:val="0057231E"/>
    <w:rsid w:val="00590493"/>
    <w:rsid w:val="00596743"/>
    <w:rsid w:val="005A31BE"/>
    <w:rsid w:val="005A48AD"/>
    <w:rsid w:val="005B3110"/>
    <w:rsid w:val="005C1519"/>
    <w:rsid w:val="005D2110"/>
    <w:rsid w:val="005F003E"/>
    <w:rsid w:val="005F60C0"/>
    <w:rsid w:val="00605A8C"/>
    <w:rsid w:val="006106E9"/>
    <w:rsid w:val="006203CF"/>
    <w:rsid w:val="00634E61"/>
    <w:rsid w:val="00636325"/>
    <w:rsid w:val="00641F4B"/>
    <w:rsid w:val="00644DFF"/>
    <w:rsid w:val="00645966"/>
    <w:rsid w:val="0065385B"/>
    <w:rsid w:val="0066193E"/>
    <w:rsid w:val="00683DD9"/>
    <w:rsid w:val="0068435C"/>
    <w:rsid w:val="006857B0"/>
    <w:rsid w:val="00690036"/>
    <w:rsid w:val="00695B25"/>
    <w:rsid w:val="006A46E6"/>
    <w:rsid w:val="006B1F3E"/>
    <w:rsid w:val="006B6CF6"/>
    <w:rsid w:val="006C107F"/>
    <w:rsid w:val="006D3A50"/>
    <w:rsid w:val="006E4E79"/>
    <w:rsid w:val="006F1715"/>
    <w:rsid w:val="006F24BF"/>
    <w:rsid w:val="006F7E10"/>
    <w:rsid w:val="00702B93"/>
    <w:rsid w:val="00706A77"/>
    <w:rsid w:val="00730D72"/>
    <w:rsid w:val="007378F9"/>
    <w:rsid w:val="00745F1D"/>
    <w:rsid w:val="007462F4"/>
    <w:rsid w:val="007503E8"/>
    <w:rsid w:val="00754552"/>
    <w:rsid w:val="00756520"/>
    <w:rsid w:val="00782D77"/>
    <w:rsid w:val="007854C1"/>
    <w:rsid w:val="00785E5C"/>
    <w:rsid w:val="00790984"/>
    <w:rsid w:val="00795B9B"/>
    <w:rsid w:val="0079712F"/>
    <w:rsid w:val="007A037A"/>
    <w:rsid w:val="007A0BD1"/>
    <w:rsid w:val="007A1FB2"/>
    <w:rsid w:val="007A4E2B"/>
    <w:rsid w:val="007A4F0E"/>
    <w:rsid w:val="007C0DF8"/>
    <w:rsid w:val="007C47F7"/>
    <w:rsid w:val="007D5B15"/>
    <w:rsid w:val="007F411A"/>
    <w:rsid w:val="007F7CF6"/>
    <w:rsid w:val="0080208C"/>
    <w:rsid w:val="00810706"/>
    <w:rsid w:val="00822FFB"/>
    <w:rsid w:val="008249B6"/>
    <w:rsid w:val="00824FAE"/>
    <w:rsid w:val="008277DC"/>
    <w:rsid w:val="0083116C"/>
    <w:rsid w:val="0085130B"/>
    <w:rsid w:val="00856E72"/>
    <w:rsid w:val="0086058D"/>
    <w:rsid w:val="0087595E"/>
    <w:rsid w:val="00877692"/>
    <w:rsid w:val="00887E0F"/>
    <w:rsid w:val="008972E8"/>
    <w:rsid w:val="008B6853"/>
    <w:rsid w:val="008C2A32"/>
    <w:rsid w:val="008C734E"/>
    <w:rsid w:val="008D10B9"/>
    <w:rsid w:val="008D6544"/>
    <w:rsid w:val="008E711C"/>
    <w:rsid w:val="008F6D13"/>
    <w:rsid w:val="008F7B16"/>
    <w:rsid w:val="00901C15"/>
    <w:rsid w:val="00902EA0"/>
    <w:rsid w:val="00904D09"/>
    <w:rsid w:val="009147E4"/>
    <w:rsid w:val="00920FB9"/>
    <w:rsid w:val="00921292"/>
    <w:rsid w:val="00922544"/>
    <w:rsid w:val="00933E4A"/>
    <w:rsid w:val="00945B73"/>
    <w:rsid w:val="00954463"/>
    <w:rsid w:val="00963B75"/>
    <w:rsid w:val="00966826"/>
    <w:rsid w:val="009707C5"/>
    <w:rsid w:val="0097106C"/>
    <w:rsid w:val="00981780"/>
    <w:rsid w:val="00985B28"/>
    <w:rsid w:val="009930EB"/>
    <w:rsid w:val="009A3297"/>
    <w:rsid w:val="009A6450"/>
    <w:rsid w:val="009B0DAD"/>
    <w:rsid w:val="009B5F85"/>
    <w:rsid w:val="009C3A1D"/>
    <w:rsid w:val="009D1C50"/>
    <w:rsid w:val="009D37B7"/>
    <w:rsid w:val="009D7F63"/>
    <w:rsid w:val="009F06EC"/>
    <w:rsid w:val="009F5BA7"/>
    <w:rsid w:val="009F794E"/>
    <w:rsid w:val="00A113BA"/>
    <w:rsid w:val="00A252D9"/>
    <w:rsid w:val="00A36E93"/>
    <w:rsid w:val="00A418A1"/>
    <w:rsid w:val="00A47C4B"/>
    <w:rsid w:val="00A52F9E"/>
    <w:rsid w:val="00A5788F"/>
    <w:rsid w:val="00A61D6B"/>
    <w:rsid w:val="00A678B9"/>
    <w:rsid w:val="00A777D0"/>
    <w:rsid w:val="00A856B4"/>
    <w:rsid w:val="00A86792"/>
    <w:rsid w:val="00AA5920"/>
    <w:rsid w:val="00AB02C0"/>
    <w:rsid w:val="00AC0613"/>
    <w:rsid w:val="00AC1A68"/>
    <w:rsid w:val="00AC3AEF"/>
    <w:rsid w:val="00AD085B"/>
    <w:rsid w:val="00AD599F"/>
    <w:rsid w:val="00AD773A"/>
    <w:rsid w:val="00AD789D"/>
    <w:rsid w:val="00AE0FEE"/>
    <w:rsid w:val="00AE397C"/>
    <w:rsid w:val="00AE57B5"/>
    <w:rsid w:val="00AF06DD"/>
    <w:rsid w:val="00AF2947"/>
    <w:rsid w:val="00AF7C99"/>
    <w:rsid w:val="00B00331"/>
    <w:rsid w:val="00B0035A"/>
    <w:rsid w:val="00B11CB8"/>
    <w:rsid w:val="00B20E72"/>
    <w:rsid w:val="00B26C1D"/>
    <w:rsid w:val="00B278C9"/>
    <w:rsid w:val="00B57B65"/>
    <w:rsid w:val="00B64CC2"/>
    <w:rsid w:val="00B66731"/>
    <w:rsid w:val="00B700AC"/>
    <w:rsid w:val="00B72893"/>
    <w:rsid w:val="00BA0283"/>
    <w:rsid w:val="00BB017F"/>
    <w:rsid w:val="00BB2572"/>
    <w:rsid w:val="00BB3C08"/>
    <w:rsid w:val="00BB7B27"/>
    <w:rsid w:val="00BF09DD"/>
    <w:rsid w:val="00BF7DC7"/>
    <w:rsid w:val="00C23B26"/>
    <w:rsid w:val="00C271CB"/>
    <w:rsid w:val="00C47CF2"/>
    <w:rsid w:val="00C62219"/>
    <w:rsid w:val="00C6476C"/>
    <w:rsid w:val="00C80F62"/>
    <w:rsid w:val="00C851AE"/>
    <w:rsid w:val="00C95C44"/>
    <w:rsid w:val="00CA2370"/>
    <w:rsid w:val="00CA4ECE"/>
    <w:rsid w:val="00CB0137"/>
    <w:rsid w:val="00CB1BD8"/>
    <w:rsid w:val="00CB42F5"/>
    <w:rsid w:val="00CC5E28"/>
    <w:rsid w:val="00CD0F6F"/>
    <w:rsid w:val="00CD18AF"/>
    <w:rsid w:val="00CD6A74"/>
    <w:rsid w:val="00CE6805"/>
    <w:rsid w:val="00D00084"/>
    <w:rsid w:val="00D001F3"/>
    <w:rsid w:val="00D02683"/>
    <w:rsid w:val="00D04810"/>
    <w:rsid w:val="00D10EAD"/>
    <w:rsid w:val="00D277B1"/>
    <w:rsid w:val="00D33122"/>
    <w:rsid w:val="00D339F3"/>
    <w:rsid w:val="00D3655E"/>
    <w:rsid w:val="00D36A09"/>
    <w:rsid w:val="00D65B79"/>
    <w:rsid w:val="00D71243"/>
    <w:rsid w:val="00D76B9C"/>
    <w:rsid w:val="00D852C0"/>
    <w:rsid w:val="00DA40D8"/>
    <w:rsid w:val="00DB6A98"/>
    <w:rsid w:val="00DC5518"/>
    <w:rsid w:val="00DD2271"/>
    <w:rsid w:val="00DD2A3B"/>
    <w:rsid w:val="00DD4B80"/>
    <w:rsid w:val="00DD6772"/>
    <w:rsid w:val="00DE7DD2"/>
    <w:rsid w:val="00DF5505"/>
    <w:rsid w:val="00E02280"/>
    <w:rsid w:val="00E04262"/>
    <w:rsid w:val="00E0494F"/>
    <w:rsid w:val="00E05C1F"/>
    <w:rsid w:val="00E25496"/>
    <w:rsid w:val="00E2663B"/>
    <w:rsid w:val="00E429BB"/>
    <w:rsid w:val="00E464EC"/>
    <w:rsid w:val="00E475FB"/>
    <w:rsid w:val="00E50843"/>
    <w:rsid w:val="00E533B9"/>
    <w:rsid w:val="00E6618D"/>
    <w:rsid w:val="00E7286D"/>
    <w:rsid w:val="00E76A0D"/>
    <w:rsid w:val="00E77724"/>
    <w:rsid w:val="00E852B0"/>
    <w:rsid w:val="00E91CE0"/>
    <w:rsid w:val="00E978F5"/>
    <w:rsid w:val="00EA580C"/>
    <w:rsid w:val="00EB744B"/>
    <w:rsid w:val="00EB786F"/>
    <w:rsid w:val="00EC517B"/>
    <w:rsid w:val="00ED4B24"/>
    <w:rsid w:val="00EE2CAF"/>
    <w:rsid w:val="00EE3D89"/>
    <w:rsid w:val="00EE4012"/>
    <w:rsid w:val="00EF15B0"/>
    <w:rsid w:val="00EF3B6B"/>
    <w:rsid w:val="00F05399"/>
    <w:rsid w:val="00F05C09"/>
    <w:rsid w:val="00F165AB"/>
    <w:rsid w:val="00F168B0"/>
    <w:rsid w:val="00F35735"/>
    <w:rsid w:val="00F44959"/>
    <w:rsid w:val="00F6211B"/>
    <w:rsid w:val="00F656F6"/>
    <w:rsid w:val="00F71230"/>
    <w:rsid w:val="00F77320"/>
    <w:rsid w:val="00F80F4F"/>
    <w:rsid w:val="00F92E8D"/>
    <w:rsid w:val="00F955D1"/>
    <w:rsid w:val="00FA00EF"/>
    <w:rsid w:val="00FA39A4"/>
    <w:rsid w:val="00FB42EC"/>
    <w:rsid w:val="00FB4D64"/>
    <w:rsid w:val="00FC1FA6"/>
    <w:rsid w:val="00FC56D2"/>
    <w:rsid w:val="00FD10A0"/>
    <w:rsid w:val="00FD1673"/>
    <w:rsid w:val="00FD2AE3"/>
    <w:rsid w:val="00FD4F10"/>
    <w:rsid w:val="00FF14DA"/>
    <w:rsid w:val="1405078F"/>
    <w:rsid w:val="17B03691"/>
    <w:rsid w:val="190D754F"/>
    <w:rsid w:val="24403B02"/>
    <w:rsid w:val="25F9748B"/>
    <w:rsid w:val="2A8062A1"/>
    <w:rsid w:val="3F262486"/>
    <w:rsid w:val="422641F4"/>
    <w:rsid w:val="49612456"/>
    <w:rsid w:val="4D0D3D24"/>
    <w:rsid w:val="52071233"/>
    <w:rsid w:val="55735B9F"/>
    <w:rsid w:val="56A75891"/>
    <w:rsid w:val="5BFB0F79"/>
    <w:rsid w:val="5D56747B"/>
    <w:rsid w:val="6289578E"/>
    <w:rsid w:val="639D460E"/>
    <w:rsid w:val="643371E9"/>
    <w:rsid w:val="6ADE4093"/>
    <w:rsid w:val="6CBF4C0B"/>
    <w:rsid w:val="6EAE2FB8"/>
    <w:rsid w:val="6FA25CC0"/>
    <w:rsid w:val="73652CBF"/>
    <w:rsid w:val="7B2819B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iPriority="99" w:semiHidden="0" w:name="header"/>
    <w:lsdException w:qFormat="1" w:uiPriority="99" w:semiHidden="0" w:name="footer"/>
    <w:lsdException w:uiPriority="0" w:name="index heading"/>
    <w:lsdException w:qFormat="1" w:unhideWhenUsed="0" w:uiPriority="0" w:semiHidden="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qFormat="1" w:unhideWhenUsed="0"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qFormat="1" w:unhideWhenUsed="0" w:uiPriority="0" w:semiHidden="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qFormat="1"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3">
    <w:name w:val="heading 1"/>
    <w:basedOn w:val="1"/>
    <w:next w:val="1"/>
    <w:link w:val="312"/>
    <w:qFormat/>
    <w:uiPriority w:val="0"/>
    <w:pPr>
      <w:pageBreakBefore/>
      <w:numPr>
        <w:ilvl w:val="0"/>
        <w:numId w:val="1"/>
      </w:numPr>
      <w:adjustRightInd w:val="0"/>
      <w:ind w:left="0" w:firstLine="0" w:firstLineChars="0"/>
      <w:jc w:val="left"/>
      <w:outlineLvl w:val="0"/>
    </w:pPr>
    <w:rPr>
      <w:rFonts w:cs="Arial"/>
      <w:b/>
      <w:bCs/>
      <w:color w:val="000000"/>
      <w:kern w:val="24"/>
      <w:szCs w:val="24"/>
    </w:rPr>
  </w:style>
  <w:style w:type="paragraph" w:styleId="4">
    <w:name w:val="heading 2"/>
    <w:basedOn w:val="1"/>
    <w:next w:val="1"/>
    <w:link w:val="128"/>
    <w:unhideWhenUsed/>
    <w:qFormat/>
    <w:uiPriority w:val="0"/>
    <w:pPr>
      <w:keepNext/>
      <w:keepLines/>
      <w:numPr>
        <w:ilvl w:val="1"/>
        <w:numId w:val="2"/>
      </w:numPr>
      <w:spacing w:before="260" w:after="260"/>
      <w:ind w:firstLineChars="0"/>
      <w:jc w:val="left"/>
      <w:outlineLvl w:val="1"/>
    </w:pPr>
    <w:rPr>
      <w:rFonts w:cstheme="majorBidi"/>
      <w:b/>
      <w:bCs/>
      <w:szCs w:val="32"/>
    </w:rPr>
  </w:style>
  <w:style w:type="paragraph" w:styleId="5">
    <w:name w:val="heading 3"/>
    <w:basedOn w:val="1"/>
    <w:next w:val="1"/>
    <w:link w:val="129"/>
    <w:unhideWhenUsed/>
    <w:qFormat/>
    <w:uiPriority w:val="0"/>
    <w:pPr>
      <w:keepNext/>
      <w:keepLines/>
      <w:numPr>
        <w:ilvl w:val="2"/>
        <w:numId w:val="2"/>
      </w:numPr>
      <w:spacing w:before="260" w:after="260"/>
      <w:ind w:firstLineChars="0"/>
      <w:jc w:val="left"/>
      <w:outlineLvl w:val="2"/>
    </w:pPr>
    <w:rPr>
      <w:bCs/>
      <w:szCs w:val="32"/>
    </w:rPr>
  </w:style>
  <w:style w:type="paragraph" w:styleId="6">
    <w:name w:val="heading 4"/>
    <w:basedOn w:val="1"/>
    <w:next w:val="1"/>
    <w:link w:val="347"/>
    <w:unhideWhenUsed/>
    <w:qFormat/>
    <w:uiPriority w:val="0"/>
    <w:pPr>
      <w:keepNext/>
      <w:keepLines/>
      <w:numPr>
        <w:ilvl w:val="3"/>
        <w:numId w:val="2"/>
      </w:numPr>
      <w:spacing w:before="280" w:after="290"/>
      <w:ind w:firstLineChars="0"/>
      <w:jc w:val="left"/>
      <w:outlineLvl w:val="3"/>
    </w:pPr>
    <w:rPr>
      <w:rFonts w:cstheme="majorBidi"/>
      <w:bCs/>
      <w:szCs w:val="28"/>
    </w:rPr>
  </w:style>
  <w:style w:type="paragraph" w:styleId="7">
    <w:name w:val="heading 5"/>
    <w:basedOn w:val="1"/>
    <w:next w:val="1"/>
    <w:link w:val="348"/>
    <w:unhideWhenUsed/>
    <w:qFormat/>
    <w:uiPriority w:val="0"/>
    <w:pPr>
      <w:keepNext/>
      <w:keepLines/>
      <w:numPr>
        <w:ilvl w:val="4"/>
        <w:numId w:val="2"/>
      </w:numPr>
      <w:ind w:firstLine="0" w:firstLineChars="0"/>
      <w:jc w:val="left"/>
      <w:outlineLvl w:val="4"/>
    </w:pPr>
    <w:rPr>
      <w:bCs/>
      <w:szCs w:val="28"/>
    </w:rPr>
  </w:style>
  <w:style w:type="paragraph" w:styleId="8">
    <w:name w:val="heading 6"/>
    <w:basedOn w:val="1"/>
    <w:next w:val="1"/>
    <w:link w:val="349"/>
    <w:unhideWhenUsed/>
    <w:qFormat/>
    <w:uiPriority w:val="0"/>
    <w:pPr>
      <w:keepNext/>
      <w:keepLines/>
      <w:numPr>
        <w:ilvl w:val="5"/>
        <w:numId w:val="2"/>
      </w:numPr>
      <w:spacing w:before="240" w:after="64"/>
      <w:ind w:firstLine="0" w:firstLineChars="0"/>
      <w:jc w:val="left"/>
      <w:outlineLvl w:val="5"/>
    </w:pPr>
    <w:rPr>
      <w:rFonts w:asciiTheme="majorHAnsi" w:hAnsiTheme="majorHAnsi" w:eastAsiaTheme="majorEastAsia" w:cstheme="majorBidi"/>
      <w:b/>
      <w:bCs/>
      <w:szCs w:val="24"/>
    </w:rPr>
  </w:style>
  <w:style w:type="paragraph" w:styleId="9">
    <w:name w:val="heading 7"/>
    <w:basedOn w:val="1"/>
    <w:next w:val="1"/>
    <w:link w:val="350"/>
    <w:qFormat/>
    <w:uiPriority w:val="0"/>
    <w:pPr>
      <w:keepNext/>
      <w:keepLines/>
      <w:numPr>
        <w:ilvl w:val="6"/>
        <w:numId w:val="3"/>
      </w:numPr>
      <w:spacing w:before="240" w:after="64" w:line="320" w:lineRule="auto"/>
      <w:outlineLvl w:val="6"/>
    </w:pPr>
    <w:rPr>
      <w:rFonts w:ascii="宋体" w:hAnsi="宋体"/>
      <w:b/>
      <w:szCs w:val="20"/>
    </w:rPr>
  </w:style>
  <w:style w:type="paragraph" w:styleId="10">
    <w:name w:val="heading 8"/>
    <w:basedOn w:val="1"/>
    <w:next w:val="1"/>
    <w:link w:val="351"/>
    <w:qFormat/>
    <w:uiPriority w:val="0"/>
    <w:pPr>
      <w:keepNext/>
      <w:keepLines/>
      <w:numPr>
        <w:ilvl w:val="7"/>
        <w:numId w:val="3"/>
      </w:numPr>
      <w:spacing w:before="240" w:after="64" w:line="320" w:lineRule="auto"/>
      <w:outlineLvl w:val="7"/>
    </w:pPr>
    <w:rPr>
      <w:rFonts w:ascii="Arial" w:hAnsi="Arial" w:eastAsia="黑体"/>
      <w:szCs w:val="20"/>
    </w:rPr>
  </w:style>
  <w:style w:type="paragraph" w:styleId="11">
    <w:name w:val="heading 9"/>
    <w:basedOn w:val="1"/>
    <w:next w:val="1"/>
    <w:link w:val="352"/>
    <w:qFormat/>
    <w:uiPriority w:val="0"/>
    <w:pPr>
      <w:keepNext/>
      <w:keepLines/>
      <w:numPr>
        <w:ilvl w:val="8"/>
        <w:numId w:val="3"/>
      </w:numPr>
      <w:spacing w:before="240" w:after="64" w:line="320" w:lineRule="auto"/>
      <w:outlineLvl w:val="8"/>
    </w:pPr>
    <w:rPr>
      <w:rFonts w:ascii="Arial" w:hAnsi="Arial" w:eastAsia="黑体"/>
      <w:szCs w:val="20"/>
    </w:rPr>
  </w:style>
  <w:style w:type="character" w:default="1" w:styleId="67">
    <w:name w:val="Default Paragraph Font"/>
    <w:semiHidden/>
    <w:unhideWhenUsed/>
    <w:qFormat/>
    <w:uiPriority w:val="1"/>
  </w:style>
  <w:style w:type="table" w:default="1" w:styleId="63">
    <w:name w:val="Normal Table"/>
    <w:semiHidden/>
    <w:unhideWhenUsed/>
    <w:qFormat/>
    <w:uiPriority w:val="99"/>
    <w:tblPr>
      <w:tblCellMar>
        <w:top w:w="0" w:type="dxa"/>
        <w:left w:w="108" w:type="dxa"/>
        <w:bottom w:w="0" w:type="dxa"/>
        <w:right w:w="108" w:type="dxa"/>
      </w:tblCellMar>
    </w:tblPr>
  </w:style>
  <w:style w:type="paragraph" w:styleId="2">
    <w:name w:val="macro"/>
    <w:link w:val="418"/>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Times New Roman"/>
      <w:kern w:val="2"/>
      <w:sz w:val="24"/>
      <w:lang w:val="en-US" w:eastAsia="zh-CN" w:bidi="ar-SA"/>
    </w:rPr>
  </w:style>
  <w:style w:type="paragraph" w:styleId="12">
    <w:name w:val="List 3"/>
    <w:basedOn w:val="1"/>
    <w:qFormat/>
    <w:uiPriority w:val="0"/>
    <w:pPr>
      <w:ind w:left="100" w:leftChars="400" w:hanging="200" w:hangingChars="200"/>
    </w:pPr>
    <w:rPr>
      <w:szCs w:val="20"/>
    </w:rPr>
  </w:style>
  <w:style w:type="paragraph" w:styleId="13">
    <w:name w:val="toc 7"/>
    <w:basedOn w:val="1"/>
    <w:next w:val="1"/>
    <w:qFormat/>
    <w:uiPriority w:val="39"/>
    <w:pPr>
      <w:ind w:left="1260"/>
      <w:jc w:val="left"/>
    </w:pPr>
    <w:rPr>
      <w:sz w:val="20"/>
      <w:szCs w:val="20"/>
    </w:rPr>
  </w:style>
  <w:style w:type="paragraph" w:styleId="14">
    <w:name w:val="List Number 2"/>
    <w:basedOn w:val="1"/>
    <w:qFormat/>
    <w:uiPriority w:val="0"/>
    <w:pPr>
      <w:tabs>
        <w:tab w:val="left" w:pos="780"/>
      </w:tabs>
      <w:adjustRightInd w:val="0"/>
      <w:snapToGrid w:val="0"/>
      <w:ind w:left="780" w:leftChars="200" w:hanging="360" w:hangingChars="200"/>
    </w:pPr>
    <w:rPr>
      <w:rFonts w:ascii="宋体"/>
    </w:rPr>
  </w:style>
  <w:style w:type="paragraph" w:styleId="15">
    <w:name w:val="List Bullet 4"/>
    <w:basedOn w:val="1"/>
    <w:qFormat/>
    <w:uiPriority w:val="0"/>
    <w:pPr>
      <w:ind w:left="1260"/>
    </w:pPr>
    <w:rPr>
      <w:szCs w:val="20"/>
    </w:rPr>
  </w:style>
  <w:style w:type="paragraph" w:styleId="16">
    <w:name w:val="List Number"/>
    <w:basedOn w:val="1"/>
    <w:qFormat/>
    <w:uiPriority w:val="0"/>
    <w:pPr>
      <w:tabs>
        <w:tab w:val="left" w:pos="567"/>
      </w:tabs>
      <w:ind w:left="567" w:hanging="567"/>
    </w:pPr>
  </w:style>
  <w:style w:type="paragraph" w:styleId="17">
    <w:name w:val="Normal Indent"/>
    <w:basedOn w:val="1"/>
    <w:link w:val="203"/>
    <w:qFormat/>
    <w:uiPriority w:val="0"/>
    <w:pPr>
      <w:ind w:firstLine="420"/>
    </w:pPr>
  </w:style>
  <w:style w:type="paragraph" w:styleId="18">
    <w:name w:val="caption"/>
    <w:basedOn w:val="1"/>
    <w:next w:val="1"/>
    <w:link w:val="186"/>
    <w:qFormat/>
    <w:uiPriority w:val="0"/>
    <w:pPr>
      <w:spacing w:before="152" w:after="160"/>
      <w:jc w:val="center"/>
    </w:pPr>
    <w:rPr>
      <w:rFonts w:cs="Arial"/>
      <w:szCs w:val="20"/>
    </w:rPr>
  </w:style>
  <w:style w:type="paragraph" w:styleId="19">
    <w:name w:val="List Bullet"/>
    <w:basedOn w:val="1"/>
    <w:qFormat/>
    <w:uiPriority w:val="0"/>
    <w:pPr>
      <w:numPr>
        <w:ilvl w:val="0"/>
        <w:numId w:val="4"/>
      </w:numPr>
    </w:pPr>
    <w:rPr>
      <w:szCs w:val="20"/>
    </w:rPr>
  </w:style>
  <w:style w:type="paragraph" w:styleId="20">
    <w:name w:val="Document Map"/>
    <w:basedOn w:val="1"/>
    <w:link w:val="372"/>
    <w:qFormat/>
    <w:uiPriority w:val="0"/>
    <w:pPr>
      <w:shd w:val="clear" w:color="auto" w:fill="000080"/>
    </w:pPr>
  </w:style>
  <w:style w:type="paragraph" w:styleId="21">
    <w:name w:val="toa heading"/>
    <w:basedOn w:val="1"/>
    <w:next w:val="1"/>
    <w:qFormat/>
    <w:uiPriority w:val="0"/>
    <w:pPr>
      <w:spacing w:before="120"/>
    </w:pPr>
    <w:rPr>
      <w:rFonts w:ascii="Arial" w:hAnsi="Arial"/>
      <w:szCs w:val="20"/>
    </w:rPr>
  </w:style>
  <w:style w:type="paragraph" w:styleId="22">
    <w:name w:val="annotation text"/>
    <w:basedOn w:val="1"/>
    <w:link w:val="277"/>
    <w:qFormat/>
    <w:uiPriority w:val="99"/>
    <w:pPr>
      <w:jc w:val="left"/>
    </w:pPr>
  </w:style>
  <w:style w:type="paragraph" w:styleId="23">
    <w:name w:val="Salutation"/>
    <w:basedOn w:val="1"/>
    <w:next w:val="1"/>
    <w:link w:val="420"/>
    <w:qFormat/>
    <w:uiPriority w:val="0"/>
    <w:rPr>
      <w:szCs w:val="20"/>
    </w:rPr>
  </w:style>
  <w:style w:type="paragraph" w:styleId="24">
    <w:name w:val="List Bullet 3"/>
    <w:basedOn w:val="1"/>
    <w:qFormat/>
    <w:uiPriority w:val="0"/>
    <w:pPr>
      <w:numPr>
        <w:ilvl w:val="0"/>
        <w:numId w:val="5"/>
      </w:numPr>
    </w:pPr>
    <w:rPr>
      <w:szCs w:val="20"/>
    </w:rPr>
  </w:style>
  <w:style w:type="paragraph" w:styleId="25">
    <w:name w:val="Body Text"/>
    <w:basedOn w:val="1"/>
    <w:link w:val="241"/>
    <w:qFormat/>
    <w:uiPriority w:val="0"/>
    <w:pPr>
      <w:spacing w:after="120"/>
    </w:pPr>
  </w:style>
  <w:style w:type="paragraph" w:styleId="26">
    <w:name w:val="Body Text Indent"/>
    <w:basedOn w:val="1"/>
    <w:link w:val="302"/>
    <w:qFormat/>
    <w:uiPriority w:val="0"/>
    <w:pPr>
      <w:ind w:firstLine="480"/>
    </w:pPr>
  </w:style>
  <w:style w:type="paragraph" w:styleId="27">
    <w:name w:val="List Number 3"/>
    <w:basedOn w:val="1"/>
    <w:qFormat/>
    <w:uiPriority w:val="0"/>
    <w:pPr>
      <w:numPr>
        <w:ilvl w:val="0"/>
        <w:numId w:val="6"/>
      </w:numPr>
    </w:pPr>
    <w:rPr>
      <w:szCs w:val="20"/>
    </w:rPr>
  </w:style>
  <w:style w:type="paragraph" w:styleId="28">
    <w:name w:val="List 2"/>
    <w:basedOn w:val="1"/>
    <w:qFormat/>
    <w:uiPriority w:val="0"/>
    <w:pPr>
      <w:ind w:left="100" w:leftChars="200" w:hanging="200" w:hangingChars="200"/>
    </w:pPr>
    <w:rPr>
      <w:szCs w:val="20"/>
    </w:rPr>
  </w:style>
  <w:style w:type="paragraph" w:styleId="29">
    <w:name w:val="Block Text"/>
    <w:basedOn w:val="1"/>
    <w:qFormat/>
    <w:uiPriority w:val="0"/>
    <w:pPr>
      <w:widowControl/>
      <w:spacing w:after="120"/>
      <w:ind w:left="1440" w:right="1440"/>
    </w:pPr>
    <w:rPr>
      <w:rFonts w:ascii="Arial" w:hAnsi="Arial"/>
      <w:kern w:val="0"/>
      <w:sz w:val="20"/>
      <w:szCs w:val="20"/>
    </w:rPr>
  </w:style>
  <w:style w:type="paragraph" w:styleId="30">
    <w:name w:val="List Bullet 2"/>
    <w:basedOn w:val="1"/>
    <w:qFormat/>
    <w:uiPriority w:val="0"/>
    <w:pPr>
      <w:numPr>
        <w:ilvl w:val="0"/>
        <w:numId w:val="7"/>
      </w:numPr>
    </w:pPr>
    <w:rPr>
      <w:szCs w:val="20"/>
    </w:rPr>
  </w:style>
  <w:style w:type="paragraph" w:styleId="31">
    <w:name w:val="toc 5"/>
    <w:basedOn w:val="1"/>
    <w:next w:val="1"/>
    <w:qFormat/>
    <w:uiPriority w:val="39"/>
    <w:pPr>
      <w:ind w:left="840"/>
      <w:jc w:val="left"/>
    </w:pPr>
    <w:rPr>
      <w:sz w:val="20"/>
      <w:szCs w:val="20"/>
    </w:rPr>
  </w:style>
  <w:style w:type="paragraph" w:styleId="32">
    <w:name w:val="toc 3"/>
    <w:basedOn w:val="1"/>
    <w:next w:val="1"/>
    <w:qFormat/>
    <w:uiPriority w:val="39"/>
    <w:pPr>
      <w:tabs>
        <w:tab w:val="left" w:pos="567"/>
        <w:tab w:val="right" w:leader="dot" w:pos="8296"/>
      </w:tabs>
      <w:ind w:left="840" w:hanging="840" w:hangingChars="300"/>
      <w:jc w:val="left"/>
    </w:pPr>
    <w:rPr>
      <w:szCs w:val="20"/>
    </w:rPr>
  </w:style>
  <w:style w:type="paragraph" w:styleId="33">
    <w:name w:val="Plain Text"/>
    <w:basedOn w:val="1"/>
    <w:link w:val="513"/>
    <w:qFormat/>
    <w:uiPriority w:val="0"/>
    <w:pPr>
      <w:tabs>
        <w:tab w:val="left" w:pos="480"/>
      </w:tabs>
    </w:pPr>
    <w:rPr>
      <w:rFonts w:ascii="宋体" w:hAnsi="Courier New" w:cs="Courier New"/>
    </w:rPr>
  </w:style>
  <w:style w:type="paragraph" w:styleId="34">
    <w:name w:val="List Bullet 5"/>
    <w:basedOn w:val="1"/>
    <w:qFormat/>
    <w:uiPriority w:val="0"/>
    <w:pPr>
      <w:numPr>
        <w:ilvl w:val="0"/>
        <w:numId w:val="8"/>
      </w:numPr>
    </w:pPr>
    <w:rPr>
      <w:szCs w:val="20"/>
    </w:rPr>
  </w:style>
  <w:style w:type="paragraph" w:styleId="35">
    <w:name w:val="List Number 4"/>
    <w:basedOn w:val="1"/>
    <w:qFormat/>
    <w:uiPriority w:val="0"/>
    <w:pPr>
      <w:numPr>
        <w:ilvl w:val="0"/>
        <w:numId w:val="9"/>
      </w:numPr>
    </w:pPr>
    <w:rPr>
      <w:szCs w:val="20"/>
    </w:rPr>
  </w:style>
  <w:style w:type="paragraph" w:styleId="36">
    <w:name w:val="toc 8"/>
    <w:basedOn w:val="1"/>
    <w:next w:val="1"/>
    <w:qFormat/>
    <w:uiPriority w:val="39"/>
    <w:pPr>
      <w:ind w:left="1470"/>
      <w:jc w:val="left"/>
    </w:pPr>
    <w:rPr>
      <w:sz w:val="20"/>
      <w:szCs w:val="20"/>
    </w:rPr>
  </w:style>
  <w:style w:type="paragraph" w:styleId="37">
    <w:name w:val="Date"/>
    <w:basedOn w:val="1"/>
    <w:next w:val="1"/>
    <w:link w:val="511"/>
    <w:qFormat/>
    <w:uiPriority w:val="0"/>
    <w:rPr>
      <w:rFonts w:ascii="楷体_GB2312" w:eastAsia="楷体_GB2312"/>
      <w:szCs w:val="20"/>
    </w:rPr>
  </w:style>
  <w:style w:type="paragraph" w:styleId="38">
    <w:name w:val="Body Text Indent 2"/>
    <w:basedOn w:val="1"/>
    <w:link w:val="363"/>
    <w:qFormat/>
    <w:uiPriority w:val="0"/>
    <w:pPr>
      <w:spacing w:after="120" w:line="480" w:lineRule="auto"/>
      <w:ind w:left="420" w:leftChars="200"/>
    </w:pPr>
  </w:style>
  <w:style w:type="paragraph" w:styleId="39">
    <w:name w:val="Balloon Text"/>
    <w:basedOn w:val="1"/>
    <w:link w:val="367"/>
    <w:qFormat/>
    <w:uiPriority w:val="0"/>
    <w:rPr>
      <w:sz w:val="18"/>
      <w:szCs w:val="18"/>
    </w:rPr>
  </w:style>
  <w:style w:type="paragraph" w:styleId="40">
    <w:name w:val="footer"/>
    <w:basedOn w:val="1"/>
    <w:link w:val="238"/>
    <w:unhideWhenUsed/>
    <w:qFormat/>
    <w:uiPriority w:val="99"/>
    <w:pPr>
      <w:tabs>
        <w:tab w:val="center" w:pos="4153"/>
        <w:tab w:val="right" w:pos="8306"/>
      </w:tabs>
      <w:snapToGrid w:val="0"/>
      <w:spacing w:line="240" w:lineRule="auto"/>
      <w:jc w:val="left"/>
    </w:pPr>
    <w:rPr>
      <w:sz w:val="18"/>
      <w:szCs w:val="18"/>
    </w:rPr>
  </w:style>
  <w:style w:type="paragraph" w:styleId="41">
    <w:name w:val="header"/>
    <w:basedOn w:val="1"/>
    <w:link w:val="28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2">
    <w:name w:val="toc 1"/>
    <w:basedOn w:val="1"/>
    <w:next w:val="1"/>
    <w:qFormat/>
    <w:uiPriority w:val="39"/>
    <w:pPr>
      <w:tabs>
        <w:tab w:val="right" w:leader="dot" w:pos="8296"/>
      </w:tabs>
      <w:adjustRightInd w:val="0"/>
      <w:spacing w:before="120" w:after="120" w:line="360" w:lineRule="atLeast"/>
      <w:ind w:firstLine="0" w:firstLineChars="0"/>
      <w:jc w:val="left"/>
      <w:textAlignment w:val="baseline"/>
    </w:pPr>
    <w:rPr>
      <w:b/>
      <w:bCs/>
      <w:szCs w:val="20"/>
    </w:rPr>
  </w:style>
  <w:style w:type="paragraph" w:styleId="43">
    <w:name w:val="toc 4"/>
    <w:basedOn w:val="1"/>
    <w:next w:val="1"/>
    <w:qFormat/>
    <w:uiPriority w:val="39"/>
    <w:pPr>
      <w:ind w:left="630"/>
      <w:jc w:val="left"/>
    </w:pPr>
    <w:rPr>
      <w:sz w:val="20"/>
      <w:szCs w:val="20"/>
    </w:rPr>
  </w:style>
  <w:style w:type="paragraph" w:styleId="44">
    <w:name w:val="Subtitle"/>
    <w:basedOn w:val="1"/>
    <w:link w:val="422"/>
    <w:qFormat/>
    <w:uiPriority w:val="0"/>
    <w:pPr>
      <w:spacing w:before="240" w:after="60" w:line="312" w:lineRule="auto"/>
      <w:jc w:val="center"/>
      <w:outlineLvl w:val="1"/>
    </w:pPr>
    <w:rPr>
      <w:rFonts w:ascii="Arial" w:hAnsi="Arial"/>
      <w:b/>
      <w:kern w:val="28"/>
      <w:sz w:val="32"/>
      <w:szCs w:val="20"/>
    </w:rPr>
  </w:style>
  <w:style w:type="paragraph" w:styleId="45">
    <w:name w:val="List Number 5"/>
    <w:basedOn w:val="1"/>
    <w:qFormat/>
    <w:uiPriority w:val="0"/>
    <w:pPr>
      <w:numPr>
        <w:ilvl w:val="0"/>
        <w:numId w:val="10"/>
      </w:numPr>
    </w:pPr>
    <w:rPr>
      <w:szCs w:val="20"/>
    </w:rPr>
  </w:style>
  <w:style w:type="paragraph" w:styleId="46">
    <w:name w:val="List"/>
    <w:basedOn w:val="1"/>
    <w:qFormat/>
    <w:uiPriority w:val="0"/>
    <w:pPr>
      <w:ind w:left="200" w:hanging="200" w:hangingChars="200"/>
    </w:pPr>
  </w:style>
  <w:style w:type="paragraph" w:styleId="47">
    <w:name w:val="footnote text"/>
    <w:basedOn w:val="1"/>
    <w:link w:val="393"/>
    <w:qFormat/>
    <w:uiPriority w:val="0"/>
    <w:pPr>
      <w:snapToGrid w:val="0"/>
      <w:jc w:val="left"/>
    </w:pPr>
    <w:rPr>
      <w:sz w:val="18"/>
      <w:szCs w:val="18"/>
    </w:rPr>
  </w:style>
  <w:style w:type="paragraph" w:styleId="48">
    <w:name w:val="toc 6"/>
    <w:basedOn w:val="1"/>
    <w:next w:val="1"/>
    <w:qFormat/>
    <w:uiPriority w:val="39"/>
    <w:pPr>
      <w:ind w:left="1050"/>
      <w:jc w:val="left"/>
    </w:pPr>
    <w:rPr>
      <w:sz w:val="20"/>
      <w:szCs w:val="20"/>
    </w:rPr>
  </w:style>
  <w:style w:type="paragraph" w:styleId="49">
    <w:name w:val="List 5"/>
    <w:basedOn w:val="1"/>
    <w:qFormat/>
    <w:uiPriority w:val="0"/>
    <w:pPr>
      <w:ind w:left="100" w:leftChars="800" w:hanging="200" w:hangingChars="200"/>
    </w:pPr>
    <w:rPr>
      <w:szCs w:val="20"/>
    </w:rPr>
  </w:style>
  <w:style w:type="paragraph" w:styleId="50">
    <w:name w:val="Body Text Indent 3"/>
    <w:basedOn w:val="1"/>
    <w:link w:val="366"/>
    <w:qFormat/>
    <w:uiPriority w:val="0"/>
    <w:pPr>
      <w:spacing w:after="120"/>
      <w:ind w:left="420" w:leftChars="200"/>
    </w:pPr>
    <w:rPr>
      <w:sz w:val="16"/>
      <w:szCs w:val="16"/>
    </w:rPr>
  </w:style>
  <w:style w:type="paragraph" w:styleId="51">
    <w:name w:val="table of figures"/>
    <w:basedOn w:val="1"/>
    <w:next w:val="1"/>
    <w:qFormat/>
    <w:uiPriority w:val="0"/>
    <w:pPr>
      <w:ind w:left="200" w:leftChars="200" w:hanging="200" w:hangingChars="200"/>
    </w:pPr>
  </w:style>
  <w:style w:type="paragraph" w:styleId="52">
    <w:name w:val="toc 2"/>
    <w:basedOn w:val="1"/>
    <w:next w:val="1"/>
    <w:qFormat/>
    <w:uiPriority w:val="39"/>
    <w:pPr>
      <w:tabs>
        <w:tab w:val="left" w:pos="567"/>
        <w:tab w:val="right" w:leader="dot" w:pos="8296"/>
      </w:tabs>
      <w:ind w:left="784" w:hanging="784" w:hangingChars="280"/>
      <w:jc w:val="left"/>
    </w:pPr>
    <w:rPr>
      <w:iCs/>
      <w:szCs w:val="20"/>
    </w:rPr>
  </w:style>
  <w:style w:type="paragraph" w:styleId="53">
    <w:name w:val="toc 9"/>
    <w:basedOn w:val="1"/>
    <w:next w:val="1"/>
    <w:qFormat/>
    <w:uiPriority w:val="39"/>
    <w:pPr>
      <w:ind w:left="1680"/>
      <w:jc w:val="left"/>
    </w:pPr>
    <w:rPr>
      <w:sz w:val="20"/>
      <w:szCs w:val="20"/>
    </w:rPr>
  </w:style>
  <w:style w:type="paragraph" w:styleId="54">
    <w:name w:val="Body Text 2"/>
    <w:basedOn w:val="1"/>
    <w:link w:val="373"/>
    <w:qFormat/>
    <w:uiPriority w:val="0"/>
    <w:rPr>
      <w:rFonts w:eastAsia="黑体"/>
      <w:b/>
      <w:bCs/>
      <w:spacing w:val="160"/>
      <w:sz w:val="52"/>
    </w:rPr>
  </w:style>
  <w:style w:type="paragraph" w:styleId="55">
    <w:name w:val="List 4"/>
    <w:basedOn w:val="1"/>
    <w:qFormat/>
    <w:uiPriority w:val="0"/>
    <w:pPr>
      <w:ind w:left="100" w:leftChars="600" w:hanging="200" w:hangingChars="200"/>
    </w:pPr>
    <w:rPr>
      <w:szCs w:val="20"/>
    </w:rPr>
  </w:style>
  <w:style w:type="paragraph" w:styleId="56">
    <w:name w:val="HTML Preformatted"/>
    <w:basedOn w:val="1"/>
    <w:link w:val="337"/>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57">
    <w:name w:val="Normal (Web)"/>
    <w:basedOn w:val="1"/>
    <w:qFormat/>
    <w:uiPriority w:val="99"/>
  </w:style>
  <w:style w:type="paragraph" w:styleId="58">
    <w:name w:val="index 1"/>
    <w:basedOn w:val="1"/>
    <w:next w:val="1"/>
    <w:semiHidden/>
    <w:qFormat/>
    <w:uiPriority w:val="0"/>
    <w:pPr>
      <w:tabs>
        <w:tab w:val="right" w:leader="dot" w:pos="4898"/>
      </w:tabs>
      <w:adjustRightInd w:val="0"/>
      <w:spacing w:line="312" w:lineRule="atLeast"/>
      <w:textAlignment w:val="baseline"/>
    </w:pPr>
    <w:rPr>
      <w:kern w:val="0"/>
      <w:szCs w:val="20"/>
    </w:rPr>
  </w:style>
  <w:style w:type="paragraph" w:styleId="59">
    <w:name w:val="Title"/>
    <w:basedOn w:val="1"/>
    <w:link w:val="389"/>
    <w:qFormat/>
    <w:uiPriority w:val="0"/>
    <w:pPr>
      <w:spacing w:before="240" w:after="60"/>
      <w:jc w:val="center"/>
      <w:outlineLvl w:val="0"/>
    </w:pPr>
    <w:rPr>
      <w:rFonts w:ascii="Arial" w:hAnsi="Arial"/>
      <w:b/>
      <w:bCs/>
      <w:sz w:val="32"/>
      <w:szCs w:val="32"/>
    </w:rPr>
  </w:style>
  <w:style w:type="paragraph" w:styleId="60">
    <w:name w:val="annotation subject"/>
    <w:basedOn w:val="22"/>
    <w:next w:val="22"/>
    <w:link w:val="378"/>
    <w:qFormat/>
    <w:uiPriority w:val="0"/>
    <w:rPr>
      <w:b/>
      <w:bCs/>
    </w:rPr>
  </w:style>
  <w:style w:type="paragraph" w:styleId="61">
    <w:name w:val="Body Text First Indent"/>
    <w:basedOn w:val="25"/>
    <w:link w:val="374"/>
    <w:qFormat/>
    <w:uiPriority w:val="0"/>
    <w:pPr>
      <w:ind w:firstLine="420" w:firstLineChars="100"/>
    </w:pPr>
  </w:style>
  <w:style w:type="paragraph" w:styleId="62">
    <w:name w:val="Body Text First Indent 2"/>
    <w:basedOn w:val="26"/>
    <w:link w:val="512"/>
    <w:qFormat/>
    <w:uiPriority w:val="0"/>
    <w:pPr>
      <w:spacing w:after="120"/>
      <w:ind w:left="420" w:leftChars="200" w:firstLine="420"/>
    </w:pPr>
    <w:rPr>
      <w:rFonts w:ascii="宋体"/>
      <w:szCs w:val="20"/>
    </w:rPr>
  </w:style>
  <w:style w:type="table" w:styleId="64">
    <w:name w:val="Table Grid"/>
    <w:basedOn w:val="6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Table Theme"/>
    <w:basedOn w:val="6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6">
    <w:name w:val="Table Professional"/>
    <w:basedOn w:val="63"/>
    <w:qFormat/>
    <w:uiPriority w:val="0"/>
    <w:pPr>
      <w:widowControl w:val="0"/>
      <w:adjustRightInd w:val="0"/>
      <w:spacing w:line="360" w:lineRule="atLeast"/>
      <w:jc w:val="both"/>
      <w:textAlignment w:val="baseline"/>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68">
    <w:name w:val="Strong"/>
    <w:qFormat/>
    <w:uiPriority w:val="0"/>
    <w:rPr>
      <w:b/>
      <w:bCs/>
    </w:rPr>
  </w:style>
  <w:style w:type="character" w:styleId="69">
    <w:name w:val="page number"/>
    <w:basedOn w:val="67"/>
    <w:qFormat/>
    <w:uiPriority w:val="0"/>
  </w:style>
  <w:style w:type="character" w:styleId="70">
    <w:name w:val="FollowedHyperlink"/>
    <w:basedOn w:val="67"/>
    <w:unhideWhenUsed/>
    <w:qFormat/>
    <w:uiPriority w:val="0"/>
    <w:rPr>
      <w:color w:val="800080"/>
      <w:u w:val="single"/>
    </w:rPr>
  </w:style>
  <w:style w:type="character" w:styleId="71">
    <w:name w:val="Emphasis"/>
    <w:qFormat/>
    <w:uiPriority w:val="0"/>
    <w:rPr>
      <w:color w:val="CC0033"/>
    </w:rPr>
  </w:style>
  <w:style w:type="character" w:styleId="72">
    <w:name w:val="HTML Typewriter"/>
    <w:qFormat/>
    <w:uiPriority w:val="0"/>
    <w:rPr>
      <w:rFonts w:ascii="宋体" w:hAnsi="宋体" w:eastAsia="宋体" w:cs="宋体"/>
      <w:sz w:val="24"/>
      <w:szCs w:val="24"/>
    </w:rPr>
  </w:style>
  <w:style w:type="character" w:styleId="73">
    <w:name w:val="Hyperlink"/>
    <w:qFormat/>
    <w:uiPriority w:val="99"/>
    <w:rPr>
      <w:color w:val="0000FF"/>
      <w:sz w:val="28"/>
      <w:u w:val="single"/>
    </w:rPr>
  </w:style>
  <w:style w:type="character" w:styleId="74">
    <w:name w:val="annotation reference"/>
    <w:qFormat/>
    <w:uiPriority w:val="99"/>
    <w:rPr>
      <w:sz w:val="21"/>
      <w:szCs w:val="21"/>
    </w:rPr>
  </w:style>
  <w:style w:type="character" w:styleId="75">
    <w:name w:val="footnote reference"/>
    <w:qFormat/>
    <w:uiPriority w:val="0"/>
    <w:rPr>
      <w:vertAlign w:val="superscript"/>
    </w:rPr>
  </w:style>
  <w:style w:type="paragraph" w:customStyle="1" w:styleId="76">
    <w:name w:val="文档正文"/>
    <w:basedOn w:val="1"/>
    <w:link w:val="306"/>
    <w:qFormat/>
    <w:uiPriority w:val="0"/>
    <w:pPr>
      <w:adjustRightInd w:val="0"/>
      <w:spacing w:line="312" w:lineRule="atLeast"/>
      <w:ind w:left="300"/>
      <w:jc w:val="center"/>
      <w:textAlignment w:val="baseline"/>
    </w:pPr>
    <w:rPr>
      <w:rFonts w:ascii="宋体"/>
      <w:kern w:val="0"/>
      <w:sz w:val="28"/>
      <w:szCs w:val="20"/>
    </w:rPr>
  </w:style>
  <w:style w:type="paragraph" w:customStyle="1" w:styleId="77">
    <w:name w:val="Default"/>
    <w:qFormat/>
    <w:uiPriority w:val="0"/>
    <w:pPr>
      <w:widowControl w:val="0"/>
      <w:autoSpaceDE w:val="0"/>
      <w:autoSpaceDN w:val="0"/>
      <w:adjustRightInd w:val="0"/>
    </w:pPr>
    <w:rPr>
      <w:rFonts w:ascii="宋体" w:hAnsi="Times New Roman" w:eastAsia="宋体" w:cs="Times New Roman"/>
      <w:lang w:val="en-US" w:eastAsia="zh-CN" w:bidi="ar-SA"/>
    </w:rPr>
  </w:style>
  <w:style w:type="paragraph" w:customStyle="1" w:styleId="78">
    <w:name w:val="表格"/>
    <w:basedOn w:val="1"/>
    <w:qFormat/>
    <w:uiPriority w:val="0"/>
    <w:pPr>
      <w:keepNext/>
      <w:keepLines/>
      <w:adjustRightInd w:val="0"/>
      <w:spacing w:line="240" w:lineRule="atLeast"/>
      <w:jc w:val="center"/>
      <w:textAlignment w:val="baseline"/>
    </w:pPr>
    <w:rPr>
      <w:rFonts w:ascii="宋体"/>
      <w:kern w:val="0"/>
      <w:szCs w:val="20"/>
    </w:rPr>
  </w:style>
  <w:style w:type="paragraph" w:customStyle="1" w:styleId="79">
    <w:name w:val="CM57"/>
    <w:basedOn w:val="77"/>
    <w:next w:val="77"/>
    <w:qFormat/>
    <w:uiPriority w:val="0"/>
    <w:pPr>
      <w:spacing w:after="175"/>
    </w:pPr>
    <w:rPr>
      <w:rFonts w:ascii="Sim Sun" w:eastAsia="Sim Sun"/>
      <w:sz w:val="24"/>
      <w:szCs w:val="24"/>
    </w:rPr>
  </w:style>
  <w:style w:type="paragraph" w:customStyle="1" w:styleId="80">
    <w:name w:val="CM60"/>
    <w:basedOn w:val="77"/>
    <w:next w:val="77"/>
    <w:qFormat/>
    <w:uiPriority w:val="0"/>
    <w:pPr>
      <w:spacing w:after="453"/>
    </w:pPr>
    <w:rPr>
      <w:rFonts w:ascii="Sim Sun" w:eastAsia="Sim Sun"/>
      <w:sz w:val="24"/>
      <w:szCs w:val="24"/>
    </w:rPr>
  </w:style>
  <w:style w:type="paragraph" w:customStyle="1" w:styleId="81">
    <w:name w:val="CM1"/>
    <w:basedOn w:val="77"/>
    <w:next w:val="77"/>
    <w:qFormat/>
    <w:uiPriority w:val="0"/>
    <w:rPr>
      <w:rFonts w:ascii="Sim Sun" w:eastAsia="Sim Sun"/>
      <w:sz w:val="24"/>
      <w:szCs w:val="24"/>
    </w:rPr>
  </w:style>
  <w:style w:type="paragraph" w:customStyle="1" w:styleId="82">
    <w:name w:val="CM54"/>
    <w:basedOn w:val="77"/>
    <w:next w:val="77"/>
    <w:qFormat/>
    <w:uiPriority w:val="0"/>
    <w:pPr>
      <w:spacing w:after="353"/>
    </w:pPr>
    <w:rPr>
      <w:rFonts w:ascii="Sim Sun" w:eastAsia="Sim Sun"/>
      <w:sz w:val="24"/>
      <w:szCs w:val="24"/>
    </w:rPr>
  </w:style>
  <w:style w:type="paragraph" w:customStyle="1" w:styleId="83">
    <w:name w:val="CM61"/>
    <w:basedOn w:val="77"/>
    <w:next w:val="77"/>
    <w:qFormat/>
    <w:uiPriority w:val="0"/>
    <w:pPr>
      <w:spacing w:after="275"/>
    </w:pPr>
    <w:rPr>
      <w:rFonts w:ascii="Sim Sun" w:eastAsia="Sim Sun"/>
      <w:sz w:val="24"/>
      <w:szCs w:val="24"/>
    </w:rPr>
  </w:style>
  <w:style w:type="paragraph" w:customStyle="1" w:styleId="84">
    <w:name w:val="CM66"/>
    <w:basedOn w:val="77"/>
    <w:next w:val="77"/>
    <w:qFormat/>
    <w:uiPriority w:val="0"/>
    <w:pPr>
      <w:spacing w:after="247"/>
    </w:pPr>
    <w:rPr>
      <w:rFonts w:ascii="Sim Sun" w:eastAsia="Sim Sun"/>
      <w:sz w:val="24"/>
      <w:szCs w:val="24"/>
    </w:rPr>
  </w:style>
  <w:style w:type="paragraph" w:customStyle="1" w:styleId="85">
    <w:name w:val="CM68"/>
    <w:basedOn w:val="77"/>
    <w:next w:val="77"/>
    <w:qFormat/>
    <w:uiPriority w:val="0"/>
    <w:pPr>
      <w:spacing w:after="65"/>
    </w:pPr>
    <w:rPr>
      <w:rFonts w:ascii="Sim Sun" w:eastAsia="Sim Sun"/>
      <w:sz w:val="24"/>
      <w:szCs w:val="24"/>
    </w:rPr>
  </w:style>
  <w:style w:type="paragraph" w:customStyle="1" w:styleId="86">
    <w:name w:val="CM69"/>
    <w:basedOn w:val="77"/>
    <w:next w:val="77"/>
    <w:qFormat/>
    <w:uiPriority w:val="0"/>
    <w:pPr>
      <w:spacing w:after="1095"/>
    </w:pPr>
    <w:rPr>
      <w:rFonts w:ascii="Sim Sun" w:eastAsia="Sim Sun"/>
      <w:sz w:val="24"/>
      <w:szCs w:val="24"/>
    </w:rPr>
  </w:style>
  <w:style w:type="paragraph" w:customStyle="1" w:styleId="87">
    <w:name w:val="CM51"/>
    <w:basedOn w:val="77"/>
    <w:next w:val="77"/>
    <w:qFormat/>
    <w:uiPriority w:val="0"/>
    <w:pPr>
      <w:spacing w:line="660" w:lineRule="atLeast"/>
    </w:pPr>
    <w:rPr>
      <w:rFonts w:ascii="Sim Sun" w:eastAsia="Sim Sun"/>
      <w:sz w:val="24"/>
      <w:szCs w:val="24"/>
    </w:rPr>
  </w:style>
  <w:style w:type="paragraph" w:customStyle="1" w:styleId="88">
    <w:name w:val="CM63"/>
    <w:basedOn w:val="77"/>
    <w:next w:val="77"/>
    <w:qFormat/>
    <w:uiPriority w:val="0"/>
    <w:pPr>
      <w:spacing w:after="550"/>
    </w:pPr>
    <w:rPr>
      <w:rFonts w:ascii="Sim Sun" w:eastAsia="Sim Sun"/>
      <w:sz w:val="24"/>
      <w:szCs w:val="24"/>
    </w:rPr>
  </w:style>
  <w:style w:type="paragraph" w:customStyle="1" w:styleId="89">
    <w:name w:val="CM25"/>
    <w:basedOn w:val="77"/>
    <w:next w:val="77"/>
    <w:qFormat/>
    <w:uiPriority w:val="0"/>
    <w:pPr>
      <w:spacing w:line="388" w:lineRule="atLeast"/>
    </w:pPr>
    <w:rPr>
      <w:rFonts w:ascii="Sim Sun" w:eastAsia="Sim Sun"/>
      <w:sz w:val="24"/>
      <w:szCs w:val="24"/>
    </w:rPr>
  </w:style>
  <w:style w:type="paragraph" w:customStyle="1" w:styleId="90">
    <w:name w:val="CM74"/>
    <w:basedOn w:val="77"/>
    <w:next w:val="77"/>
    <w:qFormat/>
    <w:uiPriority w:val="0"/>
    <w:pPr>
      <w:spacing w:after="440"/>
    </w:pPr>
    <w:rPr>
      <w:rFonts w:ascii="Times New Roman"/>
      <w:sz w:val="24"/>
      <w:szCs w:val="24"/>
    </w:rPr>
  </w:style>
  <w:style w:type="paragraph" w:customStyle="1" w:styleId="91">
    <w:name w:val="CM23"/>
    <w:basedOn w:val="77"/>
    <w:next w:val="77"/>
    <w:qFormat/>
    <w:uiPriority w:val="0"/>
    <w:pPr>
      <w:spacing w:line="468" w:lineRule="atLeast"/>
    </w:pPr>
    <w:rPr>
      <w:rFonts w:ascii="Times New Roman"/>
      <w:sz w:val="24"/>
      <w:szCs w:val="24"/>
    </w:rPr>
  </w:style>
  <w:style w:type="paragraph" w:customStyle="1" w:styleId="92">
    <w:name w:val="CM24"/>
    <w:basedOn w:val="77"/>
    <w:next w:val="77"/>
    <w:qFormat/>
    <w:uiPriority w:val="0"/>
    <w:pPr>
      <w:spacing w:line="468" w:lineRule="atLeast"/>
    </w:pPr>
    <w:rPr>
      <w:rFonts w:ascii="Times New Roman"/>
      <w:sz w:val="24"/>
      <w:szCs w:val="24"/>
    </w:rPr>
  </w:style>
  <w:style w:type="paragraph" w:customStyle="1" w:styleId="93">
    <w:name w:val="CM77"/>
    <w:basedOn w:val="77"/>
    <w:next w:val="77"/>
    <w:qFormat/>
    <w:uiPriority w:val="0"/>
    <w:pPr>
      <w:spacing w:after="153"/>
    </w:pPr>
    <w:rPr>
      <w:rFonts w:ascii="Times New Roman"/>
      <w:sz w:val="24"/>
      <w:szCs w:val="24"/>
    </w:rPr>
  </w:style>
  <w:style w:type="paragraph" w:customStyle="1" w:styleId="94">
    <w:name w:val="CM22"/>
    <w:basedOn w:val="77"/>
    <w:next w:val="77"/>
    <w:qFormat/>
    <w:uiPriority w:val="0"/>
    <w:pPr>
      <w:spacing w:line="391" w:lineRule="atLeast"/>
    </w:pPr>
    <w:rPr>
      <w:rFonts w:ascii="Times New Roman"/>
      <w:sz w:val="24"/>
      <w:szCs w:val="24"/>
    </w:rPr>
  </w:style>
  <w:style w:type="paragraph" w:customStyle="1" w:styleId="95">
    <w:name w:val="CM73"/>
    <w:basedOn w:val="77"/>
    <w:next w:val="77"/>
    <w:qFormat/>
    <w:uiPriority w:val="0"/>
    <w:pPr>
      <w:spacing w:after="245"/>
    </w:pPr>
    <w:rPr>
      <w:rFonts w:ascii="Times New Roman"/>
      <w:sz w:val="24"/>
      <w:szCs w:val="24"/>
    </w:rPr>
  </w:style>
  <w:style w:type="paragraph" w:customStyle="1" w:styleId="96">
    <w:name w:val="CM78"/>
    <w:basedOn w:val="77"/>
    <w:next w:val="77"/>
    <w:qFormat/>
    <w:uiPriority w:val="0"/>
    <w:pPr>
      <w:spacing w:after="368"/>
    </w:pPr>
    <w:rPr>
      <w:rFonts w:ascii="Times New Roman"/>
      <w:sz w:val="24"/>
      <w:szCs w:val="24"/>
    </w:rPr>
  </w:style>
  <w:style w:type="paragraph" w:customStyle="1" w:styleId="97">
    <w:name w:val="CM43"/>
    <w:basedOn w:val="77"/>
    <w:next w:val="77"/>
    <w:qFormat/>
    <w:uiPriority w:val="0"/>
    <w:pPr>
      <w:spacing w:line="391" w:lineRule="atLeast"/>
    </w:pPr>
    <w:rPr>
      <w:rFonts w:ascii="Times New Roman"/>
      <w:sz w:val="24"/>
      <w:szCs w:val="24"/>
    </w:rPr>
  </w:style>
  <w:style w:type="paragraph" w:customStyle="1" w:styleId="98">
    <w:name w:val="CM4"/>
    <w:basedOn w:val="77"/>
    <w:next w:val="77"/>
    <w:qFormat/>
    <w:uiPriority w:val="0"/>
    <w:pPr>
      <w:spacing w:after="203"/>
    </w:pPr>
    <w:rPr>
      <w:sz w:val="24"/>
      <w:szCs w:val="24"/>
    </w:rPr>
  </w:style>
  <w:style w:type="paragraph" w:customStyle="1" w:styleId="99">
    <w:name w:val="CM5"/>
    <w:basedOn w:val="77"/>
    <w:next w:val="77"/>
    <w:qFormat/>
    <w:uiPriority w:val="0"/>
    <w:pPr>
      <w:spacing w:after="285"/>
    </w:pPr>
    <w:rPr>
      <w:sz w:val="24"/>
      <w:szCs w:val="24"/>
    </w:rPr>
  </w:style>
  <w:style w:type="paragraph" w:customStyle="1" w:styleId="100">
    <w:name w:val="CM3"/>
    <w:basedOn w:val="77"/>
    <w:next w:val="77"/>
    <w:qFormat/>
    <w:uiPriority w:val="0"/>
    <w:pPr>
      <w:spacing w:line="468" w:lineRule="atLeast"/>
    </w:pPr>
    <w:rPr>
      <w:sz w:val="24"/>
      <w:szCs w:val="24"/>
    </w:rPr>
  </w:style>
  <w:style w:type="paragraph" w:customStyle="1" w:styleId="101">
    <w:name w:val="6"/>
    <w:basedOn w:val="1"/>
    <w:next w:val="17"/>
    <w:qFormat/>
    <w:uiPriority w:val="0"/>
    <w:pPr>
      <w:adjustRightInd w:val="0"/>
      <w:spacing w:line="312" w:lineRule="atLeast"/>
      <w:ind w:firstLine="420"/>
    </w:pPr>
    <w:rPr>
      <w:rFonts w:hint="eastAsia" w:ascii="宋体"/>
      <w:kern w:val="0"/>
      <w:szCs w:val="20"/>
    </w:rPr>
  </w:style>
  <w:style w:type="paragraph" w:customStyle="1" w:styleId="102">
    <w:name w:val="CM84"/>
    <w:basedOn w:val="77"/>
    <w:next w:val="77"/>
    <w:qFormat/>
    <w:uiPriority w:val="0"/>
    <w:pPr>
      <w:spacing w:after="620"/>
    </w:pPr>
    <w:rPr>
      <w:rFonts w:ascii="Times New Roman"/>
      <w:sz w:val="24"/>
      <w:szCs w:val="24"/>
    </w:rPr>
  </w:style>
  <w:style w:type="paragraph" w:customStyle="1" w:styleId="103">
    <w:name w:val="段"/>
    <w:link w:val="256"/>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04">
    <w:name w:val="样式 标题 4bulletblbbPIM 4H4h4heading 4TOCl4sect 1.2.3.4Re..."/>
    <w:basedOn w:val="6"/>
    <w:qFormat/>
    <w:uiPriority w:val="0"/>
    <w:pPr>
      <w:spacing w:before="200" w:after="200"/>
      <w:ind w:left="284"/>
    </w:pPr>
    <w:rPr>
      <w:rFonts w:ascii="宋体" w:cs="宋体"/>
      <w:bCs w:val="0"/>
    </w:rPr>
  </w:style>
  <w:style w:type="paragraph" w:customStyle="1" w:styleId="105">
    <w:name w:val="样式 标题 33h33rd levelH3sect1.2.3Level 3 HeadHeading 3 - old..."/>
    <w:basedOn w:val="5"/>
    <w:qFormat/>
    <w:uiPriority w:val="0"/>
    <w:pPr>
      <w:spacing w:before="200" w:after="200" w:line="200" w:lineRule="atLeast"/>
    </w:pPr>
    <w:rPr>
      <w:rFonts w:ascii="宋体" w:hAnsi="宋体" w:cs="宋体"/>
      <w:kern w:val="0"/>
      <w:szCs w:val="20"/>
    </w:rPr>
  </w:style>
  <w:style w:type="paragraph" w:customStyle="1" w:styleId="106">
    <w:name w:val="样式 标题 5h5heading 5Heading5h51heading 51Heading51h52h53 +... Char Char Char Char Char Char Char Char Char Char Char Char Char Char Char Char Char Char Char Char Char Char Char Char Char Char Char Char Char Char Char Char Char Char Char Char Char"/>
    <w:basedOn w:val="7"/>
    <w:qFormat/>
    <w:uiPriority w:val="0"/>
    <w:pPr>
      <w:spacing w:before="120" w:after="120" w:line="376" w:lineRule="atLeast"/>
      <w:ind w:left="567"/>
    </w:pPr>
    <w:rPr>
      <w:rFonts w:ascii="宋体" w:hAnsi="宋体"/>
      <w:kern w:val="0"/>
    </w:rPr>
  </w:style>
  <w:style w:type="character" w:customStyle="1" w:styleId="107">
    <w:name w:val="标题 51"/>
    <w:qFormat/>
    <w:uiPriority w:val="0"/>
    <w:rPr>
      <w:rFonts w:eastAsia="宋体"/>
      <w:b/>
      <w:bCs/>
      <w:kern w:val="2"/>
      <w:sz w:val="24"/>
      <w:szCs w:val="28"/>
      <w:lang w:val="en-US" w:eastAsia="zh-CN" w:bidi="ar-SA"/>
    </w:rPr>
  </w:style>
  <w:style w:type="character" w:customStyle="1" w:styleId="108">
    <w:name w:val="样式 标题 5h5heading 5Heading5h51heading 51Heading51h52h53 +... Char Char Char Char Char Char Char Char Char Char Char Char Char Char Char Char Char Char Char Char Char Char Char Char Char Char Char Char Char Char Char Char Char Char Char Char Char Char"/>
    <w:qFormat/>
    <w:uiPriority w:val="0"/>
    <w:rPr>
      <w:rFonts w:ascii="宋体" w:hAnsi="宋体" w:eastAsia="宋体"/>
      <w:b/>
      <w:bCs/>
      <w:kern w:val="2"/>
      <w:sz w:val="24"/>
      <w:szCs w:val="28"/>
      <w:lang w:val="en-US" w:eastAsia="zh-CN" w:bidi="ar-SA"/>
    </w:rPr>
  </w:style>
  <w:style w:type="paragraph" w:customStyle="1" w:styleId="109">
    <w:name w:val="样式 标题 2h2Titre 2l2H2Heading TwoAlt+2UNDERRUBRIK 1-2R2H2..."/>
    <w:basedOn w:val="4"/>
    <w:qFormat/>
    <w:uiPriority w:val="0"/>
    <w:pPr>
      <w:spacing w:before="200" w:after="200" w:line="200" w:lineRule="atLeast"/>
    </w:pPr>
    <w:rPr>
      <w:rFonts w:ascii="宋体" w:cs="宋体"/>
      <w:kern w:val="0"/>
      <w:sz w:val="28"/>
      <w:szCs w:val="20"/>
    </w:rPr>
  </w:style>
  <w:style w:type="character" w:customStyle="1" w:styleId="110">
    <w:name w:val="访问过的超链接1"/>
    <w:qFormat/>
    <w:uiPriority w:val="0"/>
    <w:rPr>
      <w:color w:val="800080"/>
      <w:u w:val="single"/>
    </w:rPr>
  </w:style>
  <w:style w:type="paragraph" w:customStyle="1" w:styleId="111">
    <w:name w:val="正文1"/>
    <w:qFormat/>
    <w:uiPriority w:val="0"/>
    <w:pPr>
      <w:widowControl w:val="0"/>
      <w:adjustRightInd w:val="0"/>
      <w:spacing w:line="315" w:lineRule="atLeast"/>
      <w:jc w:val="both"/>
      <w:textAlignment w:val="baseline"/>
    </w:pPr>
    <w:rPr>
      <w:rFonts w:ascii="宋体" w:hAnsi="Times New Roman" w:eastAsia="宋体" w:cs="Times New Roman"/>
      <w:sz w:val="24"/>
      <w:lang w:val="en-US" w:eastAsia="zh-CN" w:bidi="ar-SA"/>
    </w:rPr>
  </w:style>
  <w:style w:type="paragraph" w:customStyle="1" w:styleId="112">
    <w:name w:val="正文文本 21"/>
    <w:basedOn w:val="1"/>
    <w:qFormat/>
    <w:uiPriority w:val="0"/>
    <w:pPr>
      <w:adjustRightInd w:val="0"/>
      <w:spacing w:line="440" w:lineRule="atLeast"/>
      <w:ind w:right="-80" w:firstLine="480"/>
      <w:textAlignment w:val="baseline"/>
    </w:pPr>
    <w:rPr>
      <w:rFonts w:ascii="宋体"/>
      <w:kern w:val="0"/>
      <w:szCs w:val="20"/>
    </w:rPr>
  </w:style>
  <w:style w:type="paragraph" w:customStyle="1" w:styleId="113">
    <w:name w:val="图表脚注"/>
    <w:basedOn w:val="77"/>
    <w:next w:val="77"/>
    <w:qFormat/>
    <w:uiPriority w:val="0"/>
    <w:rPr>
      <w:sz w:val="24"/>
      <w:szCs w:val="24"/>
    </w:rPr>
  </w:style>
  <w:style w:type="paragraph" w:customStyle="1" w:styleId="114">
    <w:name w:val="Body"/>
    <w:basedOn w:val="1"/>
    <w:qFormat/>
    <w:uiPriority w:val="0"/>
    <w:pPr>
      <w:widowControl/>
      <w:tabs>
        <w:tab w:val="left" w:pos="1980"/>
      </w:tabs>
      <w:spacing w:before="120" w:line="280" w:lineRule="exact"/>
      <w:ind w:left="1259"/>
    </w:pPr>
    <w:rPr>
      <w:kern w:val="0"/>
      <w:sz w:val="22"/>
      <w:szCs w:val="22"/>
      <w:lang w:eastAsia="en-US"/>
    </w:rPr>
  </w:style>
  <w:style w:type="paragraph" w:customStyle="1" w:styleId="115">
    <w:name w:val="样式 标题 33h33rd levelH3sect1.2.3Level 3 HeadHeading 3 - old...1"/>
    <w:basedOn w:val="5"/>
    <w:qFormat/>
    <w:uiPriority w:val="0"/>
    <w:pPr>
      <w:numPr>
        <w:ilvl w:val="0"/>
        <w:numId w:val="11"/>
      </w:numPr>
      <w:spacing w:before="200" w:after="200" w:line="200" w:lineRule="atLeast"/>
    </w:pPr>
    <w:rPr>
      <w:rFonts w:ascii="宋体" w:hAnsi="宋体" w:cs="宋体"/>
      <w:kern w:val="0"/>
      <w:szCs w:val="20"/>
    </w:rPr>
  </w:style>
  <w:style w:type="paragraph" w:customStyle="1" w:styleId="116">
    <w:name w:val="表头样式"/>
    <w:basedOn w:val="1"/>
    <w:qFormat/>
    <w:uiPriority w:val="0"/>
    <w:pPr>
      <w:autoSpaceDE w:val="0"/>
      <w:autoSpaceDN w:val="0"/>
      <w:adjustRightInd w:val="0"/>
      <w:jc w:val="center"/>
    </w:pPr>
    <w:rPr>
      <w:b/>
      <w:kern w:val="0"/>
    </w:rPr>
  </w:style>
  <w:style w:type="paragraph" w:customStyle="1" w:styleId="117">
    <w:name w:val="普通 (Web)1"/>
    <w:basedOn w:val="1"/>
    <w:next w:val="57"/>
    <w:qFormat/>
    <w:uiPriority w:val="0"/>
    <w:pPr>
      <w:snapToGrid w:val="0"/>
    </w:pPr>
    <w:rPr>
      <w:szCs w:val="20"/>
    </w:rPr>
  </w:style>
  <w:style w:type="paragraph" w:customStyle="1" w:styleId="118">
    <w:name w:val="BG"/>
    <w:basedOn w:val="1"/>
    <w:qFormat/>
    <w:uiPriority w:val="0"/>
    <w:pPr>
      <w:snapToGrid w:val="0"/>
      <w:jc w:val="center"/>
    </w:pPr>
    <w:rPr>
      <w:rFonts w:hint="eastAsia" w:ascii="宋体" w:hAnsi="宋体"/>
      <w:szCs w:val="20"/>
    </w:rPr>
  </w:style>
  <w:style w:type="paragraph" w:customStyle="1" w:styleId="119">
    <w:name w:val="默认段落字体 Para Char Char Char Char Char Char Char Char Char Char Char Char Char Char Char"/>
    <w:basedOn w:val="20"/>
    <w:qFormat/>
    <w:uiPriority w:val="0"/>
    <w:rPr>
      <w:rFonts w:ascii="Tahoma" w:hAnsi="Tahoma"/>
    </w:rPr>
  </w:style>
  <w:style w:type="paragraph" w:customStyle="1" w:styleId="120">
    <w:name w:val="biao"/>
    <w:basedOn w:val="1"/>
    <w:qFormat/>
    <w:uiPriority w:val="0"/>
    <w:pPr>
      <w:ind w:firstLine="567"/>
    </w:pPr>
    <w:rPr>
      <w:kern w:val="24"/>
    </w:rPr>
  </w:style>
  <w:style w:type="paragraph" w:customStyle="1" w:styleId="121">
    <w:name w:val="Table Heading"/>
    <w:link w:val="539"/>
    <w:qFormat/>
    <w:uiPriority w:val="0"/>
    <w:pPr>
      <w:snapToGrid w:val="0"/>
      <w:jc w:val="center"/>
    </w:pPr>
    <w:rPr>
      <w:rFonts w:ascii="Arial" w:hAnsi="Arial" w:eastAsia="黑体" w:cs="Times New Roman"/>
      <w:sz w:val="18"/>
      <w:lang w:val="en-US" w:eastAsia="zh-CN" w:bidi="ar-SA"/>
    </w:rPr>
  </w:style>
  <w:style w:type="paragraph" w:customStyle="1" w:styleId="122">
    <w:name w:val="表格图片标题"/>
    <w:basedOn w:val="1"/>
    <w:qFormat/>
    <w:uiPriority w:val="0"/>
    <w:pPr>
      <w:spacing w:beforeLines="50" w:afterLines="50"/>
      <w:ind w:firstLine="425"/>
    </w:pPr>
    <w:rPr>
      <w:rFonts w:ascii="宋体" w:hAnsi="宋体"/>
      <w:b/>
    </w:rPr>
  </w:style>
  <w:style w:type="paragraph" w:customStyle="1" w:styleId="123">
    <w:name w:val="表号"/>
    <w:basedOn w:val="1"/>
    <w:next w:val="61"/>
    <w:link w:val="541"/>
    <w:qFormat/>
    <w:uiPriority w:val="0"/>
    <w:pPr>
      <w:keepLines/>
      <w:autoSpaceDE w:val="0"/>
      <w:autoSpaceDN w:val="0"/>
      <w:adjustRightInd w:val="0"/>
      <w:jc w:val="center"/>
    </w:pPr>
    <w:rPr>
      <w:rFonts w:ascii="Arial" w:hAnsi="Arial"/>
      <w:kern w:val="0"/>
      <w:sz w:val="18"/>
      <w:szCs w:val="18"/>
    </w:rPr>
  </w:style>
  <w:style w:type="paragraph" w:customStyle="1" w:styleId="124">
    <w:name w:val="xl22"/>
    <w:basedOn w:val="1"/>
    <w:qFormat/>
    <w:uiPriority w:val="0"/>
    <w:pPr>
      <w:widowControl/>
      <w:spacing w:before="100" w:after="100"/>
      <w:jc w:val="center"/>
      <w:textAlignment w:val="center"/>
    </w:pPr>
    <w:rPr>
      <w:rFonts w:ascii="宋体" w:hAnsi="宋体"/>
      <w:kern w:val="0"/>
    </w:rPr>
  </w:style>
  <w:style w:type="paragraph" w:customStyle="1" w:styleId="125">
    <w:name w:val="中兴正文"/>
    <w:basedOn w:val="17"/>
    <w:link w:val="225"/>
    <w:qFormat/>
    <w:uiPriority w:val="0"/>
    <w:pPr>
      <w:ind w:firstLine="480"/>
    </w:pPr>
  </w:style>
  <w:style w:type="paragraph" w:customStyle="1" w:styleId="126">
    <w:name w:val="Char1"/>
    <w:basedOn w:val="20"/>
    <w:qFormat/>
    <w:uiPriority w:val="0"/>
    <w:pPr>
      <w:adjustRightInd w:val="0"/>
      <w:spacing w:line="436" w:lineRule="exact"/>
      <w:ind w:left="357"/>
      <w:jc w:val="left"/>
      <w:outlineLvl w:val="3"/>
    </w:pPr>
    <w:rPr>
      <w:rFonts w:ascii="Tahoma" w:hAnsi="Tahoma"/>
      <w:b/>
    </w:rPr>
  </w:style>
  <w:style w:type="paragraph" w:customStyle="1" w:styleId="127">
    <w:name w:val="样式 标题 3h:3h3H3Kop 3Vl3Level 3 Headheading 3h31.1.1 Hea..."/>
    <w:basedOn w:val="5"/>
    <w:qFormat/>
    <w:uiPriority w:val="0"/>
    <w:pPr>
      <w:numPr>
        <w:numId w:val="12"/>
      </w:numPr>
      <w:spacing w:before="100" w:after="100"/>
    </w:pPr>
    <w:rPr>
      <w:rFonts w:ascii="宋体" w:hAnsi="宋体"/>
      <w:szCs w:val="24"/>
    </w:rPr>
  </w:style>
  <w:style w:type="character" w:customStyle="1" w:styleId="128">
    <w:name w:val="标题 2 字符"/>
    <w:basedOn w:val="67"/>
    <w:link w:val="4"/>
    <w:qFormat/>
    <w:uiPriority w:val="0"/>
    <w:rPr>
      <w:rFonts w:cstheme="majorBidi"/>
      <w:b/>
      <w:bCs/>
      <w:kern w:val="2"/>
      <w:sz w:val="24"/>
      <w:szCs w:val="32"/>
    </w:rPr>
  </w:style>
  <w:style w:type="character" w:customStyle="1" w:styleId="129">
    <w:name w:val="标题 3 字符"/>
    <w:basedOn w:val="67"/>
    <w:link w:val="5"/>
    <w:qFormat/>
    <w:uiPriority w:val="0"/>
    <w:rPr>
      <w:rFonts w:cstheme="minorBidi"/>
      <w:bCs/>
      <w:kern w:val="2"/>
      <w:sz w:val="24"/>
      <w:szCs w:val="32"/>
    </w:rPr>
  </w:style>
  <w:style w:type="paragraph" w:customStyle="1" w:styleId="130">
    <w:name w:val="报告标题"/>
    <w:basedOn w:val="1"/>
    <w:next w:val="1"/>
    <w:qFormat/>
    <w:uiPriority w:val="0"/>
    <w:pPr>
      <w:numPr>
        <w:ilvl w:val="0"/>
        <w:numId w:val="13"/>
      </w:numPr>
      <w:tabs>
        <w:tab w:val="clear" w:pos="229"/>
      </w:tabs>
      <w:ind w:left="0"/>
      <w:jc w:val="center"/>
    </w:pPr>
    <w:rPr>
      <w:rFonts w:eastAsia="黑体"/>
      <w:b/>
      <w:sz w:val="52"/>
      <w:szCs w:val="20"/>
    </w:rPr>
  </w:style>
  <w:style w:type="paragraph" w:customStyle="1" w:styleId="131">
    <w:name w:val="表格题注"/>
    <w:next w:val="1"/>
    <w:qFormat/>
    <w:uiPriority w:val="0"/>
    <w:pPr>
      <w:keepLines/>
      <w:numPr>
        <w:ilvl w:val="1"/>
        <w:numId w:val="13"/>
      </w:numPr>
      <w:tabs>
        <w:tab w:val="clear" w:pos="1080"/>
      </w:tabs>
      <w:spacing w:beforeLines="100"/>
      <w:ind w:left="1089" w:hanging="369"/>
      <w:jc w:val="center"/>
    </w:pPr>
    <w:rPr>
      <w:rFonts w:ascii="Arial" w:hAnsi="Arial" w:eastAsia="宋体" w:cs="Times New Roman"/>
      <w:sz w:val="18"/>
      <w:szCs w:val="18"/>
      <w:lang w:val="en-US" w:eastAsia="zh-CN" w:bidi="ar-SA"/>
    </w:rPr>
  </w:style>
  <w:style w:type="paragraph" w:customStyle="1" w:styleId="132">
    <w:name w:val="附录1"/>
    <w:basedOn w:val="3"/>
    <w:next w:val="1"/>
    <w:qFormat/>
    <w:uiPriority w:val="0"/>
    <w:pPr>
      <w:numPr>
        <w:ilvl w:val="2"/>
        <w:numId w:val="14"/>
      </w:numPr>
      <w:tabs>
        <w:tab w:val="left" w:pos="229"/>
        <w:tab w:val="left" w:pos="1188"/>
        <w:tab w:val="clear" w:pos="3991"/>
      </w:tabs>
      <w:spacing w:beforeLines="100" w:afterLines="50"/>
      <w:ind w:left="-851"/>
    </w:pPr>
    <w:rPr>
      <w:bCs w:val="0"/>
      <w:sz w:val="28"/>
      <w:szCs w:val="20"/>
    </w:rPr>
  </w:style>
  <w:style w:type="paragraph" w:customStyle="1" w:styleId="133">
    <w:name w:val="附录2"/>
    <w:basedOn w:val="4"/>
    <w:next w:val="1"/>
    <w:qFormat/>
    <w:uiPriority w:val="0"/>
    <w:pPr>
      <w:tabs>
        <w:tab w:val="left" w:pos="992"/>
      </w:tabs>
      <w:spacing w:before="0" w:after="0"/>
      <w:ind w:left="992" w:hanging="992"/>
    </w:pPr>
    <w:rPr>
      <w:bCs w:val="0"/>
      <w:szCs w:val="20"/>
    </w:rPr>
  </w:style>
  <w:style w:type="paragraph" w:customStyle="1" w:styleId="134">
    <w:name w:val="附录3"/>
    <w:basedOn w:val="5"/>
    <w:next w:val="1"/>
    <w:qFormat/>
    <w:uiPriority w:val="0"/>
    <w:pPr>
      <w:numPr>
        <w:ilvl w:val="0"/>
        <w:numId w:val="0"/>
      </w:numPr>
      <w:tabs>
        <w:tab w:val="left" w:pos="1260"/>
      </w:tabs>
      <w:spacing w:before="0" w:after="0"/>
      <w:ind w:left="1260" w:hanging="420"/>
    </w:pPr>
    <w:rPr>
      <w:bCs w:val="0"/>
      <w:sz w:val="21"/>
      <w:szCs w:val="20"/>
    </w:rPr>
  </w:style>
  <w:style w:type="paragraph" w:customStyle="1" w:styleId="135">
    <w:name w:val="图例"/>
    <w:basedOn w:val="1"/>
    <w:qFormat/>
    <w:uiPriority w:val="0"/>
    <w:pPr>
      <w:ind w:firstLine="480"/>
    </w:pPr>
  </w:style>
  <w:style w:type="paragraph" w:customStyle="1" w:styleId="136">
    <w:name w:val="插图题注"/>
    <w:next w:val="1"/>
    <w:qFormat/>
    <w:uiPriority w:val="0"/>
    <w:pPr>
      <w:tabs>
        <w:tab w:val="left" w:pos="3380"/>
      </w:tabs>
      <w:spacing w:afterLines="100"/>
      <w:ind w:left="1089" w:hanging="369"/>
      <w:jc w:val="center"/>
    </w:pPr>
    <w:rPr>
      <w:rFonts w:ascii="Arial" w:hAnsi="Arial" w:eastAsia="宋体" w:cs="Times New Roman"/>
      <w:sz w:val="18"/>
      <w:szCs w:val="18"/>
      <w:lang w:val="en-US" w:eastAsia="zh-CN" w:bidi="ar-SA"/>
    </w:rPr>
  </w:style>
  <w:style w:type="paragraph" w:customStyle="1" w:styleId="137">
    <w:name w:val="表格文字"/>
    <w:basedOn w:val="1"/>
    <w:qFormat/>
    <w:uiPriority w:val="0"/>
    <w:pPr>
      <w:autoSpaceDE w:val="0"/>
      <w:autoSpaceDN w:val="0"/>
      <w:adjustRightInd w:val="0"/>
      <w:jc w:val="center"/>
    </w:pPr>
    <w:rPr>
      <w:kern w:val="0"/>
      <w:szCs w:val="20"/>
    </w:rPr>
  </w:style>
  <w:style w:type="paragraph" w:customStyle="1" w:styleId="138">
    <w:name w:val="报告正文"/>
    <w:basedOn w:val="1"/>
    <w:qFormat/>
    <w:uiPriority w:val="0"/>
    <w:pPr>
      <w:widowControl/>
      <w:overflowPunct w:val="0"/>
      <w:autoSpaceDE w:val="0"/>
      <w:autoSpaceDN w:val="0"/>
      <w:adjustRightInd w:val="0"/>
      <w:spacing w:after="80"/>
      <w:ind w:left="570"/>
      <w:textAlignment w:val="baseline"/>
    </w:pPr>
    <w:rPr>
      <w:kern w:val="0"/>
      <w:szCs w:val="20"/>
    </w:rPr>
  </w:style>
  <w:style w:type="paragraph" w:customStyle="1" w:styleId="139">
    <w:name w:val="复制正文"/>
    <w:qFormat/>
    <w:uiPriority w:val="0"/>
    <w:pPr>
      <w:widowControl w:val="0"/>
      <w:spacing w:line="360" w:lineRule="auto"/>
      <w:jc w:val="both"/>
    </w:pPr>
    <w:rPr>
      <w:rFonts w:ascii="Times New Roman" w:hAnsi="Times New Roman" w:eastAsia="宋体" w:cs="Times New Roman"/>
      <w:sz w:val="21"/>
      <w:lang w:val="en-US" w:eastAsia="zh-CN" w:bidi="ar-SA"/>
    </w:rPr>
  </w:style>
  <w:style w:type="paragraph" w:customStyle="1" w:styleId="140">
    <w:name w:val="xl27"/>
    <w:basedOn w:val="1"/>
    <w:qFormat/>
    <w:uiPriority w:val="0"/>
    <w:pPr>
      <w:widowControl/>
      <w:spacing w:before="100" w:beforeAutospacing="1" w:after="100" w:afterAutospacing="1"/>
      <w:jc w:val="center"/>
    </w:pPr>
    <w:rPr>
      <w:rFonts w:ascii="Arial Unicode MS" w:hAnsi="Arial Unicode MS" w:eastAsia="Arial Unicode MS" w:cs="Arial Unicode MS"/>
      <w:kern w:val="0"/>
    </w:rPr>
  </w:style>
  <w:style w:type="paragraph" w:customStyle="1" w:styleId="141">
    <w:name w:val="中兴报告标题1"/>
    <w:basedOn w:val="59"/>
    <w:next w:val="1"/>
    <w:qFormat/>
    <w:uiPriority w:val="0"/>
    <w:rPr>
      <w:sz w:val="52"/>
    </w:rPr>
  </w:style>
  <w:style w:type="paragraph" w:customStyle="1" w:styleId="142">
    <w:name w:val="中兴报告标题2"/>
    <w:basedOn w:val="59"/>
    <w:next w:val="1"/>
    <w:qFormat/>
    <w:uiPriority w:val="0"/>
    <w:rPr>
      <w:sz w:val="44"/>
    </w:rPr>
  </w:style>
  <w:style w:type="paragraph" w:customStyle="1" w:styleId="143">
    <w:name w:val="中兴报告标题3"/>
    <w:basedOn w:val="59"/>
    <w:next w:val="1"/>
    <w:qFormat/>
    <w:uiPriority w:val="0"/>
    <w:rPr>
      <w:sz w:val="36"/>
    </w:rPr>
  </w:style>
  <w:style w:type="paragraph" w:customStyle="1" w:styleId="144">
    <w:name w:val="中兴标题1"/>
    <w:basedOn w:val="3"/>
    <w:next w:val="1"/>
    <w:qFormat/>
    <w:uiPriority w:val="0"/>
    <w:pPr>
      <w:numPr>
        <w:numId w:val="15"/>
      </w:numPr>
      <w:suppressAutoHyphens/>
      <w:kinsoku w:val="0"/>
      <w:wordWrap w:val="0"/>
      <w:overflowPunct w:val="0"/>
      <w:autoSpaceDE w:val="0"/>
      <w:autoSpaceDN w:val="0"/>
      <w:spacing w:before="360" w:after="120"/>
      <w:textAlignment w:val="baseline"/>
    </w:pPr>
    <w:rPr>
      <w:bCs w:val="0"/>
      <w:kern w:val="0"/>
      <w:szCs w:val="20"/>
    </w:rPr>
  </w:style>
  <w:style w:type="paragraph" w:customStyle="1" w:styleId="145">
    <w:name w:val="中兴标题2"/>
    <w:basedOn w:val="4"/>
    <w:next w:val="1"/>
    <w:link w:val="146"/>
    <w:qFormat/>
    <w:uiPriority w:val="0"/>
    <w:rPr>
      <w:sz w:val="28"/>
    </w:rPr>
  </w:style>
  <w:style w:type="character" w:customStyle="1" w:styleId="146">
    <w:name w:val="中兴标题2 Char"/>
    <w:link w:val="145"/>
    <w:qFormat/>
    <w:uiPriority w:val="0"/>
    <w:rPr>
      <w:rFonts w:cstheme="majorBidi"/>
      <w:b/>
      <w:bCs/>
      <w:kern w:val="2"/>
      <w:sz w:val="28"/>
      <w:szCs w:val="32"/>
    </w:rPr>
  </w:style>
  <w:style w:type="paragraph" w:customStyle="1" w:styleId="147">
    <w:name w:val="中兴标题3"/>
    <w:basedOn w:val="5"/>
    <w:next w:val="1"/>
    <w:link w:val="148"/>
    <w:qFormat/>
    <w:uiPriority w:val="0"/>
    <w:pPr>
      <w:numPr>
        <w:numId w:val="15"/>
      </w:numPr>
      <w:spacing w:before="120" w:after="0"/>
    </w:pPr>
    <w:rPr>
      <w:color w:val="000000"/>
      <w:sz w:val="28"/>
    </w:rPr>
  </w:style>
  <w:style w:type="character" w:customStyle="1" w:styleId="148">
    <w:name w:val="中兴标题3 Char"/>
    <w:link w:val="147"/>
    <w:qFormat/>
    <w:uiPriority w:val="0"/>
    <w:rPr>
      <w:rFonts w:cstheme="minorBidi"/>
      <w:bCs/>
      <w:color w:val="000000"/>
      <w:kern w:val="2"/>
      <w:sz w:val="28"/>
      <w:szCs w:val="32"/>
    </w:rPr>
  </w:style>
  <w:style w:type="paragraph" w:customStyle="1" w:styleId="149">
    <w:name w:val="中兴标题4"/>
    <w:basedOn w:val="6"/>
    <w:next w:val="1"/>
    <w:qFormat/>
    <w:uiPriority w:val="0"/>
    <w:pPr>
      <w:numPr>
        <w:ilvl w:val="0"/>
        <w:numId w:val="0"/>
      </w:numPr>
      <w:spacing w:line="376" w:lineRule="auto"/>
    </w:pPr>
    <w:rPr>
      <w:rFonts w:ascii="宋体" w:hAnsi="宋体"/>
      <w:bCs w:val="0"/>
      <w:sz w:val="30"/>
    </w:rPr>
  </w:style>
  <w:style w:type="paragraph" w:customStyle="1" w:styleId="150">
    <w:name w:val="中兴标题5"/>
    <w:basedOn w:val="7"/>
    <w:next w:val="1"/>
    <w:qFormat/>
    <w:uiPriority w:val="0"/>
    <w:pPr>
      <w:numPr>
        <w:ilvl w:val="0"/>
        <w:numId w:val="0"/>
      </w:numPr>
      <w:spacing w:before="280" w:after="290" w:line="376" w:lineRule="auto"/>
      <w:ind w:left="840" w:hanging="720"/>
    </w:pPr>
    <w:rPr>
      <w:sz w:val="28"/>
    </w:rPr>
  </w:style>
  <w:style w:type="paragraph" w:customStyle="1" w:styleId="151">
    <w:name w:val="中兴表格题注"/>
    <w:basedOn w:val="18"/>
    <w:next w:val="1"/>
    <w:qFormat/>
    <w:uiPriority w:val="0"/>
    <w:rPr>
      <w:rFonts w:ascii="Arial" w:hAnsi="Arial"/>
      <w:szCs w:val="24"/>
    </w:rPr>
  </w:style>
  <w:style w:type="paragraph" w:customStyle="1" w:styleId="152">
    <w:name w:val="中兴插图题注"/>
    <w:basedOn w:val="151"/>
    <w:next w:val="1"/>
    <w:qFormat/>
    <w:uiPriority w:val="0"/>
    <w:rPr>
      <w:rFonts w:ascii="Times New Roman" w:hAnsi="Times New Roman" w:cs="Times New Roman"/>
      <w:kern w:val="0"/>
    </w:rPr>
  </w:style>
  <w:style w:type="paragraph" w:customStyle="1" w:styleId="153">
    <w:name w:val="中兴附录1"/>
    <w:basedOn w:val="3"/>
    <w:next w:val="1"/>
    <w:qFormat/>
    <w:uiPriority w:val="0"/>
    <w:pPr>
      <w:numPr>
        <w:numId w:val="0"/>
      </w:numPr>
      <w:tabs>
        <w:tab w:val="left" w:pos="1098"/>
      </w:tabs>
      <w:ind w:left="-12" w:firstLine="14" w:firstLineChars="4"/>
    </w:pPr>
    <w:rPr>
      <w:sz w:val="36"/>
    </w:rPr>
  </w:style>
  <w:style w:type="paragraph" w:customStyle="1" w:styleId="154">
    <w:name w:val="中兴附录2"/>
    <w:basedOn w:val="4"/>
    <w:next w:val="1"/>
    <w:qFormat/>
    <w:uiPriority w:val="0"/>
    <w:pPr>
      <w:tabs>
        <w:tab w:val="left" w:pos="1418"/>
      </w:tabs>
      <w:ind w:left="1418" w:hanging="1418"/>
    </w:pPr>
    <w:rPr>
      <w:sz w:val="32"/>
    </w:rPr>
  </w:style>
  <w:style w:type="paragraph" w:customStyle="1" w:styleId="155">
    <w:name w:val="中兴附录3"/>
    <w:basedOn w:val="5"/>
    <w:next w:val="1"/>
    <w:qFormat/>
    <w:uiPriority w:val="0"/>
    <w:pPr>
      <w:numPr>
        <w:ilvl w:val="0"/>
        <w:numId w:val="0"/>
      </w:numPr>
      <w:tabs>
        <w:tab w:val="left" w:pos="1742"/>
      </w:tabs>
      <w:ind w:left="1742" w:hanging="420"/>
    </w:pPr>
    <w:rPr>
      <w:sz w:val="30"/>
    </w:rPr>
  </w:style>
  <w:style w:type="paragraph" w:customStyle="1" w:styleId="156">
    <w:name w:val="中兴目录1"/>
    <w:basedOn w:val="42"/>
    <w:qFormat/>
    <w:uiPriority w:val="0"/>
  </w:style>
  <w:style w:type="paragraph" w:customStyle="1" w:styleId="157">
    <w:name w:val="中兴目录2"/>
    <w:basedOn w:val="52"/>
    <w:qFormat/>
    <w:uiPriority w:val="0"/>
  </w:style>
  <w:style w:type="paragraph" w:customStyle="1" w:styleId="158">
    <w:name w:val="中兴目录3"/>
    <w:basedOn w:val="32"/>
    <w:qFormat/>
    <w:uiPriority w:val="0"/>
    <w:rPr>
      <w:i/>
      <w:sz w:val="21"/>
    </w:rPr>
  </w:style>
  <w:style w:type="paragraph" w:customStyle="1" w:styleId="159">
    <w:name w:val="表文字"/>
    <w:qFormat/>
    <w:uiPriority w:val="0"/>
    <w:pPr>
      <w:adjustRightInd w:val="0"/>
      <w:snapToGrid w:val="0"/>
      <w:jc w:val="center"/>
    </w:pPr>
    <w:rPr>
      <w:rFonts w:ascii="Times New Roman" w:hAnsi="Times New Roman" w:eastAsia="宋体" w:cs="Times New Roman"/>
      <w:sz w:val="21"/>
      <w:lang w:val="en-US" w:eastAsia="zh-CN" w:bidi="ar-SA"/>
    </w:rPr>
  </w:style>
  <w:style w:type="paragraph" w:customStyle="1" w:styleId="160">
    <w:name w:val="TAH"/>
    <w:basedOn w:val="161"/>
    <w:qFormat/>
    <w:uiPriority w:val="0"/>
    <w:rPr>
      <w:b/>
    </w:rPr>
  </w:style>
  <w:style w:type="paragraph" w:customStyle="1" w:styleId="161">
    <w:name w:val="TAC"/>
    <w:basedOn w:val="1"/>
    <w:qFormat/>
    <w:uiPriority w:val="0"/>
    <w:pPr>
      <w:keepNext/>
      <w:keepLines/>
      <w:widowControl/>
      <w:overflowPunct w:val="0"/>
      <w:autoSpaceDE w:val="0"/>
      <w:autoSpaceDN w:val="0"/>
      <w:adjustRightInd w:val="0"/>
      <w:jc w:val="center"/>
      <w:textAlignment w:val="baseline"/>
    </w:pPr>
    <w:rPr>
      <w:rFonts w:ascii="Arial" w:hAnsi="Arial"/>
      <w:kern w:val="0"/>
      <w:sz w:val="18"/>
      <w:szCs w:val="20"/>
      <w:lang w:val="en-GB" w:eastAsia="en-US"/>
    </w:rPr>
  </w:style>
  <w:style w:type="paragraph" w:customStyle="1" w:styleId="162">
    <w:name w:val="TAL"/>
    <w:basedOn w:val="1"/>
    <w:qFormat/>
    <w:uiPriority w:val="0"/>
    <w:pPr>
      <w:keepNext/>
      <w:keepLines/>
      <w:widowControl/>
      <w:overflowPunct w:val="0"/>
      <w:autoSpaceDE w:val="0"/>
      <w:autoSpaceDN w:val="0"/>
      <w:adjustRightInd w:val="0"/>
      <w:jc w:val="left"/>
      <w:textAlignment w:val="baseline"/>
    </w:pPr>
    <w:rPr>
      <w:rFonts w:ascii="Arial" w:hAnsi="Arial"/>
      <w:kern w:val="0"/>
      <w:sz w:val="18"/>
      <w:szCs w:val="20"/>
      <w:lang w:val="en-GB"/>
    </w:rPr>
  </w:style>
  <w:style w:type="character" w:customStyle="1" w:styleId="163">
    <w:name w:val="fonts"/>
    <w:basedOn w:val="67"/>
    <w:qFormat/>
    <w:uiPriority w:val="0"/>
  </w:style>
  <w:style w:type="character" w:customStyle="1" w:styleId="164">
    <w:name w:val="p111"/>
    <w:qFormat/>
    <w:uiPriority w:val="0"/>
    <w:rPr>
      <w:rFonts w:hint="default"/>
      <w:color w:val="000000"/>
      <w:spacing w:val="300"/>
      <w:sz w:val="22"/>
      <w:szCs w:val="22"/>
      <w:u w:val="none"/>
    </w:rPr>
  </w:style>
  <w:style w:type="paragraph" w:customStyle="1" w:styleId="165">
    <w:name w:val="正文项目符号"/>
    <w:basedOn w:val="1"/>
    <w:qFormat/>
    <w:uiPriority w:val="0"/>
    <w:pPr>
      <w:numPr>
        <w:ilvl w:val="1"/>
        <w:numId w:val="16"/>
      </w:numPr>
      <w:tabs>
        <w:tab w:val="left" w:pos="720"/>
        <w:tab w:val="left" w:pos="840"/>
        <w:tab w:val="clear" w:pos="1418"/>
      </w:tabs>
      <w:spacing w:line="400" w:lineRule="atLeast"/>
      <w:ind w:left="420" w:hanging="420"/>
    </w:pPr>
    <w:rPr>
      <w:szCs w:val="20"/>
    </w:rPr>
  </w:style>
  <w:style w:type="character" w:customStyle="1" w:styleId="166">
    <w:name w:val="f121"/>
    <w:qFormat/>
    <w:uiPriority w:val="0"/>
    <w:rPr>
      <w:sz w:val="18"/>
      <w:szCs w:val="18"/>
    </w:rPr>
  </w:style>
  <w:style w:type="paragraph" w:customStyle="1" w:styleId="167">
    <w:name w:val="中兴表格标示"/>
    <w:basedOn w:val="1"/>
    <w:qFormat/>
    <w:uiPriority w:val="0"/>
  </w:style>
  <w:style w:type="paragraph" w:customStyle="1" w:styleId="168">
    <w:name w:val="中兴表格提示"/>
    <w:basedOn w:val="1"/>
    <w:qFormat/>
    <w:uiPriority w:val="0"/>
    <w:pPr>
      <w:tabs>
        <w:tab w:val="left" w:pos="471"/>
      </w:tabs>
      <w:ind w:left="471" w:hanging="420"/>
    </w:pPr>
  </w:style>
  <w:style w:type="paragraph" w:customStyle="1" w:styleId="169">
    <w:name w:val="Table Text"/>
    <w:link w:val="538"/>
    <w:qFormat/>
    <w:uiPriority w:val="0"/>
    <w:pPr>
      <w:snapToGrid w:val="0"/>
      <w:spacing w:before="80" w:after="80"/>
    </w:pPr>
    <w:rPr>
      <w:rFonts w:ascii="Arial" w:hAnsi="Arial" w:eastAsia="宋体" w:cs="Times New Roman"/>
      <w:sz w:val="18"/>
      <w:lang w:val="en-US" w:eastAsia="zh-CN" w:bidi="ar-SA"/>
    </w:rPr>
  </w:style>
  <w:style w:type="paragraph" w:customStyle="1" w:styleId="170">
    <w:name w:val="font5"/>
    <w:basedOn w:val="1"/>
    <w:qFormat/>
    <w:uiPriority w:val="0"/>
    <w:pPr>
      <w:widowControl/>
      <w:spacing w:before="100" w:beforeAutospacing="1" w:after="100" w:afterAutospacing="1"/>
      <w:jc w:val="left"/>
    </w:pPr>
    <w:rPr>
      <w:rFonts w:eastAsia="Arial Unicode MS"/>
      <w:kern w:val="0"/>
      <w:sz w:val="20"/>
      <w:szCs w:val="20"/>
    </w:rPr>
  </w:style>
  <w:style w:type="paragraph" w:customStyle="1" w:styleId="171">
    <w:name w:val="font6"/>
    <w:basedOn w:val="1"/>
    <w:qFormat/>
    <w:uiPriority w:val="0"/>
    <w:pPr>
      <w:widowControl/>
      <w:spacing w:before="100" w:beforeAutospacing="1" w:after="100" w:afterAutospacing="1"/>
      <w:jc w:val="left"/>
    </w:pPr>
    <w:rPr>
      <w:rFonts w:hint="eastAsia" w:ascii="宋体" w:hAnsi="宋体" w:cs="Arial Unicode MS"/>
      <w:kern w:val="0"/>
      <w:sz w:val="18"/>
      <w:szCs w:val="18"/>
    </w:rPr>
  </w:style>
  <w:style w:type="paragraph" w:customStyle="1" w:styleId="172">
    <w:name w:val="font7"/>
    <w:basedOn w:val="1"/>
    <w:qFormat/>
    <w:uiPriority w:val="0"/>
    <w:pPr>
      <w:widowControl/>
      <w:spacing w:before="100" w:beforeAutospacing="1" w:after="100" w:afterAutospacing="1"/>
      <w:jc w:val="left"/>
    </w:pPr>
    <w:rPr>
      <w:rFonts w:hint="eastAsia" w:ascii="宋体" w:hAnsi="宋体" w:cs="Arial Unicode MS"/>
      <w:kern w:val="0"/>
      <w:sz w:val="20"/>
      <w:szCs w:val="20"/>
    </w:rPr>
  </w:style>
  <w:style w:type="paragraph" w:customStyle="1" w:styleId="173">
    <w:name w:val="font8"/>
    <w:basedOn w:val="1"/>
    <w:qFormat/>
    <w:uiPriority w:val="0"/>
    <w:pPr>
      <w:widowControl/>
      <w:numPr>
        <w:ilvl w:val="2"/>
        <w:numId w:val="17"/>
      </w:numPr>
      <w:tabs>
        <w:tab w:val="clear" w:pos="709"/>
      </w:tabs>
      <w:spacing w:before="100" w:beforeAutospacing="1" w:after="100" w:afterAutospacing="1"/>
      <w:ind w:left="0" w:firstLine="0"/>
      <w:jc w:val="left"/>
    </w:pPr>
    <w:rPr>
      <w:rFonts w:eastAsia="Arial Unicode MS"/>
      <w:kern w:val="0"/>
      <w:sz w:val="18"/>
      <w:szCs w:val="18"/>
    </w:rPr>
  </w:style>
  <w:style w:type="paragraph" w:customStyle="1" w:styleId="174">
    <w:name w:val="xl5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b/>
      <w:bCs/>
      <w:kern w:val="0"/>
      <w:sz w:val="20"/>
      <w:szCs w:val="20"/>
    </w:rPr>
  </w:style>
  <w:style w:type="paragraph" w:customStyle="1" w:styleId="175">
    <w:name w:val="xl58"/>
    <w:basedOn w:val="1"/>
    <w:qFormat/>
    <w:uiPriority w:val="0"/>
    <w:pPr>
      <w:widowControl/>
      <w:numPr>
        <w:ilvl w:val="0"/>
        <w:numId w:val="18"/>
      </w:numPr>
      <w:pBdr>
        <w:top w:val="single" w:color="auto" w:sz="4" w:space="0"/>
        <w:left w:val="single" w:color="auto" w:sz="4" w:space="0"/>
        <w:bottom w:val="single" w:color="auto" w:sz="4" w:space="0"/>
        <w:right w:val="single" w:color="auto" w:sz="4" w:space="0"/>
      </w:pBdr>
      <w:tabs>
        <w:tab w:val="clear" w:pos="567"/>
      </w:tabs>
      <w:spacing w:before="100" w:beforeAutospacing="1" w:after="100" w:afterAutospacing="1"/>
      <w:ind w:left="0" w:firstLine="0"/>
      <w:jc w:val="center"/>
    </w:pPr>
    <w:rPr>
      <w:rFonts w:ascii="Arial Unicode MS" w:hAnsi="Arial Unicode MS" w:eastAsia="Arial Unicode MS" w:cs="Arial Unicode MS"/>
      <w:kern w:val="0"/>
      <w:sz w:val="20"/>
      <w:szCs w:val="20"/>
    </w:rPr>
  </w:style>
  <w:style w:type="paragraph" w:customStyle="1" w:styleId="176">
    <w:name w:val="xl59"/>
    <w:basedOn w:val="1"/>
    <w:qFormat/>
    <w:uiPriority w:val="0"/>
    <w:pPr>
      <w:widowControl/>
      <w:numPr>
        <w:ilvl w:val="0"/>
        <w:numId w:val="19"/>
      </w:numPr>
      <w:pBdr>
        <w:top w:val="single" w:color="auto" w:sz="4" w:space="0"/>
        <w:left w:val="single" w:color="auto" w:sz="4" w:space="0"/>
        <w:bottom w:val="single" w:color="auto" w:sz="4" w:space="0"/>
        <w:right w:val="single" w:color="auto" w:sz="4" w:space="0"/>
      </w:pBdr>
      <w:tabs>
        <w:tab w:val="clear" w:pos="840"/>
      </w:tabs>
      <w:spacing w:before="100" w:beforeAutospacing="1" w:after="100" w:afterAutospacing="1"/>
      <w:ind w:left="0" w:firstLine="0"/>
      <w:jc w:val="center"/>
    </w:pPr>
    <w:rPr>
      <w:rFonts w:eastAsia="Arial Unicode MS"/>
      <w:kern w:val="0"/>
      <w:sz w:val="20"/>
      <w:szCs w:val="20"/>
    </w:rPr>
  </w:style>
  <w:style w:type="paragraph" w:customStyle="1" w:styleId="177">
    <w:name w:val="论文格式6.5.1"/>
    <w:basedOn w:val="1"/>
    <w:qFormat/>
    <w:uiPriority w:val="0"/>
    <w:pPr>
      <w:keepNext/>
      <w:keepLines/>
      <w:tabs>
        <w:tab w:val="left" w:pos="1280"/>
      </w:tabs>
      <w:spacing w:before="120" w:after="120" w:line="415" w:lineRule="auto"/>
      <w:ind w:left="1280" w:hanging="420"/>
      <w:outlineLvl w:val="2"/>
    </w:pPr>
    <w:rPr>
      <w:rFonts w:ascii="Arial" w:hAnsi="Arial" w:eastAsia="黑体"/>
      <w:b/>
      <w:bCs/>
      <w:sz w:val="28"/>
      <w:szCs w:val="32"/>
    </w:rPr>
  </w:style>
  <w:style w:type="paragraph" w:customStyle="1" w:styleId="178">
    <w:name w:val="样式 标题 1标题 1 Char Char + (中文) 黑体 居中 行距: 固定值 20 磅"/>
    <w:basedOn w:val="3"/>
    <w:qFormat/>
    <w:uiPriority w:val="0"/>
    <w:pPr>
      <w:numPr>
        <w:ilvl w:val="0"/>
        <w:numId w:val="0"/>
      </w:numPr>
      <w:spacing w:line="400" w:lineRule="exact"/>
      <w:jc w:val="center"/>
    </w:pPr>
    <w:rPr>
      <w:rFonts w:eastAsia="黑体" w:cs="宋体"/>
      <w:szCs w:val="20"/>
    </w:rPr>
  </w:style>
  <w:style w:type="paragraph" w:customStyle="1" w:styleId="179">
    <w:name w:val="样式 标题 2H2 + 左侧:  0 厘米 悬挂缩进: 5.76 字符 段前: 0 磅 段后: 0 磅 行距: 单倍行距"/>
    <w:basedOn w:val="4"/>
    <w:qFormat/>
    <w:uiPriority w:val="0"/>
    <w:pPr>
      <w:tabs>
        <w:tab w:val="left" w:pos="0"/>
      </w:tabs>
      <w:spacing w:before="0" w:after="0" w:line="240" w:lineRule="auto"/>
    </w:pPr>
    <w:rPr>
      <w:rFonts w:cs="宋体"/>
      <w:sz w:val="28"/>
      <w:szCs w:val="28"/>
    </w:rPr>
  </w:style>
  <w:style w:type="paragraph" w:customStyle="1" w:styleId="180">
    <w:name w:val="正文编号1"/>
    <w:qFormat/>
    <w:uiPriority w:val="0"/>
    <w:pPr>
      <w:tabs>
        <w:tab w:val="left" w:pos="0"/>
      </w:tabs>
      <w:spacing w:line="360" w:lineRule="auto"/>
    </w:pPr>
    <w:rPr>
      <w:rFonts w:ascii="Times New Roman" w:hAnsi="Times New Roman" w:eastAsia="宋体" w:cs="Times New Roman"/>
      <w:kern w:val="2"/>
      <w:sz w:val="21"/>
      <w:lang w:val="en-US" w:eastAsia="zh-CN" w:bidi="ar-SA"/>
    </w:rPr>
  </w:style>
  <w:style w:type="paragraph" w:customStyle="1" w:styleId="181">
    <w:name w:val="图形居中"/>
    <w:next w:val="1"/>
    <w:qFormat/>
    <w:uiPriority w:val="0"/>
    <w:pPr>
      <w:keepNext/>
      <w:spacing w:before="360" w:after="120" w:line="360" w:lineRule="auto"/>
      <w:jc w:val="center"/>
    </w:pPr>
    <w:rPr>
      <w:rFonts w:ascii="Times New Roman" w:hAnsi="Times New Roman" w:eastAsia="宋体" w:cs="Arial"/>
      <w:kern w:val="2"/>
      <w:sz w:val="21"/>
      <w:szCs w:val="21"/>
      <w:lang w:val="en-US" w:eastAsia="zh-CN" w:bidi="ar-SA"/>
    </w:rPr>
  </w:style>
  <w:style w:type="paragraph" w:customStyle="1" w:styleId="182">
    <w:name w:val="图名"/>
    <w:next w:val="1"/>
    <w:link w:val="191"/>
    <w:qFormat/>
    <w:uiPriority w:val="0"/>
    <w:pPr>
      <w:snapToGrid w:val="0"/>
      <w:spacing w:before="120" w:after="120"/>
      <w:jc w:val="center"/>
    </w:pPr>
    <w:rPr>
      <w:rFonts w:ascii="Arial" w:hAnsi="Arial" w:eastAsia="黑体" w:cs="Arial"/>
      <w:kern w:val="2"/>
      <w:sz w:val="21"/>
      <w:szCs w:val="21"/>
      <w:lang w:val="en-US" w:eastAsia="zh-CN" w:bidi="ar-SA"/>
    </w:rPr>
  </w:style>
  <w:style w:type="paragraph" w:customStyle="1" w:styleId="183">
    <w:name w:val="样式 中兴标题2 + Times New Roman"/>
    <w:basedOn w:val="145"/>
    <w:qFormat/>
    <w:uiPriority w:val="0"/>
    <w:pPr>
      <w:spacing w:before="240" w:after="120"/>
    </w:pPr>
  </w:style>
  <w:style w:type="paragraph" w:customStyle="1" w:styleId="184">
    <w:name w:val="JS正文"/>
    <w:basedOn w:val="1"/>
    <w:qFormat/>
    <w:uiPriority w:val="0"/>
    <w:pPr>
      <w:spacing w:before="60" w:after="60" w:line="300" w:lineRule="auto"/>
      <w:ind w:firstLine="420"/>
    </w:pPr>
    <w:rPr>
      <w:bCs/>
    </w:rPr>
  </w:style>
  <w:style w:type="paragraph" w:customStyle="1" w:styleId="185">
    <w:name w:val="样式 题注 + Times New Roman 五号"/>
    <w:basedOn w:val="18"/>
    <w:link w:val="187"/>
    <w:qFormat/>
    <w:uiPriority w:val="0"/>
  </w:style>
  <w:style w:type="character" w:customStyle="1" w:styleId="186">
    <w:name w:val="题注 字符"/>
    <w:link w:val="18"/>
    <w:qFormat/>
    <w:uiPriority w:val="0"/>
    <w:rPr>
      <w:rFonts w:eastAsia="宋体" w:cs="Arial"/>
      <w:kern w:val="2"/>
      <w:sz w:val="21"/>
      <w:lang w:val="en-US" w:eastAsia="zh-CN" w:bidi="ar-SA"/>
    </w:rPr>
  </w:style>
  <w:style w:type="character" w:customStyle="1" w:styleId="187">
    <w:name w:val="样式 题注 + Times New Roman 五号 Char"/>
    <w:basedOn w:val="186"/>
    <w:link w:val="185"/>
    <w:qFormat/>
    <w:uiPriority w:val="0"/>
    <w:rPr>
      <w:rFonts w:eastAsia="宋体" w:cs="Arial"/>
      <w:kern w:val="2"/>
      <w:sz w:val="21"/>
      <w:lang w:val="en-US" w:eastAsia="zh-CN" w:bidi="ar-SA"/>
    </w:rPr>
  </w:style>
  <w:style w:type="character" w:customStyle="1" w:styleId="188">
    <w:name w:val="表名 Char"/>
    <w:link w:val="189"/>
    <w:qFormat/>
    <w:uiPriority w:val="0"/>
    <w:rPr>
      <w:rFonts w:ascii="Arial" w:hAnsi="Arial" w:eastAsia="黑体" w:cs="宋体"/>
      <w:sz w:val="24"/>
      <w:szCs w:val="21"/>
    </w:rPr>
  </w:style>
  <w:style w:type="paragraph" w:customStyle="1" w:styleId="189">
    <w:name w:val="表名"/>
    <w:basedOn w:val="1"/>
    <w:link w:val="188"/>
    <w:qFormat/>
    <w:uiPriority w:val="0"/>
    <w:pPr>
      <w:overflowPunct w:val="0"/>
      <w:autoSpaceDE w:val="0"/>
      <w:autoSpaceDN w:val="0"/>
      <w:adjustRightInd w:val="0"/>
      <w:spacing w:beforeLines="50" w:afterLines="50" w:line="0" w:lineRule="atLeast"/>
      <w:jc w:val="center"/>
      <w:textAlignment w:val="baseline"/>
    </w:pPr>
    <w:rPr>
      <w:rFonts w:ascii="Arial" w:hAnsi="Arial" w:eastAsia="黑体" w:cs="宋体"/>
      <w:kern w:val="0"/>
    </w:rPr>
  </w:style>
  <w:style w:type="paragraph" w:customStyle="1" w:styleId="190">
    <w:name w:val="样式 表名 + 段前: 0.5 行 段后: 0.5 行1"/>
    <w:basedOn w:val="1"/>
    <w:qFormat/>
    <w:uiPriority w:val="0"/>
    <w:pPr>
      <w:overflowPunct w:val="0"/>
      <w:autoSpaceDE w:val="0"/>
      <w:autoSpaceDN w:val="0"/>
      <w:adjustRightInd w:val="0"/>
      <w:spacing w:beforeLines="50" w:afterLines="50" w:line="0" w:lineRule="atLeast"/>
      <w:jc w:val="center"/>
      <w:textAlignment w:val="baseline"/>
    </w:pPr>
    <w:rPr>
      <w:rFonts w:ascii="Arial" w:hAnsi="Arial" w:eastAsia="黑体" w:cs="宋体"/>
      <w:kern w:val="0"/>
      <w:szCs w:val="20"/>
    </w:rPr>
  </w:style>
  <w:style w:type="character" w:customStyle="1" w:styleId="191">
    <w:name w:val="图名 Char"/>
    <w:link w:val="182"/>
    <w:qFormat/>
    <w:uiPriority w:val="0"/>
    <w:rPr>
      <w:rFonts w:ascii="Arial" w:hAnsi="Arial" w:eastAsia="黑体" w:cs="Arial"/>
      <w:kern w:val="2"/>
      <w:sz w:val="21"/>
      <w:szCs w:val="21"/>
      <w:lang w:val="en-US" w:eastAsia="zh-CN" w:bidi="ar-SA"/>
    </w:rPr>
  </w:style>
  <w:style w:type="paragraph" w:customStyle="1" w:styleId="192">
    <w:name w:val="插图题注 Char"/>
    <w:next w:val="1"/>
    <w:qFormat/>
    <w:uiPriority w:val="0"/>
    <w:pPr>
      <w:tabs>
        <w:tab w:val="left" w:pos="3360"/>
      </w:tabs>
      <w:spacing w:afterLines="50"/>
      <w:ind w:left="3360" w:hanging="420"/>
      <w:jc w:val="both"/>
    </w:pPr>
    <w:rPr>
      <w:rFonts w:ascii="Arial" w:hAnsi="Arial" w:eastAsia="宋体" w:cs="Times New Roman"/>
      <w:sz w:val="18"/>
      <w:szCs w:val="18"/>
      <w:lang w:val="en-US" w:eastAsia="zh-CN" w:bidi="ar-SA"/>
    </w:rPr>
  </w:style>
  <w:style w:type="paragraph" w:customStyle="1" w:styleId="193">
    <w:name w:val="内文"/>
    <w:qFormat/>
    <w:uiPriority w:val="0"/>
    <w:pPr>
      <w:widowControl w:val="0"/>
      <w:kinsoku w:val="0"/>
      <w:wordWrap w:val="0"/>
      <w:adjustRightInd w:val="0"/>
      <w:spacing w:line="312" w:lineRule="atLeast"/>
      <w:jc w:val="both"/>
      <w:textAlignment w:val="baseline"/>
    </w:pPr>
    <w:rPr>
      <w:rFonts w:ascii="宋体" w:hAnsi="Times New Roman" w:eastAsia="宋体" w:cs="Times New Roman"/>
      <w:sz w:val="24"/>
      <w:lang w:val="en-US" w:eastAsia="zh-CN" w:bidi="ar-SA"/>
    </w:rPr>
  </w:style>
  <w:style w:type="paragraph" w:customStyle="1" w:styleId="194">
    <w:name w:val="默认段落字体 Para Char Char Char Char Char Char Char Char Char Char Char Char3"/>
    <w:basedOn w:val="20"/>
    <w:qFormat/>
    <w:uiPriority w:val="0"/>
    <w:pPr>
      <w:adjustRightInd w:val="0"/>
      <w:spacing w:line="436" w:lineRule="exact"/>
      <w:ind w:left="357"/>
      <w:jc w:val="left"/>
      <w:outlineLvl w:val="3"/>
    </w:pPr>
    <w:rPr>
      <w:rFonts w:ascii="Tahoma" w:hAnsi="Tahoma"/>
      <w:b/>
    </w:rPr>
  </w:style>
  <w:style w:type="paragraph" w:customStyle="1" w:styleId="195">
    <w:name w:val="表格（小四）"/>
    <w:basedOn w:val="1"/>
    <w:qFormat/>
    <w:uiPriority w:val="0"/>
    <w:pPr>
      <w:adjustRightInd w:val="0"/>
      <w:spacing w:before="60" w:after="60"/>
      <w:jc w:val="center"/>
      <w:textAlignment w:val="baseline"/>
    </w:pPr>
    <w:rPr>
      <w:kern w:val="0"/>
      <w:szCs w:val="20"/>
    </w:rPr>
  </w:style>
  <w:style w:type="paragraph" w:customStyle="1" w:styleId="196">
    <w:name w:val="封面标题栏_ISO"/>
    <w:basedOn w:val="1"/>
    <w:qFormat/>
    <w:uiPriority w:val="0"/>
    <w:pPr>
      <w:adjustRightInd w:val="0"/>
      <w:ind w:firstLine="480"/>
      <w:textAlignment w:val="baseline"/>
    </w:pPr>
    <w:rPr>
      <w:rFonts w:cs="宋体"/>
      <w:kern w:val="0"/>
      <w:szCs w:val="20"/>
    </w:rPr>
  </w:style>
  <w:style w:type="paragraph" w:customStyle="1" w:styleId="197">
    <w:name w:val="表格正文_ISO"/>
    <w:qFormat/>
    <w:uiPriority w:val="0"/>
    <w:pPr>
      <w:snapToGrid w:val="0"/>
      <w:spacing w:before="60" w:after="60"/>
      <w:jc w:val="center"/>
    </w:pPr>
    <w:rPr>
      <w:rFonts w:ascii="Times New Roman" w:hAnsi="Times New Roman" w:eastAsia="宋体" w:cs="Times New Roman"/>
      <w:sz w:val="24"/>
      <w:szCs w:val="24"/>
      <w:lang w:val="en-US" w:eastAsia="zh-CN" w:bidi="ar-SA"/>
    </w:rPr>
  </w:style>
  <w:style w:type="paragraph" w:customStyle="1" w:styleId="198">
    <w:name w:val="默认段落字体 Para Char Char Char Char Char Char Char Char Char Char Char Char Char Char"/>
    <w:basedOn w:val="20"/>
    <w:qFormat/>
    <w:uiPriority w:val="0"/>
    <w:rPr>
      <w:rFonts w:ascii="Tahoma" w:hAnsi="Tahoma"/>
    </w:rPr>
  </w:style>
  <w:style w:type="paragraph" w:customStyle="1" w:styleId="199">
    <w:name w:val="样式 宋体 小四 行距: 1.5 倍行距"/>
    <w:basedOn w:val="1"/>
    <w:qFormat/>
    <w:uiPriority w:val="0"/>
    <w:pPr>
      <w:keepNext/>
      <w:spacing w:line="300" w:lineRule="auto"/>
      <w:jc w:val="center"/>
    </w:pPr>
    <w:rPr>
      <w:rFonts w:ascii="宋体" w:hAnsi="宋体"/>
      <w:szCs w:val="20"/>
    </w:rPr>
  </w:style>
  <w:style w:type="paragraph" w:customStyle="1" w:styleId="200">
    <w:name w:val="文档正文 Char Char"/>
    <w:basedOn w:val="1"/>
    <w:qFormat/>
    <w:uiPriority w:val="0"/>
    <w:pPr>
      <w:adjustRightInd w:val="0"/>
      <w:spacing w:line="440" w:lineRule="atLeast"/>
      <w:ind w:firstLine="567"/>
      <w:textAlignment w:val="baseline"/>
    </w:pPr>
    <w:rPr>
      <w:rFonts w:ascii="宋体"/>
      <w:spacing w:val="4"/>
      <w:kern w:val="0"/>
      <w:szCs w:val="20"/>
    </w:rPr>
  </w:style>
  <w:style w:type="paragraph" w:customStyle="1" w:styleId="201">
    <w:name w:val="xl31"/>
    <w:basedOn w:val="1"/>
    <w:qFormat/>
    <w:uiPriority w:val="0"/>
    <w:pPr>
      <w:widowControl/>
      <w:pBdr>
        <w:top w:val="single" w:color="auto" w:sz="4" w:space="0"/>
        <w:bottom w:val="single" w:color="auto" w:sz="4" w:space="0"/>
      </w:pBdr>
      <w:spacing w:before="100" w:beforeAutospacing="1" w:after="100" w:afterAutospacing="1"/>
      <w:jc w:val="left"/>
      <w:textAlignment w:val="center"/>
    </w:pPr>
    <w:rPr>
      <w:rFonts w:ascii="宋体" w:hAnsi="宋体"/>
      <w:kern w:val="0"/>
      <w:sz w:val="20"/>
      <w:szCs w:val="20"/>
    </w:rPr>
  </w:style>
  <w:style w:type="paragraph" w:customStyle="1" w:styleId="202">
    <w:name w:val="默认段落字体 Char Char Char Char Char Char Char Char Char Char Char Char Char Char"/>
    <w:basedOn w:val="20"/>
    <w:next w:val="1"/>
    <w:qFormat/>
    <w:uiPriority w:val="0"/>
    <w:pPr>
      <w:adjustRightInd w:val="0"/>
      <w:jc w:val="center"/>
      <w:textAlignment w:val="baseline"/>
    </w:pPr>
    <w:rPr>
      <w:rFonts w:ascii="Tahoma" w:hAnsi="Tahoma"/>
      <w:kern w:val="0"/>
    </w:rPr>
  </w:style>
  <w:style w:type="character" w:customStyle="1" w:styleId="203">
    <w:name w:val="正文缩进 字符"/>
    <w:link w:val="17"/>
    <w:qFormat/>
    <w:uiPriority w:val="0"/>
    <w:rPr>
      <w:rFonts w:cstheme="minorBidi"/>
      <w:kern w:val="2"/>
      <w:sz w:val="24"/>
      <w:szCs w:val="21"/>
    </w:rPr>
  </w:style>
  <w:style w:type="paragraph" w:customStyle="1" w:styleId="204">
    <w:name w:val="默认段落字体 Para Char Char Char Char Char Char Char Char Char Char Char Char Char Char Char Char Char Char Char Char Char"/>
    <w:basedOn w:val="20"/>
    <w:qFormat/>
    <w:uiPriority w:val="0"/>
    <w:pPr>
      <w:snapToGrid w:val="0"/>
    </w:pPr>
    <w:rPr>
      <w:rFonts w:ascii="Tahoma" w:hAnsi="Tahoma"/>
    </w:rPr>
  </w:style>
  <w:style w:type="character" w:customStyle="1" w:styleId="205">
    <w:name w:val="3zw1"/>
    <w:qFormat/>
    <w:uiPriority w:val="0"/>
    <w:rPr>
      <w:color w:val="000000"/>
      <w:sz w:val="21"/>
      <w:szCs w:val="21"/>
    </w:rPr>
  </w:style>
  <w:style w:type="paragraph" w:customStyle="1" w:styleId="206">
    <w:name w:val="默认段落字体 Para Char Char Char Char Char Char Char Char Char Char Char Char Char Char Char Char Char Char Char Char Char Char Char"/>
    <w:basedOn w:val="20"/>
    <w:qFormat/>
    <w:uiPriority w:val="0"/>
    <w:rPr>
      <w:rFonts w:ascii="Tahoma" w:hAnsi="Tahoma"/>
    </w:rPr>
  </w:style>
  <w:style w:type="character" w:customStyle="1" w:styleId="207">
    <w:name w:val="正文缩进 Char Char"/>
    <w:qFormat/>
    <w:uiPriority w:val="0"/>
    <w:rPr>
      <w:rFonts w:eastAsia="宋体"/>
      <w:color w:val="FF0000"/>
      <w:kern w:val="24"/>
      <w:sz w:val="24"/>
      <w:szCs w:val="24"/>
      <w:lang w:val="en-US" w:eastAsia="zh-CN" w:bidi="ar-SA"/>
    </w:rPr>
  </w:style>
  <w:style w:type="paragraph" w:customStyle="1" w:styleId="208">
    <w:name w:val="Char Char Char Char Char Char"/>
    <w:basedOn w:val="20"/>
    <w:qFormat/>
    <w:uiPriority w:val="0"/>
    <w:rPr>
      <w:rFonts w:ascii="Tahoma" w:hAnsi="Tahoma"/>
    </w:rPr>
  </w:style>
  <w:style w:type="paragraph" w:customStyle="1" w:styleId="209">
    <w:name w:val="Char Char"/>
    <w:basedOn w:val="20"/>
    <w:qFormat/>
    <w:uiPriority w:val="0"/>
    <w:rPr>
      <w:rFonts w:ascii="Tahoma" w:hAnsi="Tahoma"/>
    </w:rPr>
  </w:style>
  <w:style w:type="paragraph" w:customStyle="1" w:styleId="210">
    <w:name w:val="1"/>
    <w:basedOn w:val="1"/>
    <w:next w:val="38"/>
    <w:qFormat/>
    <w:uiPriority w:val="0"/>
    <w:pPr>
      <w:ind w:firstLine="480"/>
    </w:pPr>
    <w:rPr>
      <w:rFonts w:ascii="Arial" w:hAnsi="Arial"/>
      <w:szCs w:val="20"/>
    </w:rPr>
  </w:style>
  <w:style w:type="paragraph" w:customStyle="1" w:styleId="211">
    <w:name w:val="Char Char Char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212">
    <w:name w:val="Char Char Char1 Char"/>
    <w:basedOn w:val="20"/>
    <w:qFormat/>
    <w:uiPriority w:val="0"/>
    <w:rPr>
      <w:rFonts w:ascii="Tahoma" w:hAnsi="Tahoma"/>
    </w:rPr>
  </w:style>
  <w:style w:type="paragraph" w:customStyle="1" w:styleId="213">
    <w:name w:val="1.1.1.1 标题4 Char Char Char Char1 Char"/>
    <w:basedOn w:val="20"/>
    <w:qFormat/>
    <w:uiPriority w:val="0"/>
    <w:rPr>
      <w:rFonts w:ascii="Tahoma" w:hAnsi="Tahoma"/>
      <w:b/>
      <w:bCs/>
    </w:rPr>
  </w:style>
  <w:style w:type="paragraph" w:customStyle="1" w:styleId="214">
    <w:name w:val="默认段落字体 Para Char Char Char"/>
    <w:basedOn w:val="20"/>
    <w:qFormat/>
    <w:uiPriority w:val="0"/>
    <w:pPr>
      <w:keepNext/>
      <w:widowControl/>
      <w:tabs>
        <w:tab w:val="left" w:pos="425"/>
      </w:tabs>
      <w:autoSpaceDE w:val="0"/>
      <w:autoSpaceDN w:val="0"/>
      <w:adjustRightInd w:val="0"/>
      <w:ind w:firstLine="425"/>
      <w:textAlignment w:val="baseline"/>
    </w:pPr>
    <w:rPr>
      <w:rFonts w:cs="Arial"/>
    </w:rPr>
  </w:style>
  <w:style w:type="paragraph" w:customStyle="1" w:styleId="215">
    <w:name w:val="间断表格"/>
    <w:basedOn w:val="1"/>
    <w:qFormat/>
    <w:uiPriority w:val="0"/>
    <w:pPr>
      <w:widowControl/>
      <w:jc w:val="center"/>
      <w:textAlignment w:val="center"/>
    </w:pPr>
    <w:rPr>
      <w:kern w:val="0"/>
    </w:rPr>
  </w:style>
  <w:style w:type="paragraph" w:customStyle="1" w:styleId="216">
    <w:name w:val="默认段落字体 Para Char Char Char Char Char Char Char Char Char1 Char"/>
    <w:basedOn w:val="20"/>
    <w:qFormat/>
    <w:uiPriority w:val="0"/>
    <w:pPr>
      <w:adjustRightInd w:val="0"/>
      <w:spacing w:line="436" w:lineRule="exact"/>
      <w:ind w:left="357"/>
      <w:jc w:val="left"/>
      <w:outlineLvl w:val="3"/>
    </w:pPr>
    <w:rPr>
      <w:rFonts w:ascii="Tahoma" w:hAnsi="Tahoma"/>
      <w:b/>
    </w:rPr>
  </w:style>
  <w:style w:type="paragraph" w:customStyle="1" w:styleId="217">
    <w:name w:val="封面文档标题"/>
    <w:basedOn w:val="1"/>
    <w:qFormat/>
    <w:uiPriority w:val="0"/>
    <w:pPr>
      <w:autoSpaceDE w:val="0"/>
      <w:autoSpaceDN w:val="0"/>
      <w:adjustRightInd w:val="0"/>
      <w:jc w:val="center"/>
    </w:pPr>
    <w:rPr>
      <w:rFonts w:ascii="隶书" w:eastAsia="隶书"/>
      <w:b/>
      <w:kern w:val="0"/>
      <w:sz w:val="72"/>
      <w:szCs w:val="20"/>
    </w:rPr>
  </w:style>
  <w:style w:type="paragraph" w:customStyle="1" w:styleId="218">
    <w:name w:val="Char"/>
    <w:basedOn w:val="1"/>
    <w:qFormat/>
    <w:uiPriority w:val="0"/>
    <w:pPr>
      <w:keepNext/>
      <w:keepLines/>
      <w:pageBreakBefore/>
      <w:tabs>
        <w:tab w:val="left" w:pos="0"/>
      </w:tabs>
    </w:pPr>
    <w:rPr>
      <w:rFonts w:ascii="Tahoma" w:hAnsi="Tahoma"/>
      <w:szCs w:val="20"/>
    </w:rPr>
  </w:style>
  <w:style w:type="paragraph" w:customStyle="1" w:styleId="219">
    <w:name w:val="样式 标题 3H31.1.1 Heading 3Underrubrik2 Char CharUnderrubrik2 C...1"/>
    <w:basedOn w:val="5"/>
    <w:qFormat/>
    <w:uiPriority w:val="0"/>
    <w:pPr>
      <w:tabs>
        <w:tab w:val="left" w:pos="1080"/>
      </w:tabs>
      <w:spacing w:before="0" w:after="0" w:line="240" w:lineRule="auto"/>
      <w:ind w:left="1069" w:hanging="709"/>
    </w:pPr>
    <w:rPr>
      <w:szCs w:val="20"/>
    </w:rPr>
  </w:style>
  <w:style w:type="paragraph" w:customStyle="1" w:styleId="220">
    <w:name w:val="标题 61"/>
    <w:basedOn w:val="1"/>
    <w:next w:val="1"/>
    <w:qFormat/>
    <w:uiPriority w:val="0"/>
    <w:pPr>
      <w:keepNext/>
      <w:keepLines/>
      <w:tabs>
        <w:tab w:val="left" w:pos="1440"/>
      </w:tabs>
      <w:spacing w:line="319" w:lineRule="auto"/>
      <w:ind w:left="1134" w:hanging="1134"/>
      <w:outlineLvl w:val="5"/>
    </w:pPr>
    <w:rPr>
      <w:b/>
      <w:szCs w:val="20"/>
    </w:rPr>
  </w:style>
  <w:style w:type="paragraph" w:customStyle="1" w:styleId="221">
    <w:name w:val="表格内容"/>
    <w:next w:val="1"/>
    <w:link w:val="522"/>
    <w:qFormat/>
    <w:uiPriority w:val="0"/>
    <w:pPr>
      <w:keepNext/>
      <w:keepLines/>
      <w:jc w:val="center"/>
      <w:textAlignment w:val="center"/>
    </w:pPr>
    <w:rPr>
      <w:rFonts w:ascii="Times New Roman" w:hAnsi="Times New Roman" w:eastAsia="宋体" w:cs="Times New Roman"/>
      <w:sz w:val="21"/>
      <w:szCs w:val="21"/>
      <w:lang w:val="en-US" w:eastAsia="zh-CN" w:bidi="ar-SA"/>
    </w:rPr>
  </w:style>
  <w:style w:type="paragraph" w:customStyle="1" w:styleId="222">
    <w:name w:val="表头－五号"/>
    <w:basedOn w:val="1"/>
    <w:link w:val="228"/>
    <w:qFormat/>
    <w:uiPriority w:val="0"/>
    <w:pPr>
      <w:keepNext/>
      <w:jc w:val="center"/>
    </w:pPr>
    <w:rPr>
      <w:rFonts w:cs="宋体"/>
      <w:kern w:val="0"/>
      <w:szCs w:val="20"/>
    </w:rPr>
  </w:style>
  <w:style w:type="paragraph" w:customStyle="1" w:styleId="223">
    <w:name w:val="项目符号1"/>
    <w:link w:val="224"/>
    <w:qFormat/>
    <w:uiPriority w:val="0"/>
    <w:pPr>
      <w:numPr>
        <w:ilvl w:val="0"/>
        <w:numId w:val="20"/>
      </w:numPr>
      <w:adjustRightInd w:val="0"/>
      <w:spacing w:line="360" w:lineRule="auto"/>
      <w:jc w:val="both"/>
    </w:pPr>
    <w:rPr>
      <w:rFonts w:ascii="Times New Roman" w:hAnsi="Times New Roman" w:eastAsia="宋体" w:cs="Times New Roman"/>
      <w:sz w:val="24"/>
      <w:szCs w:val="24"/>
      <w:lang w:val="en-US" w:eastAsia="zh-CN" w:bidi="ar-SA"/>
    </w:rPr>
  </w:style>
  <w:style w:type="character" w:customStyle="1" w:styleId="224">
    <w:name w:val="项目符号1 Char"/>
    <w:link w:val="223"/>
    <w:qFormat/>
    <w:uiPriority w:val="0"/>
    <w:rPr>
      <w:sz w:val="24"/>
      <w:szCs w:val="24"/>
    </w:rPr>
  </w:style>
  <w:style w:type="character" w:customStyle="1" w:styleId="225">
    <w:name w:val="中兴正文 Char"/>
    <w:link w:val="125"/>
    <w:qFormat/>
    <w:uiPriority w:val="0"/>
    <w:rPr>
      <w:rFonts w:cstheme="minorBidi"/>
      <w:kern w:val="2"/>
      <w:sz w:val="24"/>
      <w:szCs w:val="21"/>
    </w:rPr>
  </w:style>
  <w:style w:type="paragraph" w:customStyle="1" w:styleId="226">
    <w:name w:val="图号－五号"/>
    <w:basedOn w:val="1"/>
    <w:link w:val="227"/>
    <w:qFormat/>
    <w:uiPriority w:val="0"/>
    <w:pPr>
      <w:jc w:val="center"/>
    </w:pPr>
    <w:rPr>
      <w:rFonts w:cs="宋体"/>
      <w:kern w:val="0"/>
      <w:szCs w:val="20"/>
    </w:rPr>
  </w:style>
  <w:style w:type="character" w:customStyle="1" w:styleId="227">
    <w:name w:val="图号－五号 Char"/>
    <w:link w:val="226"/>
    <w:qFormat/>
    <w:uiPriority w:val="0"/>
    <w:rPr>
      <w:rFonts w:cs="宋体"/>
      <w:sz w:val="24"/>
    </w:rPr>
  </w:style>
  <w:style w:type="character" w:customStyle="1" w:styleId="228">
    <w:name w:val="表头－五号 Char"/>
    <w:link w:val="222"/>
    <w:qFormat/>
    <w:uiPriority w:val="0"/>
    <w:rPr>
      <w:rFonts w:cs="宋体"/>
      <w:sz w:val="24"/>
    </w:rPr>
  </w:style>
  <w:style w:type="paragraph" w:customStyle="1" w:styleId="229">
    <w:name w:val="默认段落字体 Para Char Char Char Char Char Char Char Char Char Char Char Char Char Char Char Char Char Char Char Char"/>
    <w:basedOn w:val="20"/>
    <w:qFormat/>
    <w:uiPriority w:val="0"/>
    <w:rPr>
      <w:rFonts w:ascii="Tahoma" w:hAnsi="Tahoma"/>
    </w:rPr>
  </w:style>
  <w:style w:type="paragraph" w:customStyle="1" w:styleId="230">
    <w:name w:val="样式 项目符号1 + 小四 行距: 1.5 倍行距"/>
    <w:basedOn w:val="223"/>
    <w:link w:val="231"/>
    <w:qFormat/>
    <w:uiPriority w:val="0"/>
    <w:pPr>
      <w:widowControl w:val="0"/>
      <w:tabs>
        <w:tab w:val="left" w:pos="113"/>
        <w:tab w:val="clear" w:pos="0"/>
      </w:tabs>
      <w:adjustRightInd/>
      <w:ind w:left="340" w:hanging="340"/>
    </w:pPr>
    <w:rPr>
      <w:kern w:val="2"/>
    </w:rPr>
  </w:style>
  <w:style w:type="character" w:customStyle="1" w:styleId="231">
    <w:name w:val="样式 项目符号1 + 小四 行距: 1.5 倍行距 Char"/>
    <w:link w:val="230"/>
    <w:qFormat/>
    <w:uiPriority w:val="0"/>
    <w:rPr>
      <w:kern w:val="2"/>
      <w:sz w:val="24"/>
      <w:szCs w:val="24"/>
    </w:rPr>
  </w:style>
  <w:style w:type="paragraph" w:customStyle="1" w:styleId="232">
    <w:name w:val="样式 样式 项目符号1 + 小四 行距: 1.5 倍行距 + 蓝色"/>
    <w:basedOn w:val="230"/>
    <w:link w:val="233"/>
    <w:qFormat/>
    <w:uiPriority w:val="0"/>
    <w:pPr>
      <w:tabs>
        <w:tab w:val="clear" w:pos="113"/>
      </w:tabs>
      <w:ind w:left="540" w:leftChars="200" w:right="200" w:rightChars="200"/>
    </w:pPr>
    <w:rPr>
      <w:color w:val="0000FF"/>
    </w:rPr>
  </w:style>
  <w:style w:type="character" w:customStyle="1" w:styleId="233">
    <w:name w:val="样式 样式 项目符号1 + 小四 行距: 1.5 倍行距 + 蓝色 Char"/>
    <w:link w:val="232"/>
    <w:qFormat/>
    <w:uiPriority w:val="0"/>
    <w:rPr>
      <w:color w:val="0000FF"/>
      <w:kern w:val="2"/>
      <w:sz w:val="24"/>
      <w:szCs w:val="24"/>
    </w:rPr>
  </w:style>
  <w:style w:type="paragraph" w:customStyle="1" w:styleId="234">
    <w:name w:val="样式 项目符号1 + 行距: 1.5 倍行距"/>
    <w:basedOn w:val="223"/>
    <w:qFormat/>
    <w:uiPriority w:val="0"/>
    <w:pPr>
      <w:widowControl w:val="0"/>
      <w:tabs>
        <w:tab w:val="left" w:pos="113"/>
        <w:tab w:val="clear" w:pos="0"/>
      </w:tabs>
      <w:adjustRightInd/>
      <w:ind w:left="313" w:leftChars="200" w:right="200" w:rightChars="200" w:hanging="113"/>
    </w:pPr>
    <w:rPr>
      <w:kern w:val="2"/>
    </w:rPr>
  </w:style>
  <w:style w:type="paragraph" w:customStyle="1" w:styleId="235">
    <w:name w:val="样式 样式 项目符号1 + 行距: 1.5 倍行距 + 右侧:  2 字符"/>
    <w:basedOn w:val="234"/>
    <w:qFormat/>
    <w:uiPriority w:val="0"/>
  </w:style>
  <w:style w:type="paragraph" w:customStyle="1" w:styleId="236">
    <w:name w:val="Char Char Char Char"/>
    <w:basedOn w:val="20"/>
    <w:qFormat/>
    <w:uiPriority w:val="0"/>
    <w:pPr>
      <w:adjustRightInd w:val="0"/>
      <w:spacing w:line="436" w:lineRule="exact"/>
      <w:ind w:left="357"/>
      <w:jc w:val="left"/>
      <w:outlineLvl w:val="3"/>
    </w:pPr>
    <w:rPr>
      <w:rFonts w:ascii="Tahoma" w:hAnsi="Tahoma"/>
      <w:b/>
    </w:rPr>
  </w:style>
  <w:style w:type="paragraph" w:customStyle="1" w:styleId="237">
    <w:name w:val="默认段落字体 Para Char Char Char Char Char Char Char Char Char Char Char Char Char Char Char Char"/>
    <w:basedOn w:val="20"/>
    <w:qFormat/>
    <w:uiPriority w:val="0"/>
    <w:rPr>
      <w:rFonts w:ascii="Tahoma" w:hAnsi="Tahoma"/>
    </w:rPr>
  </w:style>
  <w:style w:type="character" w:customStyle="1" w:styleId="238">
    <w:name w:val="页脚 字符"/>
    <w:basedOn w:val="67"/>
    <w:link w:val="40"/>
    <w:qFormat/>
    <w:uiPriority w:val="99"/>
    <w:rPr>
      <w:rFonts w:cstheme="minorBidi"/>
      <w:kern w:val="2"/>
      <w:sz w:val="18"/>
      <w:szCs w:val="18"/>
    </w:rPr>
  </w:style>
  <w:style w:type="character" w:customStyle="1" w:styleId="239">
    <w:name w:val="apple-style-span"/>
    <w:basedOn w:val="67"/>
    <w:qFormat/>
    <w:uiPriority w:val="0"/>
  </w:style>
  <w:style w:type="paragraph" w:customStyle="1" w:styleId="240">
    <w:name w:val="Char Char Char Char1"/>
    <w:basedOn w:val="20"/>
    <w:qFormat/>
    <w:uiPriority w:val="0"/>
    <w:pPr>
      <w:adjustRightInd w:val="0"/>
      <w:spacing w:line="436" w:lineRule="exact"/>
      <w:ind w:left="357"/>
      <w:jc w:val="left"/>
      <w:outlineLvl w:val="3"/>
    </w:pPr>
    <w:rPr>
      <w:rFonts w:ascii="Tahoma" w:hAnsi="Tahoma"/>
      <w:b/>
    </w:rPr>
  </w:style>
  <w:style w:type="character" w:customStyle="1" w:styleId="241">
    <w:name w:val="正文文本 字符"/>
    <w:link w:val="25"/>
    <w:qFormat/>
    <w:uiPriority w:val="0"/>
    <w:rPr>
      <w:kern w:val="2"/>
      <w:sz w:val="21"/>
      <w:szCs w:val="24"/>
    </w:rPr>
  </w:style>
  <w:style w:type="paragraph" w:customStyle="1" w:styleId="242">
    <w:name w:val="11"/>
    <w:qFormat/>
    <w:uiPriority w:val="0"/>
    <w:rPr>
      <w:rFonts w:ascii="Times New Roman" w:hAnsi="Times New Roman" w:eastAsia="宋体" w:cs="Times New Roman"/>
      <w:lang w:val="en-US" w:eastAsia="zh-CN" w:bidi="ar-SA"/>
    </w:rPr>
  </w:style>
  <w:style w:type="paragraph" w:customStyle="1" w:styleId="243">
    <w:name w:val="List Paragraph1"/>
    <w:basedOn w:val="1"/>
    <w:qFormat/>
    <w:uiPriority w:val="0"/>
    <w:pPr>
      <w:ind w:firstLine="420"/>
    </w:pPr>
    <w:rPr>
      <w:rFonts w:ascii="Calibri" w:hAnsi="Calibri"/>
      <w:szCs w:val="22"/>
    </w:rPr>
  </w:style>
  <w:style w:type="paragraph" w:customStyle="1" w:styleId="244">
    <w:name w:val="a"/>
    <w:basedOn w:val="1"/>
    <w:qFormat/>
    <w:uiPriority w:val="0"/>
    <w:pPr>
      <w:widowControl/>
      <w:spacing w:before="100" w:beforeAutospacing="1" w:after="100" w:afterAutospacing="1"/>
      <w:jc w:val="left"/>
    </w:pPr>
    <w:rPr>
      <w:rFonts w:ascii="宋体" w:hAnsi="宋体" w:cs="宋体"/>
      <w:kern w:val="0"/>
    </w:rPr>
  </w:style>
  <w:style w:type="paragraph" w:customStyle="1" w:styleId="245">
    <w:name w:val="10"/>
    <w:qFormat/>
    <w:uiPriority w:val="0"/>
    <w:rPr>
      <w:rFonts w:ascii="Times New Roman" w:hAnsi="Times New Roman" w:eastAsia="宋体" w:cs="Times New Roman"/>
      <w:lang w:val="en-US" w:eastAsia="zh-CN" w:bidi="ar-SA"/>
    </w:rPr>
  </w:style>
  <w:style w:type="paragraph" w:customStyle="1" w:styleId="246">
    <w:name w:val="题注格式"/>
    <w:basedOn w:val="18"/>
    <w:qFormat/>
    <w:uiPriority w:val="0"/>
    <w:pPr>
      <w:adjustRightInd w:val="0"/>
      <w:spacing w:before="0" w:after="0"/>
      <w:textAlignment w:val="baseline"/>
    </w:pPr>
  </w:style>
  <w:style w:type="paragraph" w:customStyle="1" w:styleId="247">
    <w:name w:val="样式 标题 31.1.1 Heading 3h3H3level_3PIM 3Level 3 HeadHeading..."/>
    <w:basedOn w:val="5"/>
    <w:qFormat/>
    <w:uiPriority w:val="0"/>
    <w:pPr>
      <w:numPr>
        <w:numId w:val="21"/>
      </w:numPr>
      <w:tabs>
        <w:tab w:val="left" w:pos="425"/>
        <w:tab w:val="left" w:pos="480"/>
      </w:tabs>
      <w:spacing w:before="0" w:after="0"/>
    </w:pPr>
    <w:rPr>
      <w:rFonts w:ascii="Arial" w:hAnsi="Arial" w:cs="Arial"/>
      <w:b/>
      <w:kern w:val="24"/>
      <w:szCs w:val="24"/>
    </w:rPr>
  </w:style>
  <w:style w:type="paragraph" w:customStyle="1" w:styleId="248">
    <w:name w:val="样式 标题 2 + 宋体 (复杂文种)小四 红色 行距: 1.5 倍行距"/>
    <w:basedOn w:val="4"/>
    <w:qFormat/>
    <w:uiPriority w:val="0"/>
    <w:rPr>
      <w:rFonts w:ascii="宋体" w:hAnsi="宋体"/>
      <w:szCs w:val="24"/>
    </w:rPr>
  </w:style>
  <w:style w:type="paragraph" w:customStyle="1" w:styleId="249">
    <w:name w:val="样式 标题 3 + 红色"/>
    <w:basedOn w:val="5"/>
    <w:qFormat/>
    <w:uiPriority w:val="0"/>
    <w:pPr>
      <w:numPr>
        <w:ilvl w:val="0"/>
        <w:numId w:val="0"/>
      </w:numPr>
      <w:ind w:left="-360"/>
    </w:pPr>
    <w:rPr>
      <w:b/>
    </w:rPr>
  </w:style>
  <w:style w:type="paragraph" w:customStyle="1" w:styleId="250">
    <w:name w:val="样式 标题 4 + 红色"/>
    <w:basedOn w:val="6"/>
    <w:qFormat/>
    <w:uiPriority w:val="0"/>
    <w:pPr>
      <w:numPr>
        <w:ilvl w:val="0"/>
        <w:numId w:val="0"/>
      </w:numPr>
      <w:spacing w:before="0" w:after="0"/>
      <w:ind w:left="900"/>
    </w:pPr>
    <w:rPr>
      <w:b/>
      <w:bCs w:val="0"/>
    </w:rPr>
  </w:style>
  <w:style w:type="paragraph" w:customStyle="1" w:styleId="251">
    <w:name w:val="正文11"/>
    <w:basedOn w:val="1"/>
    <w:qFormat/>
    <w:uiPriority w:val="0"/>
    <w:pPr>
      <w:adjustRightInd w:val="0"/>
      <w:snapToGrid w:val="0"/>
      <w:spacing w:line="440" w:lineRule="atLeast"/>
    </w:pPr>
    <w:rPr>
      <w:rFonts w:ascii="宋体"/>
      <w:bCs/>
    </w:rPr>
  </w:style>
  <w:style w:type="paragraph" w:customStyle="1" w:styleId="252">
    <w:name w:val="样式 正文缩进正文（首行缩进两字）表正文正文非缩进Alt+Xmr正文缩进特点段1正文不缩进特点 CharAL...1"/>
    <w:basedOn w:val="17"/>
    <w:qFormat/>
    <w:uiPriority w:val="0"/>
    <w:pPr>
      <w:ind w:firstLine="200"/>
    </w:pPr>
    <w:rPr>
      <w:rFonts w:ascii="宋体" w:cs="宋体"/>
      <w:sz w:val="28"/>
      <w:szCs w:val="20"/>
    </w:rPr>
  </w:style>
  <w:style w:type="paragraph" w:customStyle="1" w:styleId="253">
    <w:name w:val="默认段落字体 Para Char Char Char Char Char Char Char Char Char Char"/>
    <w:basedOn w:val="20"/>
    <w:qFormat/>
    <w:uiPriority w:val="0"/>
    <w:pPr>
      <w:ind w:left="200" w:leftChars="200"/>
    </w:pPr>
    <w:rPr>
      <w:rFonts w:ascii="Tahoma" w:hAnsi="Tahoma"/>
    </w:rPr>
  </w:style>
  <w:style w:type="paragraph" w:customStyle="1" w:styleId="254">
    <w:name w:val="样式 标题 2H2h22nd levelTitre2l22Header 21.1  heading 2第一章 ...1"/>
    <w:basedOn w:val="1"/>
    <w:qFormat/>
    <w:uiPriority w:val="0"/>
    <w:pPr>
      <w:numPr>
        <w:ilvl w:val="1"/>
        <w:numId w:val="22"/>
      </w:numPr>
    </w:pPr>
    <w:rPr>
      <w:szCs w:val="20"/>
    </w:rPr>
  </w:style>
  <w:style w:type="paragraph" w:customStyle="1" w:styleId="255">
    <w:name w:val="样式 正文缩进正文（首行缩进两字）表正文正文非缩进Alt+Xmr正文缩进特点段1正文不缩进特点 CharAL..."/>
    <w:basedOn w:val="17"/>
    <w:qFormat/>
    <w:uiPriority w:val="0"/>
    <w:pPr>
      <w:ind w:firstLine="300" w:firstLineChars="300"/>
    </w:pPr>
    <w:rPr>
      <w:rFonts w:ascii="宋体" w:hAnsi="宋体"/>
      <w:sz w:val="28"/>
    </w:rPr>
  </w:style>
  <w:style w:type="character" w:customStyle="1" w:styleId="256">
    <w:name w:val="段 Char"/>
    <w:link w:val="103"/>
    <w:qFormat/>
    <w:uiPriority w:val="0"/>
    <w:rPr>
      <w:rFonts w:ascii="宋体"/>
      <w:sz w:val="21"/>
      <w:lang w:bidi="ar-SA"/>
    </w:rPr>
  </w:style>
  <w:style w:type="paragraph" w:customStyle="1" w:styleId="257">
    <w:name w:val="样式1"/>
    <w:basedOn w:val="1"/>
    <w:qFormat/>
    <w:uiPriority w:val="0"/>
    <w:rPr>
      <w:szCs w:val="20"/>
    </w:rPr>
  </w:style>
  <w:style w:type="paragraph" w:customStyle="1" w:styleId="258">
    <w:name w:val="Char Char Char1 Char1"/>
    <w:basedOn w:val="20"/>
    <w:qFormat/>
    <w:uiPriority w:val="0"/>
    <w:pPr>
      <w:adjustRightInd w:val="0"/>
      <w:spacing w:line="436" w:lineRule="exact"/>
      <w:ind w:left="357"/>
      <w:jc w:val="left"/>
      <w:outlineLvl w:val="3"/>
    </w:pPr>
    <w:rPr>
      <w:rFonts w:ascii="Tahoma" w:hAnsi="Tahoma"/>
      <w:b/>
    </w:rPr>
  </w:style>
  <w:style w:type="paragraph" w:customStyle="1" w:styleId="259">
    <w:name w:val="正文缩"/>
    <w:basedOn w:val="1"/>
    <w:qFormat/>
    <w:uiPriority w:val="0"/>
    <w:pPr>
      <w:adjustRightInd w:val="0"/>
      <w:ind w:firstLine="539"/>
      <w:textAlignment w:val="baseline"/>
    </w:pPr>
    <w:rPr>
      <w:rFonts w:ascii="宋体"/>
      <w:kern w:val="0"/>
      <w:szCs w:val="20"/>
    </w:rPr>
  </w:style>
  <w:style w:type="paragraph" w:customStyle="1" w:styleId="260">
    <w:name w:val="默认段落字体 Para Char Char Char Char Char Char"/>
    <w:basedOn w:val="20"/>
    <w:qFormat/>
    <w:uiPriority w:val="0"/>
    <w:pPr>
      <w:adjustRightInd w:val="0"/>
      <w:spacing w:line="436" w:lineRule="exact"/>
      <w:ind w:left="357"/>
      <w:jc w:val="left"/>
      <w:outlineLvl w:val="3"/>
    </w:pPr>
    <w:rPr>
      <w:rFonts w:ascii="Tahoma" w:hAnsi="Tahoma"/>
      <w:b/>
    </w:rPr>
  </w:style>
  <w:style w:type="paragraph" w:customStyle="1" w:styleId="261">
    <w:name w:val="默认段落字体 Para Char Char Char Char Char Char Char Char Char Char Char Char Char Char Char Char Char Char Char Char1 Char Char Char Char Char Char Char"/>
    <w:basedOn w:val="20"/>
    <w:qFormat/>
    <w:uiPriority w:val="0"/>
    <w:rPr>
      <w:rFonts w:ascii="Tahoma" w:hAnsi="Tahoma"/>
    </w:rPr>
  </w:style>
  <w:style w:type="paragraph" w:customStyle="1" w:styleId="262">
    <w:name w:val="正文(首行缩进）"/>
    <w:basedOn w:val="1"/>
    <w:qFormat/>
    <w:uiPriority w:val="0"/>
    <w:pPr>
      <w:adjustRightInd w:val="0"/>
      <w:snapToGrid w:val="0"/>
      <w:spacing w:line="288" w:lineRule="auto"/>
      <w:textAlignment w:val="baseline"/>
    </w:pPr>
    <w:rPr>
      <w:kern w:val="0"/>
      <w:szCs w:val="20"/>
    </w:rPr>
  </w:style>
  <w:style w:type="paragraph" w:customStyle="1" w:styleId="263">
    <w:name w:val="Char Char Char Char Char"/>
    <w:basedOn w:val="20"/>
    <w:qFormat/>
    <w:uiPriority w:val="0"/>
    <w:rPr>
      <w:rFonts w:ascii="Tahoma" w:hAnsi="Tahoma"/>
    </w:rPr>
  </w:style>
  <w:style w:type="paragraph" w:customStyle="1" w:styleId="264">
    <w:name w:val="font9"/>
    <w:basedOn w:val="1"/>
    <w:qFormat/>
    <w:uiPriority w:val="0"/>
    <w:pPr>
      <w:widowControl/>
      <w:spacing w:before="100" w:beforeAutospacing="1" w:after="100" w:afterAutospacing="1"/>
      <w:jc w:val="left"/>
    </w:pPr>
    <w:rPr>
      <w:kern w:val="0"/>
    </w:rPr>
  </w:style>
  <w:style w:type="paragraph" w:customStyle="1" w:styleId="265">
    <w:name w:val="默认段落字体 Para Char Char Char Char Char Char Char Char Char Char Char Char Char"/>
    <w:basedOn w:val="20"/>
    <w:qFormat/>
    <w:uiPriority w:val="0"/>
    <w:rPr>
      <w:rFonts w:ascii="Tahoma" w:hAnsi="Tahoma"/>
    </w:rPr>
  </w:style>
  <w:style w:type="paragraph" w:customStyle="1" w:styleId="266">
    <w:name w:val="默认段落字体 Para Char Char Char Char Char Char Char Char Char Char Char Char"/>
    <w:basedOn w:val="20"/>
    <w:qFormat/>
    <w:uiPriority w:val="0"/>
    <w:rPr>
      <w:rFonts w:ascii="Tahoma" w:hAnsi="Tahoma"/>
    </w:rPr>
  </w:style>
  <w:style w:type="paragraph" w:customStyle="1" w:styleId="267">
    <w:name w:val="s16sl240slmult0nowidctlp"/>
    <w:qFormat/>
    <w:uiPriority w:val="0"/>
    <w:pPr>
      <w:widowControl w:val="0"/>
      <w:adjustRightInd w:val="0"/>
      <w:jc w:val="both"/>
      <w:textAlignment w:val="baseline"/>
    </w:pPr>
    <w:rPr>
      <w:rFonts w:ascii="Times New Roman" w:hAnsi="Times New Roman" w:eastAsia="宋体" w:cs="Times New Roman"/>
      <w:sz w:val="21"/>
      <w:lang w:val="en-US" w:eastAsia="zh-CN" w:bidi="ar-SA"/>
    </w:rPr>
  </w:style>
  <w:style w:type="paragraph" w:customStyle="1" w:styleId="268">
    <w:name w:val="表格内容 Char Char"/>
    <w:next w:val="1"/>
    <w:qFormat/>
    <w:uiPriority w:val="0"/>
    <w:pPr>
      <w:keepNext/>
      <w:keepLines/>
      <w:widowControl w:val="0"/>
      <w:jc w:val="center"/>
      <w:textAlignment w:val="center"/>
    </w:pPr>
    <w:rPr>
      <w:rFonts w:ascii="宋体" w:hAnsi="Times New Roman" w:eastAsia="宋体" w:cs="Times New Roman"/>
      <w:color w:val="FF0000"/>
      <w:kern w:val="2"/>
      <w:sz w:val="21"/>
      <w:szCs w:val="21"/>
      <w:lang w:val="en-US" w:eastAsia="zh-CN" w:bidi="ar-SA"/>
    </w:rPr>
  </w:style>
  <w:style w:type="paragraph" w:customStyle="1" w:styleId="269">
    <w:name w:val="正表头"/>
    <w:basedOn w:val="10"/>
    <w:qFormat/>
    <w:uiPriority w:val="0"/>
    <w:pPr>
      <w:keepNext w:val="0"/>
      <w:keepLines w:val="0"/>
      <w:widowControl/>
      <w:numPr>
        <w:ilvl w:val="0"/>
        <w:numId w:val="0"/>
      </w:numPr>
      <w:tabs>
        <w:tab w:val="left" w:pos="480"/>
      </w:tabs>
      <w:autoSpaceDE w:val="0"/>
      <w:autoSpaceDN w:val="0"/>
      <w:adjustRightInd w:val="0"/>
      <w:spacing w:before="0" w:after="0" w:line="240" w:lineRule="auto"/>
      <w:jc w:val="center"/>
      <w:textAlignment w:val="bottom"/>
      <w:outlineLvl w:val="9"/>
    </w:pPr>
    <w:rPr>
      <w:rFonts w:ascii="宋体" w:hAnsi="Times New Roman" w:eastAsia="宋体"/>
      <w:kern w:val="0"/>
      <w:sz w:val="21"/>
    </w:rPr>
  </w:style>
  <w:style w:type="paragraph" w:customStyle="1" w:styleId="270">
    <w:name w:val="正表格内容"/>
    <w:basedOn w:val="1"/>
    <w:qFormat/>
    <w:uiPriority w:val="0"/>
    <w:pPr>
      <w:tabs>
        <w:tab w:val="left" w:pos="480"/>
      </w:tabs>
      <w:autoSpaceDE w:val="0"/>
      <w:autoSpaceDN w:val="0"/>
      <w:adjustRightInd w:val="0"/>
      <w:jc w:val="center"/>
      <w:textAlignment w:val="baseline"/>
    </w:pPr>
    <w:rPr>
      <w:rFonts w:ascii="宋体"/>
      <w:kern w:val="0"/>
      <w:sz w:val="18"/>
      <w:szCs w:val="20"/>
    </w:rPr>
  </w:style>
  <w:style w:type="paragraph" w:customStyle="1" w:styleId="271">
    <w:name w:val="表格正文"/>
    <w:basedOn w:val="1"/>
    <w:link w:val="596"/>
    <w:qFormat/>
    <w:uiPriority w:val="0"/>
    <w:pPr>
      <w:adjustRightInd w:val="0"/>
      <w:snapToGrid w:val="0"/>
      <w:spacing w:before="60" w:after="60"/>
      <w:jc w:val="center"/>
      <w:textAlignment w:val="baseline"/>
    </w:pPr>
    <w:rPr>
      <w:kern w:val="0"/>
    </w:rPr>
  </w:style>
  <w:style w:type="paragraph" w:customStyle="1" w:styleId="272">
    <w:name w:val="表头文字"/>
    <w:basedOn w:val="1"/>
    <w:qFormat/>
    <w:uiPriority w:val="0"/>
    <w:pPr>
      <w:spacing w:line="300" w:lineRule="atLeast"/>
      <w:jc w:val="center"/>
    </w:pPr>
    <w:rPr>
      <w:sz w:val="18"/>
      <w:szCs w:val="20"/>
    </w:rPr>
  </w:style>
  <w:style w:type="paragraph" w:customStyle="1" w:styleId="273">
    <w:name w:val="答复表样式"/>
    <w:basedOn w:val="1"/>
    <w:qFormat/>
    <w:uiPriority w:val="0"/>
    <w:pPr>
      <w:spacing w:line="240" w:lineRule="atLeast"/>
      <w:jc w:val="center"/>
    </w:pPr>
    <w:rPr>
      <w:b/>
      <w:color w:val="000000"/>
    </w:rPr>
  </w:style>
  <w:style w:type="paragraph" w:customStyle="1" w:styleId="274">
    <w:name w:val="表格1(小四)"/>
    <w:basedOn w:val="1"/>
    <w:qFormat/>
    <w:uiPriority w:val="0"/>
    <w:pPr>
      <w:widowControl/>
      <w:adjustRightInd w:val="0"/>
      <w:snapToGrid w:val="0"/>
      <w:spacing w:line="288" w:lineRule="auto"/>
      <w:ind w:left="-161" w:leftChars="-67" w:right="-264" w:rightChars="-110"/>
      <w:jc w:val="center"/>
      <w:textAlignment w:val="baseline"/>
    </w:pPr>
    <w:rPr>
      <w:kern w:val="0"/>
      <w:szCs w:val="20"/>
    </w:rPr>
  </w:style>
  <w:style w:type="character" w:customStyle="1" w:styleId="275">
    <w:name w:val="QB正文 Char"/>
    <w:link w:val="276"/>
    <w:qFormat/>
    <w:locked/>
    <w:uiPriority w:val="0"/>
    <w:rPr>
      <w:rFonts w:ascii="宋体" w:hAnsi="宋体" w:cs="Mangal"/>
      <w:sz w:val="24"/>
      <w:lang w:bidi="hi-IN"/>
    </w:rPr>
  </w:style>
  <w:style w:type="paragraph" w:customStyle="1" w:styleId="276">
    <w:name w:val="QB正文"/>
    <w:basedOn w:val="1"/>
    <w:link w:val="275"/>
    <w:qFormat/>
    <w:uiPriority w:val="0"/>
    <w:pPr>
      <w:widowControl/>
      <w:autoSpaceDE w:val="0"/>
      <w:autoSpaceDN w:val="0"/>
    </w:pPr>
    <w:rPr>
      <w:rFonts w:ascii="宋体" w:hAnsi="宋体" w:cs="Mangal"/>
      <w:kern w:val="0"/>
      <w:szCs w:val="20"/>
      <w:lang w:bidi="hi-IN"/>
    </w:rPr>
  </w:style>
  <w:style w:type="character" w:customStyle="1" w:styleId="277">
    <w:name w:val="批注文字 字符"/>
    <w:link w:val="22"/>
    <w:qFormat/>
    <w:uiPriority w:val="99"/>
    <w:rPr>
      <w:kern w:val="2"/>
      <w:sz w:val="21"/>
      <w:szCs w:val="24"/>
    </w:rPr>
  </w:style>
  <w:style w:type="paragraph" w:customStyle="1" w:styleId="278">
    <w:name w:val="1 Char"/>
    <w:basedOn w:val="20"/>
    <w:qFormat/>
    <w:uiPriority w:val="0"/>
    <w:rPr>
      <w:rFonts w:ascii="Tahoma" w:hAnsi="Tahoma"/>
    </w:rPr>
  </w:style>
  <w:style w:type="character" w:customStyle="1" w:styleId="279">
    <w:name w:val="正文文本缩进 Char Char"/>
    <w:qFormat/>
    <w:uiPriority w:val="0"/>
    <w:rPr>
      <w:rFonts w:eastAsia="宋体"/>
      <w:kern w:val="2"/>
      <w:sz w:val="24"/>
      <w:szCs w:val="24"/>
      <w:lang w:val="en-US" w:eastAsia="zh-CN" w:bidi="ar-SA"/>
    </w:rPr>
  </w:style>
  <w:style w:type="paragraph" w:customStyle="1" w:styleId="280">
    <w:name w:val="样式 标题 1H1h1app heading 1l1HuvudrubrikR1H111. heading 1标..."/>
    <w:basedOn w:val="3"/>
    <w:qFormat/>
    <w:uiPriority w:val="0"/>
    <w:pPr>
      <w:tabs>
        <w:tab w:val="left" w:pos="229"/>
      </w:tabs>
      <w:spacing w:before="120" w:after="120"/>
      <w:ind w:left="-851"/>
    </w:pPr>
    <w:rPr>
      <w:rFonts w:ascii="宋体" w:hAnsi="宋体"/>
      <w:szCs w:val="32"/>
    </w:rPr>
  </w:style>
  <w:style w:type="paragraph" w:customStyle="1" w:styleId="281">
    <w:name w:val="样式 标题 2h2Titre 2l2H2Heading TwoAlt+2UNDERRUBRIK 1-2R2H2...1"/>
    <w:basedOn w:val="4"/>
    <w:qFormat/>
    <w:uiPriority w:val="0"/>
    <w:pPr>
      <w:tabs>
        <w:tab w:val="left" w:pos="1080"/>
      </w:tabs>
      <w:spacing w:before="240" w:after="240"/>
    </w:pPr>
    <w:rPr>
      <w:rFonts w:ascii="黑体" w:hAnsi="宋体"/>
      <w:szCs w:val="30"/>
    </w:rPr>
  </w:style>
  <w:style w:type="paragraph" w:customStyle="1" w:styleId="282">
    <w:name w:val="样式 标题 2h2Titre 2l2H2Heading TwoAlt+2UNDERRUBRIK 1-2R2H2...2"/>
    <w:basedOn w:val="4"/>
    <w:qFormat/>
    <w:uiPriority w:val="0"/>
    <w:pPr>
      <w:tabs>
        <w:tab w:val="left" w:pos="1080"/>
      </w:tabs>
      <w:spacing w:before="240" w:after="240"/>
    </w:pPr>
    <w:rPr>
      <w:rFonts w:ascii="黑体" w:hAnsi="宋体"/>
      <w:szCs w:val="30"/>
    </w:rPr>
  </w:style>
  <w:style w:type="paragraph" w:customStyle="1" w:styleId="283">
    <w:name w:val="xl61"/>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pPr>
    <w:rPr>
      <w:rFonts w:hint="eastAsia" w:ascii="楷体_GB2312" w:hAnsi="宋体" w:eastAsia="楷体_GB2312"/>
      <w:kern w:val="0"/>
      <w:sz w:val="16"/>
      <w:szCs w:val="16"/>
    </w:rPr>
  </w:style>
  <w:style w:type="paragraph" w:customStyle="1" w:styleId="284">
    <w:name w:val="5"/>
    <w:qFormat/>
    <w:uiPriority w:val="0"/>
    <w:rPr>
      <w:rFonts w:ascii="Times New Roman" w:hAnsi="Times New Roman" w:eastAsia="宋体" w:cs="Times New Roman"/>
      <w:lang w:val="en-US" w:eastAsia="zh-CN" w:bidi="ar-SA"/>
    </w:rPr>
  </w:style>
  <w:style w:type="paragraph" w:customStyle="1" w:styleId="285">
    <w:name w:val="xl3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eastAsia="Arial Unicode MS" w:cs="Arial Unicode MS"/>
      <w:color w:val="000000"/>
      <w:kern w:val="0"/>
    </w:rPr>
  </w:style>
  <w:style w:type="paragraph" w:customStyle="1" w:styleId="286">
    <w:name w:val="样式 标题 21.1  heading 2H2h2Titre 2l2大标题sect 1.2sect 3.1He..."/>
    <w:basedOn w:val="4"/>
    <w:qFormat/>
    <w:uiPriority w:val="0"/>
    <w:pPr>
      <w:spacing w:before="100" w:after="100"/>
    </w:pPr>
    <w:rPr>
      <w:rFonts w:ascii="仿宋_GB2312" w:hAnsi="Meiryo UI" w:eastAsia="仿宋_GB2312" w:cs="Meiryo UI"/>
      <w:color w:val="FF0000"/>
      <w:sz w:val="28"/>
      <w:szCs w:val="28"/>
    </w:rPr>
  </w:style>
  <w:style w:type="paragraph" w:styleId="287">
    <w:name w:val="List Paragraph"/>
    <w:basedOn w:val="1"/>
    <w:link w:val="530"/>
    <w:qFormat/>
    <w:uiPriority w:val="99"/>
    <w:pPr>
      <w:ind w:firstLine="420"/>
    </w:pPr>
  </w:style>
  <w:style w:type="paragraph" w:customStyle="1" w:styleId="288">
    <w:name w:val="TOC 标题1"/>
    <w:basedOn w:val="3"/>
    <w:next w:val="1"/>
    <w:semiHidden/>
    <w:unhideWhenUsed/>
    <w:qFormat/>
    <w:uiPriority w:val="39"/>
    <w:pPr>
      <w:widowControl/>
      <w:numPr>
        <w:numId w:val="0"/>
      </w:numPr>
      <w:spacing w:before="480" w:line="276" w:lineRule="auto"/>
      <w:outlineLvl w:val="9"/>
    </w:pPr>
    <w:rPr>
      <w:rFonts w:ascii="Cambria" w:hAnsi="Cambria"/>
      <w:color w:val="365F91"/>
      <w:kern w:val="0"/>
      <w:sz w:val="28"/>
      <w:szCs w:val="28"/>
    </w:rPr>
  </w:style>
  <w:style w:type="character" w:customStyle="1" w:styleId="289">
    <w:name w:val="页眉 字符"/>
    <w:basedOn w:val="67"/>
    <w:link w:val="41"/>
    <w:qFormat/>
    <w:uiPriority w:val="99"/>
    <w:rPr>
      <w:rFonts w:cstheme="minorBidi"/>
      <w:kern w:val="2"/>
      <w:sz w:val="18"/>
      <w:szCs w:val="18"/>
    </w:rPr>
  </w:style>
  <w:style w:type="paragraph" w:customStyle="1" w:styleId="290">
    <w:name w:val="表"/>
    <w:basedOn w:val="1"/>
    <w:link w:val="291"/>
    <w:qFormat/>
    <w:uiPriority w:val="0"/>
    <w:pPr>
      <w:spacing w:line="276" w:lineRule="auto"/>
      <w:ind w:firstLine="0" w:firstLineChars="0"/>
      <w:jc w:val="center"/>
    </w:pPr>
    <w:rPr>
      <w:rFonts w:cs="Times New Roman"/>
      <w:sz w:val="21"/>
    </w:rPr>
  </w:style>
  <w:style w:type="character" w:customStyle="1" w:styleId="291">
    <w:name w:val="表 Char"/>
    <w:link w:val="290"/>
    <w:qFormat/>
    <w:uiPriority w:val="0"/>
    <w:rPr>
      <w:kern w:val="2"/>
      <w:sz w:val="21"/>
      <w:szCs w:val="21"/>
    </w:rPr>
  </w:style>
  <w:style w:type="paragraph" w:customStyle="1" w:styleId="292">
    <w:name w:val="标题 1 + 宋体 (复杂文种)小四 红色 行距: 1.5 倍行距"/>
    <w:basedOn w:val="3"/>
    <w:link w:val="343"/>
    <w:qFormat/>
    <w:uiPriority w:val="0"/>
    <w:pPr>
      <w:numPr>
        <w:ilvl w:val="0"/>
        <w:numId w:val="23"/>
      </w:numPr>
    </w:pPr>
    <w:rPr>
      <w:rFonts w:ascii="宋体" w:hAnsi="宋体"/>
    </w:rPr>
  </w:style>
  <w:style w:type="paragraph" w:customStyle="1" w:styleId="293">
    <w:name w:val="默认段落字体 Para Char Char Char Char Char Char Char Char Char Char Char Char Char Char Char Char Char Char Char"/>
    <w:basedOn w:val="20"/>
    <w:qFormat/>
    <w:uiPriority w:val="0"/>
    <w:rPr>
      <w:rFonts w:ascii="Tahoma" w:hAnsi="Tahoma"/>
    </w:rPr>
  </w:style>
  <w:style w:type="paragraph" w:customStyle="1" w:styleId="294">
    <w:name w:val="样式 首行缩进:  2 字符"/>
    <w:basedOn w:val="1"/>
    <w:qFormat/>
    <w:uiPriority w:val="0"/>
    <w:rPr>
      <w:rFonts w:cs="宋体"/>
      <w:szCs w:val="20"/>
    </w:rPr>
  </w:style>
  <w:style w:type="paragraph" w:customStyle="1" w:styleId="295">
    <w:name w:val="Char1 Char Char1 Char"/>
    <w:basedOn w:val="20"/>
    <w:qFormat/>
    <w:uiPriority w:val="0"/>
    <w:pPr>
      <w:adjustRightInd w:val="0"/>
      <w:snapToGrid w:val="0"/>
      <w:spacing w:line="436" w:lineRule="exact"/>
      <w:ind w:left="357"/>
      <w:jc w:val="left"/>
      <w:outlineLvl w:val="3"/>
    </w:pPr>
    <w:rPr>
      <w:rFonts w:ascii="Tahoma" w:hAnsi="Tahoma"/>
      <w:b/>
    </w:rPr>
  </w:style>
  <w:style w:type="paragraph" w:customStyle="1" w:styleId="296">
    <w:name w:val="默认段落字体 Para Char Char Char Char"/>
    <w:basedOn w:val="20"/>
    <w:qFormat/>
    <w:uiPriority w:val="0"/>
    <w:pPr>
      <w:keepNext/>
      <w:widowControl/>
      <w:tabs>
        <w:tab w:val="left" w:pos="425"/>
      </w:tabs>
      <w:autoSpaceDE w:val="0"/>
      <w:autoSpaceDN w:val="0"/>
      <w:adjustRightInd w:val="0"/>
      <w:ind w:firstLine="425"/>
      <w:textAlignment w:val="baseline"/>
    </w:pPr>
    <w:rPr>
      <w:rFonts w:cs="Arial"/>
    </w:rPr>
  </w:style>
  <w:style w:type="paragraph" w:customStyle="1" w:styleId="297">
    <w:name w:val="默认段落字体 Para Char Char Char Char Char Char Char"/>
    <w:basedOn w:val="20"/>
    <w:qFormat/>
    <w:uiPriority w:val="0"/>
    <w:pPr>
      <w:keepNext/>
      <w:widowControl/>
      <w:tabs>
        <w:tab w:val="left" w:pos="425"/>
      </w:tabs>
      <w:autoSpaceDE w:val="0"/>
      <w:autoSpaceDN w:val="0"/>
      <w:adjustRightInd w:val="0"/>
      <w:ind w:firstLine="425"/>
      <w:textAlignment w:val="baseline"/>
    </w:pPr>
    <w:rPr>
      <w:rFonts w:cs="Arial"/>
    </w:rPr>
  </w:style>
  <w:style w:type="paragraph" w:customStyle="1" w:styleId="298">
    <w:name w:val="Char1 Char Char Char"/>
    <w:basedOn w:val="20"/>
    <w:qFormat/>
    <w:uiPriority w:val="0"/>
    <w:pPr>
      <w:adjustRightInd w:val="0"/>
      <w:spacing w:line="436" w:lineRule="exact"/>
      <w:ind w:left="357" w:firstLine="225" w:firstLineChars="225"/>
      <w:jc w:val="left"/>
      <w:outlineLvl w:val="3"/>
    </w:pPr>
    <w:rPr>
      <w:rFonts w:ascii="Tahoma" w:hAnsi="Tahoma"/>
      <w:b/>
    </w:rPr>
  </w:style>
  <w:style w:type="paragraph" w:customStyle="1" w:styleId="299">
    <w:name w:val="Body Text 21"/>
    <w:basedOn w:val="1"/>
    <w:qFormat/>
    <w:uiPriority w:val="0"/>
    <w:pPr>
      <w:adjustRightInd w:val="0"/>
      <w:ind w:firstLine="480"/>
      <w:textAlignment w:val="baseline"/>
    </w:pPr>
    <w:rPr>
      <w:kern w:val="0"/>
      <w:szCs w:val="20"/>
    </w:rPr>
  </w:style>
  <w:style w:type="paragraph" w:customStyle="1" w:styleId="300">
    <w:name w:val="图表"/>
    <w:basedOn w:val="1"/>
    <w:next w:val="17"/>
    <w:qFormat/>
    <w:uiPriority w:val="0"/>
    <w:pPr>
      <w:autoSpaceDE w:val="0"/>
      <w:autoSpaceDN w:val="0"/>
      <w:jc w:val="center"/>
    </w:pPr>
    <w:rPr>
      <w:rFonts w:ascii="Wingdings" w:hAnsi="Wingdings"/>
      <w:kern w:val="0"/>
      <w:lang w:val="zh-CN"/>
    </w:rPr>
  </w:style>
  <w:style w:type="paragraph" w:customStyle="1" w:styleId="301">
    <w:name w:val="Char2"/>
    <w:basedOn w:val="20"/>
    <w:qFormat/>
    <w:uiPriority w:val="0"/>
    <w:rPr>
      <w:rFonts w:ascii="Tahoma" w:hAnsi="Tahoma"/>
    </w:rPr>
  </w:style>
  <w:style w:type="character" w:customStyle="1" w:styleId="302">
    <w:name w:val="正文文本缩进 字符"/>
    <w:link w:val="26"/>
    <w:qFormat/>
    <w:uiPriority w:val="0"/>
    <w:rPr>
      <w:rFonts w:cstheme="minorBidi"/>
      <w:kern w:val="2"/>
      <w:sz w:val="24"/>
      <w:szCs w:val="21"/>
    </w:rPr>
  </w:style>
  <w:style w:type="paragraph" w:customStyle="1" w:styleId="303">
    <w:name w:val="默认段落字体 Para Char Char Char Char Char Char Char Char Char Char Char Char Char Char Char Char Char Char Char Char Char Char Char Char Char Char Char Char Char"/>
    <w:basedOn w:val="20"/>
    <w:qFormat/>
    <w:uiPriority w:val="0"/>
    <w:rPr>
      <w:rFonts w:ascii="Tahoma" w:hAnsi="Tahoma"/>
    </w:rPr>
  </w:style>
  <w:style w:type="paragraph" w:customStyle="1" w:styleId="304">
    <w:name w:val="QB图"/>
    <w:basedOn w:val="276"/>
    <w:next w:val="276"/>
    <w:qFormat/>
    <w:uiPriority w:val="0"/>
    <w:pPr>
      <w:ind w:left="1276" w:hanging="1276" w:firstLineChars="0"/>
      <w:jc w:val="center"/>
    </w:pPr>
    <w:rPr>
      <w:rFonts w:hAnsi="Times New Roman" w:cs="Times New Roman"/>
      <w:lang w:bidi="ar-SA"/>
    </w:rPr>
  </w:style>
  <w:style w:type="paragraph" w:customStyle="1" w:styleId="305">
    <w:name w:val="编写建议"/>
    <w:basedOn w:val="1"/>
    <w:qFormat/>
    <w:uiPriority w:val="0"/>
    <w:pPr>
      <w:widowControl/>
      <w:numPr>
        <w:ilvl w:val="0"/>
        <w:numId w:val="24"/>
      </w:numPr>
      <w:spacing w:beforeLines="50" w:afterLines="50"/>
      <w:jc w:val="center"/>
    </w:pPr>
    <w:rPr>
      <w:rFonts w:ascii="Arial" w:hAnsi="Arial" w:cs="Arial"/>
      <w:i/>
      <w:color w:val="0000FF"/>
    </w:rPr>
  </w:style>
  <w:style w:type="character" w:customStyle="1" w:styleId="306">
    <w:name w:val="文档正文 Char"/>
    <w:link w:val="76"/>
    <w:qFormat/>
    <w:uiPriority w:val="0"/>
    <w:rPr>
      <w:rFonts w:ascii="宋体"/>
      <w:sz w:val="28"/>
    </w:rPr>
  </w:style>
  <w:style w:type="paragraph" w:customStyle="1" w:styleId="307">
    <w:name w:val="样式 标题 1H1H11NMP Heading 1app heading 1l1h1Huvudrubriktít..."/>
    <w:basedOn w:val="3"/>
    <w:qFormat/>
    <w:uiPriority w:val="0"/>
    <w:pPr>
      <w:numPr>
        <w:numId w:val="0"/>
      </w:numPr>
      <w:tabs>
        <w:tab w:val="left" w:pos="0"/>
        <w:tab w:val="left" w:pos="689"/>
      </w:tabs>
      <w:spacing w:beforeAutospacing="1" w:afterAutospacing="1"/>
    </w:pPr>
    <w:rPr>
      <w:rFonts w:ascii="宋体" w:hAnsi="宋体" w:cs="宋体"/>
      <w:sz w:val="30"/>
      <w:szCs w:val="20"/>
    </w:rPr>
  </w:style>
  <w:style w:type="paragraph" w:customStyle="1" w:styleId="308">
    <w:name w:val="样式 标题 2H2H21orderpara12heading 2R2Titre BHeading 2 Hidde..."/>
    <w:basedOn w:val="4"/>
    <w:qFormat/>
    <w:uiPriority w:val="0"/>
    <w:pPr>
      <w:tabs>
        <w:tab w:val="left" w:pos="576"/>
        <w:tab w:val="left" w:pos="689"/>
        <w:tab w:val="left" w:pos="1176"/>
      </w:tabs>
      <w:spacing w:before="0" w:after="0"/>
    </w:pPr>
    <w:rPr>
      <w:rFonts w:ascii="宋体" w:hAnsi="宋体"/>
      <w:kern w:val="44"/>
      <w:sz w:val="28"/>
    </w:rPr>
  </w:style>
  <w:style w:type="paragraph" w:customStyle="1" w:styleId="309">
    <w:name w:val="1.1.1.1 标题4"/>
    <w:basedOn w:val="6"/>
    <w:qFormat/>
    <w:uiPriority w:val="0"/>
    <w:pPr>
      <w:numPr>
        <w:numId w:val="25"/>
      </w:numPr>
    </w:pPr>
    <w:rPr>
      <w:bCs w:val="0"/>
    </w:rPr>
  </w:style>
  <w:style w:type="paragraph" w:customStyle="1" w:styleId="310">
    <w:name w:val="样式 标题 1H1PIM 1h11. + (西文) 黑体 (西文)小四 红色 行距: 多倍行距 1.25 字行"/>
    <w:basedOn w:val="3"/>
    <w:qFormat/>
    <w:uiPriority w:val="0"/>
    <w:pPr>
      <w:numPr>
        <w:numId w:val="26"/>
      </w:numPr>
      <w:tabs>
        <w:tab w:val="left" w:pos="425"/>
      </w:tabs>
      <w:spacing w:before="100" w:beforeAutospacing="1" w:after="100" w:afterAutospacing="1" w:line="300" w:lineRule="auto"/>
    </w:pPr>
    <w:rPr>
      <w:rFonts w:ascii="黑体" w:hAnsi="宋体"/>
      <w:color w:val="FF0000"/>
      <w:sz w:val="30"/>
    </w:rPr>
  </w:style>
  <w:style w:type="paragraph" w:customStyle="1" w:styleId="311">
    <w:name w:val="样式 标题 2第一章 标题 2Heading 2 HiddenHeading 2 CCBSheading 2H2h2..."/>
    <w:basedOn w:val="4"/>
    <w:qFormat/>
    <w:uiPriority w:val="0"/>
    <w:pPr>
      <w:tabs>
        <w:tab w:val="left" w:pos="576"/>
      </w:tabs>
      <w:spacing w:line="300" w:lineRule="auto"/>
    </w:pPr>
    <w:rPr>
      <w:rFonts w:ascii="黑体"/>
      <w:color w:val="FF0000"/>
    </w:rPr>
  </w:style>
  <w:style w:type="character" w:customStyle="1" w:styleId="312">
    <w:name w:val="标题 1 字符"/>
    <w:basedOn w:val="67"/>
    <w:link w:val="3"/>
    <w:qFormat/>
    <w:uiPriority w:val="0"/>
    <w:rPr>
      <w:rFonts w:cs="Arial"/>
      <w:b/>
      <w:bCs/>
      <w:color w:val="000000"/>
      <w:kern w:val="24"/>
      <w:sz w:val="24"/>
      <w:szCs w:val="24"/>
    </w:rPr>
  </w:style>
  <w:style w:type="paragraph" w:customStyle="1" w:styleId="313">
    <w:name w:val="样式 标题 1NMP Heading 1H1h1HuvudrubrikNormal + Font: Helvetica..."/>
    <w:basedOn w:val="1"/>
    <w:qFormat/>
    <w:uiPriority w:val="0"/>
  </w:style>
  <w:style w:type="paragraph" w:customStyle="1" w:styleId="314">
    <w:name w:val="样式 标题 2Head2A2H2heading8UNDERRUBRIK 1-2l2heading 2+ Inden..."/>
    <w:basedOn w:val="1"/>
    <w:qFormat/>
    <w:uiPriority w:val="0"/>
    <w:pPr>
      <w:numPr>
        <w:ilvl w:val="1"/>
        <w:numId w:val="27"/>
      </w:numPr>
    </w:pPr>
  </w:style>
  <w:style w:type="character" w:customStyle="1" w:styleId="315">
    <w:name w:val="中兴标题2 Char Char Char Char"/>
    <w:link w:val="316"/>
    <w:qFormat/>
    <w:uiPriority w:val="0"/>
    <w:rPr>
      <w:rFonts w:cs="宋体"/>
      <w:b/>
      <w:bCs/>
      <w:kern w:val="2"/>
      <w:sz w:val="28"/>
      <w:szCs w:val="32"/>
      <w:lang w:bidi="hi-IN"/>
    </w:rPr>
  </w:style>
  <w:style w:type="paragraph" w:customStyle="1" w:styleId="316">
    <w:name w:val="中兴标题2 Char Char Char"/>
    <w:basedOn w:val="4"/>
    <w:next w:val="1"/>
    <w:link w:val="315"/>
    <w:qFormat/>
    <w:uiPriority w:val="0"/>
    <w:pPr>
      <w:widowControl/>
      <w:tabs>
        <w:tab w:val="left" w:pos="576"/>
      </w:tabs>
      <w:spacing w:line="415" w:lineRule="auto"/>
      <w:ind w:left="170" w:right="-190" w:rightChars="-79" w:hanging="170"/>
    </w:pPr>
    <w:rPr>
      <w:rFonts w:cs="宋体"/>
      <w:sz w:val="28"/>
      <w:lang w:bidi="hi-IN"/>
    </w:rPr>
  </w:style>
  <w:style w:type="paragraph" w:customStyle="1" w:styleId="317">
    <w:name w:val="样式 标题 31.1.1 Heading 3Titolo Sotto/Sottosezioneh3H3level_3..."/>
    <w:basedOn w:val="1"/>
    <w:qFormat/>
    <w:uiPriority w:val="0"/>
  </w:style>
  <w:style w:type="paragraph" w:customStyle="1" w:styleId="318">
    <w:name w:val="EQ"/>
    <w:basedOn w:val="1"/>
    <w:next w:val="1"/>
    <w:qFormat/>
    <w:uiPriority w:val="0"/>
    <w:pPr>
      <w:keepLines/>
      <w:widowControl/>
      <w:tabs>
        <w:tab w:val="center" w:pos="4536"/>
        <w:tab w:val="right" w:pos="9072"/>
      </w:tabs>
      <w:spacing w:after="180"/>
      <w:jc w:val="left"/>
    </w:pPr>
    <w:rPr>
      <w:kern w:val="0"/>
      <w:sz w:val="20"/>
      <w:szCs w:val="20"/>
      <w:lang w:val="en-GB" w:eastAsia="en-US"/>
    </w:rPr>
  </w:style>
  <w:style w:type="paragraph" w:customStyle="1" w:styleId="319">
    <w:name w:val="TH"/>
    <w:basedOn w:val="1"/>
    <w:qFormat/>
    <w:uiPriority w:val="0"/>
    <w:pPr>
      <w:keepNext/>
      <w:keepLines/>
      <w:widowControl/>
      <w:spacing w:before="60" w:after="180"/>
      <w:jc w:val="center"/>
    </w:pPr>
    <w:rPr>
      <w:rFonts w:ascii="Arial" w:hAnsi="Arial"/>
      <w:b/>
      <w:kern w:val="0"/>
      <w:sz w:val="20"/>
      <w:szCs w:val="20"/>
      <w:lang w:val="en-GB" w:eastAsia="en-US"/>
    </w:rPr>
  </w:style>
  <w:style w:type="paragraph" w:customStyle="1" w:styleId="320">
    <w:name w:val="B1"/>
    <w:basedOn w:val="46"/>
    <w:qFormat/>
    <w:uiPriority w:val="0"/>
    <w:pPr>
      <w:widowControl/>
      <w:spacing w:after="180"/>
      <w:ind w:left="568" w:hanging="284" w:firstLineChars="0"/>
      <w:jc w:val="left"/>
    </w:pPr>
    <w:rPr>
      <w:kern w:val="0"/>
      <w:sz w:val="20"/>
      <w:szCs w:val="20"/>
      <w:lang w:val="en-GB" w:eastAsia="en-US"/>
    </w:rPr>
  </w:style>
  <w:style w:type="paragraph" w:customStyle="1" w:styleId="321">
    <w:name w:val="TAR"/>
    <w:basedOn w:val="162"/>
    <w:qFormat/>
    <w:uiPriority w:val="0"/>
    <w:pPr>
      <w:overflowPunct/>
      <w:autoSpaceDE/>
      <w:autoSpaceDN/>
      <w:adjustRightInd/>
      <w:jc w:val="right"/>
      <w:textAlignment w:val="auto"/>
    </w:pPr>
    <w:rPr>
      <w:lang w:eastAsia="en-US"/>
    </w:rPr>
  </w:style>
  <w:style w:type="paragraph" w:customStyle="1" w:styleId="322">
    <w:name w:val="TF"/>
    <w:basedOn w:val="319"/>
    <w:qFormat/>
    <w:uiPriority w:val="0"/>
    <w:pPr>
      <w:keepNext w:val="0"/>
      <w:spacing w:before="0" w:after="240"/>
    </w:pPr>
  </w:style>
  <w:style w:type="paragraph" w:customStyle="1" w:styleId="323">
    <w:name w:val="Char3"/>
    <w:basedOn w:val="20"/>
    <w:qFormat/>
    <w:uiPriority w:val="0"/>
    <w:pPr>
      <w:adjustRightInd w:val="0"/>
      <w:spacing w:line="436" w:lineRule="exact"/>
      <w:ind w:left="357"/>
      <w:jc w:val="left"/>
      <w:outlineLvl w:val="3"/>
    </w:pPr>
    <w:rPr>
      <w:rFonts w:ascii="Tahoma" w:hAnsi="Tahoma"/>
      <w:b/>
    </w:rPr>
  </w:style>
  <w:style w:type="character" w:customStyle="1" w:styleId="324">
    <w:name w:val="list_r_list_h4_info1"/>
    <w:basedOn w:val="67"/>
    <w:qFormat/>
    <w:uiPriority w:val="0"/>
  </w:style>
  <w:style w:type="paragraph" w:customStyle="1" w:styleId="325">
    <w:name w:val="带编号的标题1"/>
    <w:basedOn w:val="3"/>
    <w:next w:val="1"/>
    <w:qFormat/>
    <w:uiPriority w:val="0"/>
    <w:pPr>
      <w:numPr>
        <w:numId w:val="0"/>
      </w:numPr>
      <w:tabs>
        <w:tab w:val="left" w:pos="432"/>
      </w:tabs>
      <w:spacing w:before="240" w:after="120"/>
      <w:ind w:left="432" w:hanging="432"/>
    </w:pPr>
  </w:style>
  <w:style w:type="paragraph" w:customStyle="1" w:styleId="326">
    <w:name w:val="带编号的标题4"/>
    <w:basedOn w:val="6"/>
    <w:next w:val="1"/>
    <w:qFormat/>
    <w:uiPriority w:val="0"/>
    <w:pPr>
      <w:numPr>
        <w:ilvl w:val="0"/>
        <w:numId w:val="0"/>
      </w:numPr>
      <w:tabs>
        <w:tab w:val="left" w:pos="864"/>
      </w:tabs>
      <w:spacing w:before="120" w:after="120" w:line="240" w:lineRule="auto"/>
      <w:ind w:left="864" w:hanging="864"/>
    </w:pPr>
    <w:rPr>
      <w:bCs w:val="0"/>
    </w:rPr>
  </w:style>
  <w:style w:type="paragraph" w:customStyle="1" w:styleId="327">
    <w:name w:val="图号"/>
    <w:basedOn w:val="1"/>
    <w:link w:val="547"/>
    <w:qFormat/>
    <w:uiPriority w:val="0"/>
    <w:pPr>
      <w:keepNext/>
      <w:numPr>
        <w:ilvl w:val="7"/>
        <w:numId w:val="28"/>
      </w:numPr>
      <w:autoSpaceDE w:val="0"/>
      <w:autoSpaceDN w:val="0"/>
      <w:adjustRightInd w:val="0"/>
      <w:spacing w:before="105"/>
      <w:jc w:val="center"/>
    </w:pPr>
    <w:rPr>
      <w:rFonts w:ascii="Arial" w:hAnsi="Arial"/>
      <w:kern w:val="0"/>
      <w:sz w:val="18"/>
      <w:szCs w:val="18"/>
    </w:rPr>
  </w:style>
  <w:style w:type="character" w:customStyle="1" w:styleId="328">
    <w:name w:val="chaptitle"/>
    <w:qFormat/>
    <w:uiPriority w:val="0"/>
    <w:rPr>
      <w:rFonts w:cs="Times New Roman"/>
    </w:rPr>
  </w:style>
  <w:style w:type="paragraph" w:customStyle="1" w:styleId="329">
    <w:name w:val="equation"/>
    <w:basedOn w:val="1"/>
    <w:qFormat/>
    <w:uiPriority w:val="0"/>
    <w:pPr>
      <w:widowControl/>
      <w:spacing w:before="100" w:beforeAutospacing="1" w:after="100" w:afterAutospacing="1"/>
      <w:jc w:val="left"/>
    </w:pPr>
    <w:rPr>
      <w:rFonts w:ascii="Verdana" w:hAnsi="Verdana"/>
      <w:color w:val="000000"/>
      <w:kern w:val="0"/>
      <w:sz w:val="20"/>
      <w:szCs w:val="20"/>
    </w:rPr>
  </w:style>
  <w:style w:type="paragraph" w:customStyle="1" w:styleId="330">
    <w:name w:val="默认段落字体 Para Char Char Char Char Char Char Char Char Char1 Char Char Char Char1 Char Char Char Char Char Char Char Char Char"/>
    <w:basedOn w:val="20"/>
    <w:qFormat/>
    <w:uiPriority w:val="0"/>
    <w:pPr>
      <w:adjustRightInd w:val="0"/>
      <w:spacing w:line="436" w:lineRule="exact"/>
      <w:ind w:left="357"/>
      <w:jc w:val="left"/>
      <w:outlineLvl w:val="3"/>
    </w:pPr>
    <w:rPr>
      <w:rFonts w:ascii="Tahoma" w:hAnsi="Tahoma"/>
      <w:b/>
    </w:rPr>
  </w:style>
  <w:style w:type="paragraph" w:customStyle="1" w:styleId="331">
    <w:name w:val="样式2"/>
    <w:basedOn w:val="3"/>
    <w:qFormat/>
    <w:uiPriority w:val="0"/>
    <w:pPr>
      <w:numPr>
        <w:numId w:val="0"/>
      </w:numPr>
      <w:tabs>
        <w:tab w:val="left" w:pos="1440"/>
      </w:tabs>
    </w:pPr>
  </w:style>
  <w:style w:type="paragraph" w:customStyle="1" w:styleId="332">
    <w:name w:val="样式 标题 1 + 宋体 (复杂文种)小四 红色 行距: 1.5 倍行距"/>
    <w:basedOn w:val="3"/>
    <w:qFormat/>
    <w:uiPriority w:val="0"/>
    <w:pPr>
      <w:numPr>
        <w:ilvl w:val="0"/>
        <w:numId w:val="0"/>
      </w:numPr>
      <w:ind w:left="540" w:hanging="540"/>
    </w:pPr>
    <w:rPr>
      <w:rFonts w:ascii="宋体" w:hAnsi="宋体"/>
    </w:rPr>
  </w:style>
  <w:style w:type="paragraph" w:customStyle="1" w:styleId="333">
    <w:name w:val="样式 标题 1 + 宋体 四号"/>
    <w:basedOn w:val="1"/>
    <w:qFormat/>
    <w:uiPriority w:val="0"/>
  </w:style>
  <w:style w:type="paragraph" w:customStyle="1" w:styleId="334">
    <w:name w:val="样式3"/>
    <w:basedOn w:val="18"/>
    <w:qFormat/>
    <w:uiPriority w:val="0"/>
    <w:pPr>
      <w:spacing w:before="0" w:after="0"/>
    </w:pPr>
    <w:rPr>
      <w:rFonts w:ascii="Arial" w:hAnsi="Arial" w:cs="Times New Roman"/>
      <w:kern w:val="0"/>
      <w:szCs w:val="21"/>
    </w:rPr>
  </w:style>
  <w:style w:type="paragraph" w:customStyle="1" w:styleId="335">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336">
    <w:name w:val="Char Char1"/>
    <w:qFormat/>
    <w:uiPriority w:val="0"/>
    <w:rPr>
      <w:rFonts w:eastAsia="宋体"/>
      <w:kern w:val="2"/>
      <w:sz w:val="21"/>
      <w:szCs w:val="24"/>
      <w:lang w:val="en-US" w:eastAsia="zh-CN" w:bidi="ar-SA"/>
    </w:rPr>
  </w:style>
  <w:style w:type="character" w:customStyle="1" w:styleId="337">
    <w:name w:val="HTML 预设格式 字符"/>
    <w:basedOn w:val="67"/>
    <w:link w:val="56"/>
    <w:qFormat/>
    <w:uiPriority w:val="0"/>
    <w:rPr>
      <w:rFonts w:ascii="宋体" w:hAnsi="宋体" w:cstheme="minorBidi"/>
      <w:sz w:val="24"/>
      <w:szCs w:val="21"/>
    </w:rPr>
  </w:style>
  <w:style w:type="paragraph" w:customStyle="1" w:styleId="338">
    <w:name w:val="正文图标题"/>
    <w:next w:val="103"/>
    <w:qFormat/>
    <w:uiPriority w:val="0"/>
    <w:pPr>
      <w:numPr>
        <w:ilvl w:val="0"/>
        <w:numId w:val="29"/>
      </w:numPr>
      <w:jc w:val="center"/>
    </w:pPr>
    <w:rPr>
      <w:rFonts w:ascii="黑体" w:hAnsi="Times New Roman" w:eastAsia="黑体" w:cs="Times New Roman"/>
      <w:sz w:val="21"/>
      <w:lang w:val="en-US" w:eastAsia="zh-CN" w:bidi="ar-SA"/>
    </w:rPr>
  </w:style>
  <w:style w:type="character" w:customStyle="1" w:styleId="339">
    <w:name w:val="ty11"/>
    <w:qFormat/>
    <w:uiPriority w:val="0"/>
    <w:rPr>
      <w:sz w:val="18"/>
      <w:szCs w:val="18"/>
    </w:rPr>
  </w:style>
  <w:style w:type="paragraph" w:customStyle="1" w:styleId="340">
    <w:name w:val="规划正文 Char"/>
    <w:basedOn w:val="1"/>
    <w:link w:val="534"/>
    <w:qFormat/>
    <w:uiPriority w:val="0"/>
    <w:pPr>
      <w:widowControl/>
      <w:spacing w:line="436" w:lineRule="exact"/>
      <w:ind w:firstLine="480"/>
    </w:pPr>
    <w:rPr>
      <w:rFonts w:ascii="宋体" w:hAnsi="宋体"/>
      <w:color w:val="000000"/>
    </w:rPr>
  </w:style>
  <w:style w:type="paragraph" w:customStyle="1" w:styleId="341">
    <w:name w:val="标题h2"/>
    <w:basedOn w:val="292"/>
    <w:link w:val="344"/>
    <w:qFormat/>
    <w:uiPriority w:val="0"/>
    <w:pPr>
      <w:tabs>
        <w:tab w:val="left" w:pos="0"/>
      </w:tabs>
      <w:ind w:left="0" w:hanging="431" w:hangingChars="180"/>
    </w:pPr>
    <w:rPr>
      <w:rFonts w:ascii="Times New Roman"/>
    </w:rPr>
  </w:style>
  <w:style w:type="character" w:customStyle="1" w:styleId="342">
    <w:name w:val="不明显强调1"/>
    <w:qFormat/>
    <w:uiPriority w:val="19"/>
    <w:rPr>
      <w:i/>
      <w:iCs/>
      <w:color w:val="808080"/>
    </w:rPr>
  </w:style>
  <w:style w:type="character" w:customStyle="1" w:styleId="343">
    <w:name w:val="标题 1 + 宋体 (复杂文种)小四 红色 行距: 1.5 倍行距 Char"/>
    <w:link w:val="292"/>
    <w:qFormat/>
    <w:uiPriority w:val="0"/>
    <w:rPr>
      <w:rFonts w:ascii="宋体" w:hAnsi="宋体" w:cs="Arial"/>
      <w:b/>
      <w:bCs/>
      <w:color w:val="000000"/>
      <w:kern w:val="24"/>
      <w:sz w:val="24"/>
      <w:szCs w:val="24"/>
    </w:rPr>
  </w:style>
  <w:style w:type="character" w:customStyle="1" w:styleId="344">
    <w:name w:val="标题h2 Char"/>
    <w:basedOn w:val="343"/>
    <w:link w:val="341"/>
    <w:qFormat/>
    <w:uiPriority w:val="0"/>
    <w:rPr>
      <w:rFonts w:ascii="宋体" w:hAnsi="宋体" w:cs="Arial"/>
      <w:color w:val="000000"/>
      <w:kern w:val="24"/>
      <w:sz w:val="24"/>
      <w:szCs w:val="24"/>
    </w:rPr>
  </w:style>
  <w:style w:type="paragraph" w:customStyle="1" w:styleId="345">
    <w:name w:val="小括号标题"/>
    <w:basedOn w:val="1"/>
    <w:link w:val="346"/>
    <w:qFormat/>
    <w:uiPriority w:val="0"/>
    <w:pPr>
      <w:numPr>
        <w:ilvl w:val="0"/>
        <w:numId w:val="30"/>
      </w:numPr>
      <w:ind w:left="0" w:firstLine="0"/>
    </w:pPr>
    <w:rPr>
      <w:rFonts w:ascii="宋体"/>
      <w:color w:val="000000"/>
    </w:rPr>
  </w:style>
  <w:style w:type="character" w:customStyle="1" w:styleId="346">
    <w:name w:val="小括号标题 Char"/>
    <w:link w:val="345"/>
    <w:qFormat/>
    <w:uiPriority w:val="0"/>
    <w:rPr>
      <w:rFonts w:ascii="宋体" w:cstheme="minorBidi"/>
      <w:color w:val="000000"/>
      <w:kern w:val="2"/>
      <w:sz w:val="24"/>
      <w:szCs w:val="21"/>
    </w:rPr>
  </w:style>
  <w:style w:type="character" w:customStyle="1" w:styleId="347">
    <w:name w:val="标题 4 字符"/>
    <w:basedOn w:val="67"/>
    <w:link w:val="6"/>
    <w:qFormat/>
    <w:uiPriority w:val="0"/>
    <w:rPr>
      <w:rFonts w:cstheme="majorBidi"/>
      <w:bCs/>
      <w:kern w:val="2"/>
      <w:sz w:val="24"/>
      <w:szCs w:val="28"/>
    </w:rPr>
  </w:style>
  <w:style w:type="character" w:customStyle="1" w:styleId="348">
    <w:name w:val="标题 5 字符"/>
    <w:basedOn w:val="67"/>
    <w:link w:val="7"/>
    <w:qFormat/>
    <w:uiPriority w:val="0"/>
    <w:rPr>
      <w:rFonts w:cstheme="minorBidi"/>
      <w:bCs/>
      <w:kern w:val="2"/>
      <w:sz w:val="24"/>
      <w:szCs w:val="28"/>
    </w:rPr>
  </w:style>
  <w:style w:type="character" w:customStyle="1" w:styleId="349">
    <w:name w:val="标题 6 字符"/>
    <w:basedOn w:val="67"/>
    <w:link w:val="8"/>
    <w:qFormat/>
    <w:uiPriority w:val="0"/>
    <w:rPr>
      <w:rFonts w:asciiTheme="majorHAnsi" w:hAnsiTheme="majorHAnsi" w:eastAsiaTheme="majorEastAsia" w:cstheme="majorBidi"/>
      <w:b/>
      <w:bCs/>
      <w:kern w:val="2"/>
      <w:sz w:val="24"/>
      <w:szCs w:val="24"/>
    </w:rPr>
  </w:style>
  <w:style w:type="character" w:customStyle="1" w:styleId="350">
    <w:name w:val="标题 7 字符"/>
    <w:link w:val="9"/>
    <w:qFormat/>
    <w:uiPriority w:val="0"/>
    <w:rPr>
      <w:rFonts w:ascii="宋体" w:hAnsi="宋体" w:cstheme="minorBidi"/>
      <w:b/>
      <w:kern w:val="2"/>
      <w:sz w:val="24"/>
    </w:rPr>
  </w:style>
  <w:style w:type="character" w:customStyle="1" w:styleId="351">
    <w:name w:val="标题 8 字符"/>
    <w:link w:val="10"/>
    <w:qFormat/>
    <w:uiPriority w:val="0"/>
    <w:rPr>
      <w:rFonts w:ascii="Arial" w:hAnsi="Arial" w:eastAsia="黑体" w:cstheme="minorBidi"/>
      <w:kern w:val="2"/>
      <w:sz w:val="24"/>
    </w:rPr>
  </w:style>
  <w:style w:type="character" w:customStyle="1" w:styleId="352">
    <w:name w:val="标题 9 字符"/>
    <w:link w:val="11"/>
    <w:qFormat/>
    <w:uiPriority w:val="0"/>
    <w:rPr>
      <w:rFonts w:ascii="Arial" w:hAnsi="Arial" w:eastAsia="黑体" w:cstheme="minorBidi"/>
      <w:kern w:val="2"/>
      <w:sz w:val="24"/>
    </w:rPr>
  </w:style>
  <w:style w:type="paragraph" w:customStyle="1" w:styleId="353">
    <w:name w:val="前言、引言标题"/>
    <w:next w:val="1"/>
    <w:qFormat/>
    <w:uiPriority w:val="0"/>
    <w:pPr>
      <w:numPr>
        <w:ilvl w:val="0"/>
        <w:numId w:val="31"/>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354">
    <w:name w:val="章标题"/>
    <w:next w:val="103"/>
    <w:qFormat/>
    <w:uiPriority w:val="0"/>
    <w:pPr>
      <w:spacing w:beforeLines="50" w:afterLines="50" w:line="360" w:lineRule="auto"/>
      <w:ind w:left="420"/>
      <w:jc w:val="both"/>
      <w:outlineLvl w:val="1"/>
    </w:pPr>
    <w:rPr>
      <w:rFonts w:ascii="宋体" w:hAnsi="宋体" w:eastAsia="宋体" w:cs="Times New Roman"/>
      <w:kern w:val="2"/>
      <w:sz w:val="21"/>
      <w:szCs w:val="21"/>
      <w:lang w:val="en-US" w:eastAsia="zh-CN" w:bidi="ar-SA"/>
    </w:rPr>
  </w:style>
  <w:style w:type="paragraph" w:customStyle="1" w:styleId="355">
    <w:name w:val="一级条标题"/>
    <w:next w:val="103"/>
    <w:qFormat/>
    <w:uiPriority w:val="0"/>
    <w:pPr>
      <w:numPr>
        <w:ilvl w:val="2"/>
        <w:numId w:val="31"/>
      </w:numPr>
      <w:outlineLvl w:val="2"/>
    </w:pPr>
    <w:rPr>
      <w:rFonts w:ascii="Times New Roman" w:hAnsi="Times New Roman" w:eastAsia="黑体" w:cs="Times New Roman"/>
      <w:sz w:val="21"/>
      <w:lang w:val="en-US" w:eastAsia="zh-CN" w:bidi="ar-SA"/>
    </w:rPr>
  </w:style>
  <w:style w:type="paragraph" w:customStyle="1" w:styleId="356">
    <w:name w:val="二级条标题"/>
    <w:basedOn w:val="355"/>
    <w:next w:val="103"/>
    <w:qFormat/>
    <w:uiPriority w:val="0"/>
    <w:pPr>
      <w:numPr>
        <w:ilvl w:val="3"/>
      </w:numPr>
    </w:pPr>
  </w:style>
  <w:style w:type="paragraph" w:customStyle="1" w:styleId="357">
    <w:name w:val="三级条标题"/>
    <w:basedOn w:val="356"/>
    <w:next w:val="103"/>
    <w:qFormat/>
    <w:uiPriority w:val="0"/>
    <w:pPr>
      <w:numPr>
        <w:ilvl w:val="0"/>
        <w:numId w:val="0"/>
      </w:numPr>
      <w:outlineLvl w:val="4"/>
    </w:pPr>
  </w:style>
  <w:style w:type="paragraph" w:customStyle="1" w:styleId="358">
    <w:name w:val="四级条标题"/>
    <w:basedOn w:val="357"/>
    <w:next w:val="103"/>
    <w:qFormat/>
    <w:uiPriority w:val="0"/>
    <w:pPr>
      <w:tabs>
        <w:tab w:val="left" w:pos="360"/>
      </w:tabs>
      <w:outlineLvl w:val="5"/>
    </w:pPr>
  </w:style>
  <w:style w:type="paragraph" w:customStyle="1" w:styleId="359">
    <w:name w:val="五级条标题"/>
    <w:basedOn w:val="358"/>
    <w:next w:val="103"/>
    <w:qFormat/>
    <w:uiPriority w:val="0"/>
  </w:style>
  <w:style w:type="paragraph" w:customStyle="1" w:styleId="360">
    <w:name w:val="注："/>
    <w:next w:val="103"/>
    <w:qFormat/>
    <w:uiPriority w:val="0"/>
    <w:pPr>
      <w:widowControl w:val="0"/>
      <w:numPr>
        <w:ilvl w:val="0"/>
        <w:numId w:val="32"/>
      </w:numPr>
      <w:tabs>
        <w:tab w:val="clear" w:pos="1140"/>
      </w:tabs>
      <w:autoSpaceDE w:val="0"/>
      <w:autoSpaceDN w:val="0"/>
      <w:jc w:val="both"/>
    </w:pPr>
    <w:rPr>
      <w:rFonts w:ascii="宋体" w:hAnsi="Times New Roman" w:eastAsia="宋体" w:cs="Times New Roman"/>
      <w:sz w:val="18"/>
      <w:lang w:val="en-US" w:eastAsia="zh-CN" w:bidi="ar-SA"/>
    </w:rPr>
  </w:style>
  <w:style w:type="paragraph" w:customStyle="1" w:styleId="361">
    <w:name w:val="注×："/>
    <w:qFormat/>
    <w:uiPriority w:val="0"/>
    <w:pPr>
      <w:widowControl w:val="0"/>
      <w:numPr>
        <w:ilvl w:val="0"/>
        <w:numId w:val="33"/>
      </w:numPr>
      <w:tabs>
        <w:tab w:val="left" w:pos="630"/>
        <w:tab w:val="clear" w:pos="900"/>
      </w:tabs>
      <w:autoSpaceDE w:val="0"/>
      <w:autoSpaceDN w:val="0"/>
      <w:jc w:val="both"/>
    </w:pPr>
    <w:rPr>
      <w:rFonts w:ascii="宋体" w:hAnsi="Times New Roman" w:eastAsia="宋体" w:cs="Times New Roman"/>
      <w:sz w:val="18"/>
      <w:lang w:val="en-US" w:eastAsia="zh-CN" w:bidi="ar-SA"/>
    </w:rPr>
  </w:style>
  <w:style w:type="paragraph" w:customStyle="1" w:styleId="362">
    <w:name w:val="目次、标准名称标题"/>
    <w:basedOn w:val="353"/>
    <w:next w:val="103"/>
    <w:qFormat/>
    <w:uiPriority w:val="0"/>
    <w:pPr>
      <w:spacing w:line="460" w:lineRule="exact"/>
    </w:pPr>
  </w:style>
  <w:style w:type="character" w:customStyle="1" w:styleId="363">
    <w:name w:val="正文文本缩进 2 字符"/>
    <w:link w:val="38"/>
    <w:qFormat/>
    <w:uiPriority w:val="0"/>
    <w:rPr>
      <w:kern w:val="2"/>
      <w:sz w:val="21"/>
      <w:szCs w:val="24"/>
    </w:rPr>
  </w:style>
  <w:style w:type="paragraph" w:customStyle="1" w:styleId="364">
    <w:name w:val="项目符号项1"/>
    <w:basedOn w:val="1"/>
    <w:qFormat/>
    <w:uiPriority w:val="0"/>
    <w:pPr>
      <w:tabs>
        <w:tab w:val="left" w:pos="425"/>
      </w:tabs>
      <w:ind w:left="850" w:hanging="340"/>
    </w:pPr>
    <w:rPr>
      <w:szCs w:val="20"/>
    </w:rPr>
  </w:style>
  <w:style w:type="paragraph" w:customStyle="1" w:styleId="365">
    <w:name w:val="页脚文字"/>
    <w:basedOn w:val="1"/>
    <w:qFormat/>
    <w:uiPriority w:val="0"/>
    <w:pPr>
      <w:pBdr>
        <w:top w:val="single" w:color="auto" w:sz="6" w:space="1"/>
      </w:pBdr>
      <w:ind w:firstLine="510"/>
    </w:pPr>
    <w:rPr>
      <w:szCs w:val="20"/>
    </w:rPr>
  </w:style>
  <w:style w:type="character" w:customStyle="1" w:styleId="366">
    <w:name w:val="正文文本缩进 3 字符"/>
    <w:link w:val="50"/>
    <w:qFormat/>
    <w:uiPriority w:val="0"/>
    <w:rPr>
      <w:kern w:val="2"/>
      <w:sz w:val="16"/>
      <w:szCs w:val="16"/>
    </w:rPr>
  </w:style>
  <w:style w:type="character" w:customStyle="1" w:styleId="367">
    <w:name w:val="批注框文本 字符"/>
    <w:link w:val="39"/>
    <w:qFormat/>
    <w:uiPriority w:val="0"/>
    <w:rPr>
      <w:kern w:val="2"/>
      <w:sz w:val="18"/>
      <w:szCs w:val="18"/>
    </w:rPr>
  </w:style>
  <w:style w:type="paragraph" w:customStyle="1" w:styleId="368">
    <w:name w:val="项目符号项2"/>
    <w:basedOn w:val="1"/>
    <w:qFormat/>
    <w:uiPriority w:val="0"/>
    <w:pPr>
      <w:ind w:left="1191" w:hanging="340"/>
    </w:pPr>
    <w:rPr>
      <w:szCs w:val="20"/>
    </w:rPr>
  </w:style>
  <w:style w:type="paragraph" w:customStyle="1" w:styleId="369">
    <w:name w:val="项目编号项1"/>
    <w:basedOn w:val="1"/>
    <w:qFormat/>
    <w:uiPriority w:val="0"/>
    <w:pPr>
      <w:tabs>
        <w:tab w:val="left" w:pos="964"/>
        <w:tab w:val="left" w:pos="1140"/>
      </w:tabs>
      <w:ind w:left="964" w:hanging="454"/>
    </w:pPr>
    <w:rPr>
      <w:szCs w:val="20"/>
    </w:rPr>
  </w:style>
  <w:style w:type="paragraph" w:customStyle="1" w:styleId="370">
    <w:name w:val="项目编号项2"/>
    <w:basedOn w:val="1"/>
    <w:qFormat/>
    <w:uiPriority w:val="0"/>
    <w:pPr>
      <w:tabs>
        <w:tab w:val="left" w:pos="900"/>
        <w:tab w:val="left" w:pos="1418"/>
      </w:tabs>
      <w:ind w:left="900" w:hanging="500"/>
    </w:pPr>
    <w:rPr>
      <w:szCs w:val="20"/>
    </w:rPr>
  </w:style>
  <w:style w:type="paragraph" w:customStyle="1" w:styleId="371">
    <w:name w:val="实施日期"/>
    <w:basedOn w:val="1"/>
    <w:qFormat/>
    <w:uiPriority w:val="0"/>
    <w:pPr>
      <w:framePr w:w="4000" w:h="473" w:hRule="exact" w:vSpace="180" w:wrap="around" w:vAnchor="margin" w:hAnchor="margin" w:xAlign="right" w:y="13511" w:anchorLock="1"/>
      <w:widowControl/>
      <w:jc w:val="right"/>
    </w:pPr>
    <w:rPr>
      <w:rFonts w:eastAsia="黑体"/>
      <w:kern w:val="0"/>
      <w:sz w:val="28"/>
      <w:szCs w:val="20"/>
    </w:rPr>
  </w:style>
  <w:style w:type="character" w:customStyle="1" w:styleId="372">
    <w:name w:val="文档结构图 字符"/>
    <w:link w:val="20"/>
    <w:qFormat/>
    <w:uiPriority w:val="0"/>
    <w:rPr>
      <w:kern w:val="2"/>
      <w:sz w:val="21"/>
      <w:szCs w:val="24"/>
      <w:shd w:val="clear" w:color="auto" w:fill="000080"/>
    </w:rPr>
  </w:style>
  <w:style w:type="character" w:customStyle="1" w:styleId="373">
    <w:name w:val="正文文本 2 字符"/>
    <w:basedOn w:val="67"/>
    <w:link w:val="54"/>
    <w:qFormat/>
    <w:uiPriority w:val="0"/>
    <w:rPr>
      <w:rFonts w:eastAsia="黑体"/>
      <w:b/>
      <w:bCs/>
      <w:spacing w:val="160"/>
      <w:kern w:val="2"/>
      <w:sz w:val="52"/>
      <w:szCs w:val="24"/>
    </w:rPr>
  </w:style>
  <w:style w:type="character" w:customStyle="1" w:styleId="374">
    <w:name w:val="正文文本首行缩进 字符"/>
    <w:basedOn w:val="241"/>
    <w:link w:val="61"/>
    <w:qFormat/>
    <w:uiPriority w:val="0"/>
    <w:rPr>
      <w:kern w:val="2"/>
      <w:sz w:val="21"/>
      <w:szCs w:val="24"/>
    </w:rPr>
  </w:style>
  <w:style w:type="character" w:customStyle="1" w:styleId="375">
    <w:name w:val="ZGSM"/>
    <w:qFormat/>
    <w:uiPriority w:val="0"/>
  </w:style>
  <w:style w:type="paragraph" w:customStyle="1" w:styleId="376">
    <w:name w:val="缺省文本"/>
    <w:basedOn w:val="1"/>
    <w:qFormat/>
    <w:uiPriority w:val="0"/>
    <w:pPr>
      <w:autoSpaceDE w:val="0"/>
      <w:autoSpaceDN w:val="0"/>
      <w:adjustRightInd w:val="0"/>
      <w:jc w:val="left"/>
    </w:pPr>
    <w:rPr>
      <w:kern w:val="0"/>
      <w:szCs w:val="20"/>
    </w:rPr>
  </w:style>
  <w:style w:type="paragraph" w:customStyle="1" w:styleId="377">
    <w:name w:val="正文 + 居中"/>
    <w:basedOn w:val="1"/>
    <w:qFormat/>
    <w:uiPriority w:val="0"/>
    <w:pPr>
      <w:spacing w:afterLines="50"/>
      <w:jc w:val="center"/>
    </w:pPr>
  </w:style>
  <w:style w:type="character" w:customStyle="1" w:styleId="378">
    <w:name w:val="批注主题 字符"/>
    <w:link w:val="60"/>
    <w:qFormat/>
    <w:uiPriority w:val="0"/>
    <w:rPr>
      <w:b/>
      <w:bCs/>
      <w:kern w:val="2"/>
      <w:sz w:val="21"/>
      <w:szCs w:val="24"/>
    </w:rPr>
  </w:style>
  <w:style w:type="paragraph" w:customStyle="1" w:styleId="379">
    <w:name w:val="标题 1 + 黑体 小四 加粗"/>
    <w:basedOn w:val="3"/>
    <w:next w:val="4"/>
    <w:qFormat/>
    <w:uiPriority w:val="0"/>
    <w:pPr>
      <w:numPr>
        <w:numId w:val="34"/>
      </w:numPr>
      <w:tabs>
        <w:tab w:val="left" w:pos="425"/>
      </w:tabs>
    </w:pPr>
    <w:rPr>
      <w:rFonts w:ascii="黑体" w:hAnsi="黑体" w:eastAsia="黑体"/>
      <w:bCs w:val="0"/>
      <w:sz w:val="28"/>
      <w:szCs w:val="30"/>
    </w:rPr>
  </w:style>
  <w:style w:type="paragraph" w:customStyle="1" w:styleId="380">
    <w:name w:val="封面抬头标题"/>
    <w:basedOn w:val="54"/>
    <w:qFormat/>
    <w:uiPriority w:val="0"/>
  </w:style>
  <w:style w:type="paragraph" w:customStyle="1" w:styleId="381">
    <w:name w:val="标准编号"/>
    <w:basedOn w:val="1"/>
    <w:qFormat/>
    <w:uiPriority w:val="0"/>
    <w:pPr>
      <w:jc w:val="center"/>
    </w:pPr>
    <w:rPr>
      <w:rFonts w:ascii="黑体" w:eastAsia="黑体"/>
      <w:b/>
      <w:bCs/>
      <w:sz w:val="30"/>
    </w:rPr>
  </w:style>
  <w:style w:type="paragraph" w:customStyle="1" w:styleId="382">
    <w:name w:val="封面中文名称"/>
    <w:basedOn w:val="25"/>
    <w:qFormat/>
    <w:uiPriority w:val="0"/>
    <w:pPr>
      <w:ind w:firstLine="360" w:firstLineChars="150"/>
    </w:pPr>
    <w:rPr>
      <w:rFonts w:cs="宋体"/>
      <w:color w:val="FF0000"/>
      <w:kern w:val="24"/>
      <w:lang w:bidi="hi-IN"/>
    </w:rPr>
  </w:style>
  <w:style w:type="paragraph" w:customStyle="1" w:styleId="383">
    <w:name w:val="封面英文名称"/>
    <w:basedOn w:val="25"/>
    <w:qFormat/>
    <w:uiPriority w:val="0"/>
    <w:pPr>
      <w:ind w:firstLine="360" w:firstLineChars="150"/>
    </w:pPr>
    <w:rPr>
      <w:rFonts w:cs="宋体"/>
      <w:color w:val="FF0000"/>
      <w:kern w:val="24"/>
      <w:lang w:bidi="hi-IN"/>
    </w:rPr>
  </w:style>
  <w:style w:type="paragraph" w:customStyle="1" w:styleId="384">
    <w:name w:val="封面版本号"/>
    <w:basedOn w:val="54"/>
    <w:qFormat/>
    <w:uiPriority w:val="0"/>
  </w:style>
  <w:style w:type="paragraph" w:customStyle="1" w:styleId="385">
    <w:name w:val="发布实施"/>
    <w:basedOn w:val="384"/>
    <w:qFormat/>
    <w:uiPriority w:val="0"/>
  </w:style>
  <w:style w:type="paragraph" w:customStyle="1" w:styleId="386">
    <w:name w:val="封面公司名称"/>
    <w:basedOn w:val="1"/>
    <w:qFormat/>
    <w:uiPriority w:val="0"/>
    <w:rPr>
      <w:rFonts w:ascii="黑体" w:eastAsia="黑体"/>
      <w:b/>
      <w:bCs/>
      <w:sz w:val="36"/>
    </w:rPr>
  </w:style>
  <w:style w:type="paragraph" w:customStyle="1" w:styleId="387">
    <w:name w:val="Char Char1 Char Char"/>
    <w:basedOn w:val="20"/>
    <w:qFormat/>
    <w:uiPriority w:val="0"/>
  </w:style>
  <w:style w:type="paragraph" w:customStyle="1" w:styleId="388">
    <w:name w:val="标准正文"/>
    <w:qFormat/>
    <w:uiPriority w:val="0"/>
    <w:pPr>
      <w:widowControl w:val="0"/>
      <w:ind w:firstLine="420" w:firstLineChars="200"/>
      <w:jc w:val="both"/>
    </w:pPr>
    <w:rPr>
      <w:rFonts w:ascii="Times New Roman" w:hAnsi="Times New Roman" w:eastAsia="宋体" w:cs="Times New Roman"/>
      <w:snapToGrid w:val="0"/>
      <w:sz w:val="21"/>
      <w:szCs w:val="21"/>
      <w:lang w:val="en-US" w:eastAsia="zh-CN" w:bidi="ar-SA"/>
    </w:rPr>
  </w:style>
  <w:style w:type="character" w:customStyle="1" w:styleId="389">
    <w:name w:val="标题 字符"/>
    <w:link w:val="59"/>
    <w:qFormat/>
    <w:uiPriority w:val="0"/>
    <w:rPr>
      <w:rFonts w:ascii="Arial" w:hAnsi="Arial" w:cs="Arial"/>
      <w:b/>
      <w:bCs/>
      <w:kern w:val="2"/>
      <w:sz w:val="32"/>
      <w:szCs w:val="32"/>
    </w:rPr>
  </w:style>
  <w:style w:type="paragraph" w:customStyle="1" w:styleId="390">
    <w:name w:val="样式 标题 1H1NMP Heading 1 + 黑体 五号 非加粗"/>
    <w:basedOn w:val="3"/>
    <w:qFormat/>
    <w:uiPriority w:val="0"/>
    <w:pPr>
      <w:numPr>
        <w:numId w:val="0"/>
      </w:numPr>
      <w:tabs>
        <w:tab w:val="left" w:pos="432"/>
      </w:tabs>
      <w:ind w:left="432" w:hanging="432"/>
    </w:pPr>
    <w:rPr>
      <w:rFonts w:ascii="黑体" w:hAnsi="黑体" w:eastAsia="黑体"/>
      <w:b w:val="0"/>
      <w:bCs w:val="0"/>
      <w:sz w:val="21"/>
      <w:szCs w:val="21"/>
    </w:rPr>
  </w:style>
  <w:style w:type="paragraph" w:customStyle="1" w:styleId="391">
    <w:name w:val="列项·"/>
    <w:qFormat/>
    <w:uiPriority w:val="0"/>
    <w:pPr>
      <w:tabs>
        <w:tab w:val="left" w:pos="840"/>
        <w:tab w:val="left" w:pos="1260"/>
      </w:tabs>
      <w:ind w:left="1260" w:hanging="780"/>
      <w:jc w:val="both"/>
    </w:pPr>
    <w:rPr>
      <w:rFonts w:ascii="宋体" w:hAnsi="Times New Roman" w:eastAsia="宋体" w:cs="Times New Roman"/>
      <w:sz w:val="21"/>
      <w:lang w:val="en-US" w:eastAsia="zh-CN" w:bidi="ar-SA"/>
    </w:rPr>
  </w:style>
  <w:style w:type="paragraph" w:customStyle="1" w:styleId="392">
    <w:name w:val="Char Char2"/>
    <w:basedOn w:val="20"/>
    <w:qFormat/>
    <w:uiPriority w:val="0"/>
  </w:style>
  <w:style w:type="character" w:customStyle="1" w:styleId="393">
    <w:name w:val="脚注文本 字符"/>
    <w:basedOn w:val="67"/>
    <w:link w:val="47"/>
    <w:qFormat/>
    <w:uiPriority w:val="0"/>
    <w:rPr>
      <w:kern w:val="2"/>
      <w:sz w:val="18"/>
      <w:szCs w:val="18"/>
    </w:rPr>
  </w:style>
  <w:style w:type="character" w:customStyle="1" w:styleId="394">
    <w:name w:val="word"/>
    <w:basedOn w:val="67"/>
    <w:qFormat/>
    <w:uiPriority w:val="0"/>
  </w:style>
  <w:style w:type="paragraph" w:customStyle="1" w:styleId="395">
    <w:name w:val="QB前沿"/>
    <w:basedOn w:val="1"/>
    <w:qFormat/>
    <w:uiPriority w:val="0"/>
    <w:pPr>
      <w:keepNext/>
      <w:keepLines/>
      <w:spacing w:before="340" w:after="330" w:line="578" w:lineRule="auto"/>
      <w:jc w:val="center"/>
      <w:outlineLvl w:val="0"/>
    </w:pPr>
    <w:rPr>
      <w:rFonts w:ascii="黑体" w:eastAsia="黑体"/>
      <w:bCs/>
      <w:kern w:val="44"/>
      <w:sz w:val="32"/>
    </w:rPr>
  </w:style>
  <w:style w:type="paragraph" w:customStyle="1" w:styleId="396">
    <w:name w:val="QB表内文字"/>
    <w:basedOn w:val="103"/>
    <w:qFormat/>
    <w:uiPriority w:val="0"/>
    <w:pPr>
      <w:widowControl w:val="0"/>
      <w:ind w:firstLine="0" w:firstLineChars="0"/>
    </w:pPr>
  </w:style>
  <w:style w:type="paragraph" w:customStyle="1" w:styleId="397">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398">
    <w:name w:val="标准书脚_偶数页"/>
    <w:qFormat/>
    <w:uiPriority w:val="0"/>
    <w:pPr>
      <w:spacing w:before="120"/>
    </w:pPr>
    <w:rPr>
      <w:rFonts w:ascii="Times New Roman" w:hAnsi="Times New Roman" w:eastAsia="宋体" w:cs="Times New Roman"/>
      <w:sz w:val="18"/>
      <w:lang w:val="en-US" w:eastAsia="zh-CN" w:bidi="ar-SA"/>
    </w:rPr>
  </w:style>
  <w:style w:type="paragraph" w:customStyle="1" w:styleId="399">
    <w:name w:val="标准书脚_奇数页"/>
    <w:qFormat/>
    <w:uiPriority w:val="0"/>
    <w:pPr>
      <w:spacing w:before="120"/>
      <w:jc w:val="right"/>
    </w:pPr>
    <w:rPr>
      <w:rFonts w:ascii="Times New Roman" w:hAnsi="Times New Roman" w:eastAsia="宋体" w:cs="Times New Roman"/>
      <w:sz w:val="18"/>
      <w:lang w:val="en-US" w:eastAsia="zh-CN" w:bidi="ar-SA"/>
    </w:rPr>
  </w:style>
  <w:style w:type="paragraph" w:customStyle="1" w:styleId="400">
    <w:name w:val="标准书眉_奇数页"/>
    <w:next w:val="1"/>
    <w:qFormat/>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401">
    <w:name w:val="标准书眉_偶数页"/>
    <w:basedOn w:val="400"/>
    <w:next w:val="1"/>
    <w:qFormat/>
    <w:uiPriority w:val="0"/>
    <w:pPr>
      <w:jc w:val="left"/>
    </w:pPr>
  </w:style>
  <w:style w:type="paragraph" w:customStyle="1" w:styleId="402">
    <w:name w:val="标准书眉一"/>
    <w:qFormat/>
    <w:uiPriority w:val="0"/>
    <w:pPr>
      <w:jc w:val="both"/>
    </w:pPr>
    <w:rPr>
      <w:rFonts w:ascii="Times New Roman" w:hAnsi="Times New Roman" w:eastAsia="宋体" w:cs="Times New Roman"/>
      <w:lang w:val="en-US" w:eastAsia="zh-CN" w:bidi="ar-SA"/>
    </w:rPr>
  </w:style>
  <w:style w:type="character" w:customStyle="1" w:styleId="403">
    <w:name w:val="发布"/>
    <w:qFormat/>
    <w:uiPriority w:val="0"/>
    <w:rPr>
      <w:rFonts w:ascii="黑体" w:eastAsia="黑体"/>
      <w:spacing w:val="22"/>
      <w:w w:val="100"/>
      <w:position w:val="3"/>
      <w:sz w:val="28"/>
    </w:rPr>
  </w:style>
  <w:style w:type="paragraph" w:customStyle="1" w:styleId="404">
    <w:name w:val="发布日期"/>
    <w:qFormat/>
    <w:uiPriority w:val="0"/>
    <w:pPr>
      <w:framePr w:w="4000" w:h="473" w:hRule="exact" w:hSpace="180" w:vSpace="180" w:wrap="around" w:vAnchor="margin" w:hAnchor="margin" w:y="13511" w:anchorLock="1"/>
    </w:pPr>
    <w:rPr>
      <w:rFonts w:ascii="Times New Roman" w:hAnsi="Times New Roman" w:eastAsia="黑体" w:cs="Times New Roman"/>
      <w:sz w:val="28"/>
      <w:lang w:val="en-US" w:eastAsia="zh-CN" w:bidi="ar-SA"/>
    </w:rPr>
  </w:style>
  <w:style w:type="paragraph" w:customStyle="1" w:styleId="405">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406">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407">
    <w:name w:val="封面标准文稿编辑信息"/>
    <w:qFormat/>
    <w:uiPriority w:val="0"/>
    <w:pPr>
      <w:spacing w:before="180" w:line="180" w:lineRule="exact"/>
      <w:jc w:val="center"/>
    </w:pPr>
    <w:rPr>
      <w:rFonts w:ascii="宋体" w:hAnsi="Times New Roman" w:eastAsia="宋体" w:cs="Times New Roman"/>
      <w:sz w:val="21"/>
      <w:lang w:val="en-US" w:eastAsia="zh-CN" w:bidi="ar-SA"/>
    </w:rPr>
  </w:style>
  <w:style w:type="paragraph" w:customStyle="1" w:styleId="408">
    <w:name w:val="封面标准文稿类别"/>
    <w:qFormat/>
    <w:uiPriority w:val="0"/>
    <w:pPr>
      <w:spacing w:before="440" w:line="400" w:lineRule="exact"/>
      <w:jc w:val="center"/>
    </w:pPr>
    <w:rPr>
      <w:rFonts w:ascii="宋体" w:hAnsi="Times New Roman" w:eastAsia="宋体" w:cs="Times New Roman"/>
      <w:sz w:val="24"/>
      <w:lang w:val="en-US" w:eastAsia="zh-CN" w:bidi="ar-SA"/>
    </w:rPr>
  </w:style>
  <w:style w:type="paragraph" w:customStyle="1" w:styleId="409">
    <w:name w:val="封面标准英文名称"/>
    <w:qFormat/>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410">
    <w:name w:val="封面一致性程度标识"/>
    <w:qFormat/>
    <w:uiPriority w:val="0"/>
    <w:pPr>
      <w:spacing w:before="440" w:line="400" w:lineRule="exact"/>
      <w:jc w:val="center"/>
    </w:pPr>
    <w:rPr>
      <w:rFonts w:ascii="宋体" w:hAnsi="Times New Roman" w:eastAsia="宋体" w:cs="Times New Roman"/>
      <w:sz w:val="28"/>
      <w:lang w:val="en-US" w:eastAsia="zh-CN" w:bidi="ar-SA"/>
    </w:rPr>
  </w:style>
  <w:style w:type="paragraph" w:customStyle="1" w:styleId="411">
    <w:name w:val="封面正文"/>
    <w:qFormat/>
    <w:uiPriority w:val="0"/>
    <w:pPr>
      <w:jc w:val="both"/>
    </w:pPr>
    <w:rPr>
      <w:rFonts w:ascii="Times New Roman" w:hAnsi="Times New Roman" w:eastAsia="宋体" w:cs="Times New Roman"/>
      <w:lang w:val="en-US" w:eastAsia="zh-CN" w:bidi="ar-SA"/>
    </w:rPr>
  </w:style>
  <w:style w:type="paragraph" w:customStyle="1" w:styleId="412">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413">
    <w:name w:val="其他发布部门"/>
    <w:basedOn w:val="1"/>
    <w:qFormat/>
    <w:uiPriority w:val="0"/>
    <w:pPr>
      <w:framePr w:w="7433" w:h="585" w:hRule="exact" w:hSpace="180" w:vSpace="180" w:wrap="around" w:vAnchor="margin" w:hAnchor="margin" w:xAlign="center" w:y="14401" w:anchorLock="1"/>
      <w:widowControl/>
      <w:spacing w:line="0" w:lineRule="atLeast"/>
      <w:jc w:val="center"/>
    </w:pPr>
    <w:rPr>
      <w:rFonts w:ascii="黑体" w:eastAsia="黑体"/>
      <w:spacing w:val="20"/>
      <w:w w:val="135"/>
      <w:kern w:val="0"/>
      <w:sz w:val="36"/>
      <w:szCs w:val="20"/>
    </w:rPr>
  </w:style>
  <w:style w:type="paragraph" w:customStyle="1" w:styleId="414">
    <w:name w:val="文献分类号"/>
    <w:qFormat/>
    <w:uiPriority w:val="0"/>
    <w:pPr>
      <w:framePr w:hSpace="180" w:vSpace="180" w:wrap="around" w:vAnchor="margin" w:hAnchor="margin" w:y="1" w:anchorLock="1"/>
      <w:widowControl w:val="0"/>
      <w:textAlignment w:val="center"/>
    </w:pPr>
    <w:rPr>
      <w:rFonts w:ascii="Times New Roman" w:hAnsi="Times New Roman" w:eastAsia="黑体" w:cs="Times New Roman"/>
      <w:sz w:val="21"/>
      <w:lang w:val="en-US" w:eastAsia="zh-CN" w:bidi="ar-SA"/>
    </w:rPr>
  </w:style>
  <w:style w:type="paragraph" w:customStyle="1" w:styleId="415">
    <w:name w:val="表格文本"/>
    <w:qFormat/>
    <w:uiPriority w:val="0"/>
    <w:pPr>
      <w:tabs>
        <w:tab w:val="decimal" w:pos="0"/>
      </w:tabs>
    </w:pPr>
    <w:rPr>
      <w:rFonts w:ascii="Arial" w:hAnsi="Arial" w:eastAsia="宋体" w:cs="Times New Roman"/>
      <w:sz w:val="21"/>
      <w:szCs w:val="21"/>
      <w:lang w:val="en-US" w:eastAsia="zh-CN" w:bidi="ar-SA"/>
    </w:rPr>
  </w:style>
  <w:style w:type="paragraph" w:customStyle="1" w:styleId="416">
    <w:name w:val="InfoBlue"/>
    <w:basedOn w:val="1"/>
    <w:next w:val="25"/>
    <w:qFormat/>
    <w:uiPriority w:val="0"/>
    <w:pPr>
      <w:spacing w:after="120" w:line="240" w:lineRule="atLeast"/>
      <w:ind w:left="720"/>
      <w:jc w:val="left"/>
    </w:pPr>
    <w:rPr>
      <w:rFonts w:ascii="宋体"/>
      <w:i/>
      <w:snapToGrid w:val="0"/>
      <w:color w:val="0000FF"/>
      <w:kern w:val="0"/>
      <w:sz w:val="20"/>
      <w:szCs w:val="20"/>
    </w:rPr>
  </w:style>
  <w:style w:type="paragraph" w:customStyle="1" w:styleId="417">
    <w:name w:val="State Head"/>
    <w:basedOn w:val="1"/>
    <w:qFormat/>
    <w:uiPriority w:val="0"/>
    <w:pPr>
      <w:keepNext/>
      <w:widowControl/>
      <w:spacing w:before="240"/>
    </w:pPr>
    <w:rPr>
      <w:rFonts w:ascii="Arial" w:hAnsi="Arial"/>
      <w:b/>
      <w:kern w:val="0"/>
      <w:szCs w:val="20"/>
      <w:u w:val="single"/>
    </w:rPr>
  </w:style>
  <w:style w:type="character" w:customStyle="1" w:styleId="418">
    <w:name w:val="宏文本 字符"/>
    <w:basedOn w:val="67"/>
    <w:link w:val="2"/>
    <w:qFormat/>
    <w:uiPriority w:val="0"/>
    <w:rPr>
      <w:rFonts w:ascii="Courier New" w:hAnsi="Courier New"/>
      <w:kern w:val="2"/>
      <w:sz w:val="24"/>
      <w:lang w:val="en-US" w:eastAsia="zh-CN" w:bidi="ar-SA"/>
    </w:rPr>
  </w:style>
  <w:style w:type="paragraph" w:customStyle="1" w:styleId="419">
    <w:name w:val="正文2"/>
    <w:basedOn w:val="1"/>
    <w:qFormat/>
    <w:uiPriority w:val="0"/>
    <w:pPr>
      <w:ind w:firstLine="425"/>
    </w:pPr>
    <w:rPr>
      <w:szCs w:val="20"/>
    </w:rPr>
  </w:style>
  <w:style w:type="character" w:customStyle="1" w:styleId="420">
    <w:name w:val="称呼 字符"/>
    <w:basedOn w:val="67"/>
    <w:link w:val="23"/>
    <w:qFormat/>
    <w:uiPriority w:val="0"/>
    <w:rPr>
      <w:kern w:val="2"/>
      <w:sz w:val="21"/>
    </w:rPr>
  </w:style>
  <w:style w:type="paragraph" w:customStyle="1" w:styleId="421">
    <w:name w:val="图片说明"/>
    <w:basedOn w:val="1"/>
    <w:next w:val="1"/>
    <w:qFormat/>
    <w:uiPriority w:val="0"/>
    <w:pPr>
      <w:keepLines/>
      <w:widowControl/>
      <w:tabs>
        <w:tab w:val="left" w:pos="1575"/>
      </w:tabs>
      <w:spacing w:after="240"/>
      <w:jc w:val="center"/>
      <w:outlineLvl w:val="0"/>
    </w:pPr>
    <w:rPr>
      <w:szCs w:val="20"/>
    </w:rPr>
  </w:style>
  <w:style w:type="character" w:customStyle="1" w:styleId="422">
    <w:name w:val="副标题 字符"/>
    <w:basedOn w:val="67"/>
    <w:link w:val="44"/>
    <w:qFormat/>
    <w:uiPriority w:val="0"/>
    <w:rPr>
      <w:rFonts w:ascii="Arial" w:hAnsi="Arial"/>
      <w:b/>
      <w:kern w:val="28"/>
      <w:sz w:val="32"/>
    </w:rPr>
  </w:style>
  <w:style w:type="paragraph" w:customStyle="1" w:styleId="423">
    <w:name w:val="Style 2"/>
    <w:basedOn w:val="1"/>
    <w:qFormat/>
    <w:uiPriority w:val="0"/>
    <w:pPr>
      <w:autoSpaceDE w:val="0"/>
      <w:autoSpaceDN w:val="0"/>
      <w:jc w:val="center"/>
    </w:pPr>
    <w:rPr>
      <w:kern w:val="0"/>
    </w:rPr>
  </w:style>
  <w:style w:type="paragraph" w:customStyle="1" w:styleId="424">
    <w:name w:val="Char11"/>
    <w:basedOn w:val="1"/>
    <w:qFormat/>
    <w:uiPriority w:val="0"/>
    <w:pPr>
      <w:keepNext/>
      <w:autoSpaceDE w:val="0"/>
      <w:autoSpaceDN w:val="0"/>
      <w:adjustRightInd w:val="0"/>
      <w:snapToGrid w:val="0"/>
      <w:spacing w:line="300" w:lineRule="auto"/>
      <w:jc w:val="left"/>
    </w:pPr>
    <w:rPr>
      <w:kern w:val="0"/>
    </w:rPr>
  </w:style>
  <w:style w:type="paragraph" w:customStyle="1" w:styleId="425">
    <w:name w:val="Table_Text"/>
    <w:basedOn w:val="103"/>
    <w:qFormat/>
    <w:uiPriority w:val="0"/>
    <w:pPr>
      <w:widowControl w:val="0"/>
      <w:adjustRightInd w:val="0"/>
      <w:ind w:firstLine="0" w:firstLineChars="0"/>
    </w:pPr>
    <w:rPr>
      <w:rFonts w:ascii="Times New Roman"/>
      <w:color w:val="000000"/>
      <w:kern w:val="2"/>
      <w:szCs w:val="24"/>
    </w:rPr>
  </w:style>
  <w:style w:type="paragraph" w:customStyle="1" w:styleId="426">
    <w:name w:val="NO"/>
    <w:basedOn w:val="1"/>
    <w:link w:val="427"/>
    <w:qFormat/>
    <w:uiPriority w:val="0"/>
    <w:pPr>
      <w:keepLines/>
      <w:widowControl/>
      <w:spacing w:after="180"/>
      <w:ind w:left="1135" w:hanging="851"/>
      <w:jc w:val="left"/>
    </w:pPr>
    <w:rPr>
      <w:kern w:val="0"/>
      <w:sz w:val="20"/>
      <w:szCs w:val="20"/>
      <w:lang w:val="en-GB" w:eastAsia="en-US"/>
    </w:rPr>
  </w:style>
  <w:style w:type="character" w:customStyle="1" w:styleId="427">
    <w:name w:val="NO Zchn"/>
    <w:link w:val="426"/>
    <w:qFormat/>
    <w:uiPriority w:val="0"/>
    <w:rPr>
      <w:lang w:val="en-GB" w:eastAsia="en-US"/>
    </w:rPr>
  </w:style>
  <w:style w:type="character" w:customStyle="1" w:styleId="428">
    <w:name w:val="sh141"/>
    <w:qFormat/>
    <w:uiPriority w:val="0"/>
    <w:rPr>
      <w:color w:val="2B2B2B"/>
      <w:sz w:val="21"/>
      <w:szCs w:val="21"/>
    </w:rPr>
  </w:style>
  <w:style w:type="paragraph" w:customStyle="1" w:styleId="429">
    <w:name w:val="Char Char11"/>
    <w:basedOn w:val="20"/>
    <w:qFormat/>
    <w:uiPriority w:val="0"/>
    <w:pPr>
      <w:adjustRightInd w:val="0"/>
      <w:spacing w:line="436" w:lineRule="exact"/>
      <w:ind w:left="357"/>
      <w:jc w:val="left"/>
      <w:outlineLvl w:val="3"/>
    </w:pPr>
    <w:rPr>
      <w:rFonts w:ascii="Tahoma" w:hAnsi="Tahoma"/>
      <w:b/>
    </w:rPr>
  </w:style>
  <w:style w:type="paragraph" w:customStyle="1" w:styleId="430">
    <w:name w:val="作者"/>
    <w:basedOn w:val="1"/>
    <w:qFormat/>
    <w:uiPriority w:val="0"/>
    <w:pPr>
      <w:widowControl/>
      <w:jc w:val="center"/>
    </w:pPr>
    <w:rPr>
      <w:kern w:val="0"/>
      <w:lang w:eastAsia="de-DE"/>
    </w:rPr>
  </w:style>
  <w:style w:type="paragraph" w:customStyle="1" w:styleId="431">
    <w:name w:val="样式2居中"/>
    <w:basedOn w:val="1"/>
    <w:qFormat/>
    <w:uiPriority w:val="0"/>
    <w:pPr>
      <w:widowControl/>
      <w:tabs>
        <w:tab w:val="left" w:pos="480"/>
      </w:tabs>
      <w:jc w:val="center"/>
    </w:pPr>
    <w:rPr>
      <w:kern w:val="0"/>
    </w:rPr>
  </w:style>
  <w:style w:type="paragraph" w:customStyle="1" w:styleId="432">
    <w:name w:val="标题2"/>
    <w:basedOn w:val="1"/>
    <w:qFormat/>
    <w:uiPriority w:val="0"/>
    <w:pPr>
      <w:keepNext/>
      <w:widowControl/>
      <w:tabs>
        <w:tab w:val="left" w:pos="480"/>
        <w:tab w:val="left" w:pos="992"/>
        <w:tab w:val="left" w:pos="7200"/>
      </w:tabs>
      <w:spacing w:before="240" w:after="60"/>
      <w:ind w:left="992" w:hanging="708"/>
      <w:jc w:val="left"/>
      <w:outlineLvl w:val="1"/>
    </w:pPr>
    <w:rPr>
      <w:rFonts w:ascii="宋体" w:hAnsi="宋体" w:cs="宋体"/>
      <w:b/>
      <w:bCs/>
      <w:kern w:val="0"/>
      <w:szCs w:val="20"/>
      <w:lang w:eastAsia="de-DE"/>
    </w:rPr>
  </w:style>
  <w:style w:type="paragraph" w:customStyle="1" w:styleId="433">
    <w:name w:val="标题1"/>
    <w:basedOn w:val="1"/>
    <w:qFormat/>
    <w:uiPriority w:val="0"/>
    <w:pPr>
      <w:widowControl/>
      <w:spacing w:beforeLines="50" w:afterLines="50"/>
      <w:jc w:val="left"/>
      <w:outlineLvl w:val="1"/>
    </w:pPr>
    <w:rPr>
      <w:rFonts w:ascii="宋体" w:hAnsi="宋体"/>
      <w:b/>
      <w:kern w:val="0"/>
      <w:szCs w:val="20"/>
      <w:lang w:eastAsia="de-DE"/>
    </w:rPr>
  </w:style>
  <w:style w:type="paragraph" w:customStyle="1" w:styleId="434">
    <w:name w:val="章标题1"/>
    <w:basedOn w:val="1"/>
    <w:qFormat/>
    <w:uiPriority w:val="0"/>
    <w:pPr>
      <w:widowControl/>
      <w:spacing w:beforeLines="50" w:after="156"/>
      <w:jc w:val="left"/>
      <w:outlineLvl w:val="1"/>
    </w:pPr>
    <w:rPr>
      <w:rFonts w:ascii="宋体" w:hAnsi="宋体"/>
      <w:b/>
      <w:bCs/>
      <w:kern w:val="0"/>
      <w:sz w:val="30"/>
      <w:szCs w:val="20"/>
      <w:lang w:eastAsia="de-DE"/>
    </w:rPr>
  </w:style>
  <w:style w:type="paragraph" w:customStyle="1" w:styleId="435">
    <w:name w:val="条标题"/>
    <w:basedOn w:val="1"/>
    <w:qFormat/>
    <w:uiPriority w:val="0"/>
    <w:pPr>
      <w:widowControl/>
      <w:ind w:left="105"/>
      <w:jc w:val="left"/>
      <w:outlineLvl w:val="2"/>
    </w:pPr>
    <w:rPr>
      <w:rFonts w:ascii="宋体" w:cs="宋体"/>
      <w:b/>
      <w:kern w:val="0"/>
      <w:lang w:eastAsia="de-DE"/>
    </w:rPr>
  </w:style>
  <w:style w:type="paragraph" w:customStyle="1" w:styleId="436">
    <w:name w:val="首行缩进2字符"/>
    <w:basedOn w:val="1"/>
    <w:qFormat/>
    <w:uiPriority w:val="0"/>
    <w:pPr>
      <w:widowControl/>
      <w:tabs>
        <w:tab w:val="left" w:pos="-2340"/>
      </w:tabs>
      <w:ind w:left="756" w:leftChars="200" w:hanging="336" w:hangingChars="160"/>
      <w:jc w:val="left"/>
    </w:pPr>
    <w:rPr>
      <w:kern w:val="0"/>
      <w:lang w:eastAsia="de-DE"/>
    </w:rPr>
  </w:style>
  <w:style w:type="paragraph" w:customStyle="1" w:styleId="437">
    <w:name w:val="样式 列表编号 2 + 段前: 0.5 行"/>
    <w:basedOn w:val="14"/>
    <w:qFormat/>
    <w:uiPriority w:val="0"/>
    <w:pPr>
      <w:widowControl/>
      <w:tabs>
        <w:tab w:val="clear" w:pos="780"/>
      </w:tabs>
      <w:adjustRightInd/>
      <w:snapToGrid/>
      <w:ind w:left="0" w:leftChars="0" w:firstLine="0" w:firstLineChars="0"/>
      <w:jc w:val="left"/>
    </w:pPr>
    <w:rPr>
      <w:rFonts w:ascii="Times New Roman" w:cs="宋体"/>
      <w:b/>
      <w:kern w:val="0"/>
      <w:sz w:val="21"/>
      <w:szCs w:val="20"/>
      <w:lang w:eastAsia="de-DE"/>
    </w:rPr>
  </w:style>
  <w:style w:type="paragraph" w:customStyle="1" w:styleId="438">
    <w:name w:val="编号"/>
    <w:basedOn w:val="1"/>
    <w:qFormat/>
    <w:uiPriority w:val="0"/>
    <w:pPr>
      <w:widowControl/>
      <w:numPr>
        <w:ilvl w:val="0"/>
        <w:numId w:val="35"/>
      </w:numPr>
      <w:jc w:val="left"/>
    </w:pPr>
    <w:rPr>
      <w:kern w:val="0"/>
      <w:lang w:eastAsia="de-DE"/>
    </w:rPr>
  </w:style>
  <w:style w:type="paragraph" w:customStyle="1" w:styleId="439">
    <w:name w:val="编号－1"/>
    <w:basedOn w:val="1"/>
    <w:qFormat/>
    <w:uiPriority w:val="0"/>
    <w:pPr>
      <w:widowControl/>
      <w:numPr>
        <w:ilvl w:val="0"/>
        <w:numId w:val="36"/>
      </w:numPr>
      <w:jc w:val="left"/>
    </w:pPr>
    <w:rPr>
      <w:kern w:val="0"/>
      <w:lang w:eastAsia="de-DE"/>
    </w:rPr>
  </w:style>
  <w:style w:type="character" w:customStyle="1" w:styleId="440">
    <w:name w:val="样式 三号 加粗"/>
    <w:qFormat/>
    <w:uiPriority w:val="0"/>
    <w:rPr>
      <w:rFonts w:ascii="Times New Roman" w:hAnsi="Times New Roman" w:eastAsia="宋体"/>
      <w:b/>
      <w:bCs/>
      <w:sz w:val="32"/>
      <w:lang w:eastAsia="zh-CN"/>
    </w:rPr>
  </w:style>
  <w:style w:type="paragraph" w:customStyle="1" w:styleId="441">
    <w:name w:val="样式 图表标题 + 段后: 0.5 行"/>
    <w:basedOn w:val="17"/>
    <w:qFormat/>
    <w:uiPriority w:val="0"/>
    <w:pPr>
      <w:widowControl/>
      <w:tabs>
        <w:tab w:val="left" w:pos="480"/>
        <w:tab w:val="left" w:pos="7200"/>
        <w:tab w:val="left" w:pos="8160"/>
      </w:tabs>
      <w:spacing w:before="152" w:after="156"/>
      <w:ind w:firstLine="0" w:firstLineChars="0"/>
      <w:jc w:val="center"/>
    </w:pPr>
    <w:rPr>
      <w:rFonts w:eastAsia="黑体" w:cs="宋体"/>
      <w:kern w:val="0"/>
      <w:szCs w:val="20"/>
      <w:lang w:eastAsia="de-DE"/>
    </w:rPr>
  </w:style>
  <w:style w:type="paragraph" w:customStyle="1" w:styleId="442">
    <w:name w:val="TT"/>
    <w:basedOn w:val="3"/>
    <w:next w:val="1"/>
    <w:qFormat/>
    <w:uiPriority w:val="0"/>
    <w:pPr>
      <w:widowControl/>
      <w:numPr>
        <w:numId w:val="0"/>
      </w:numPr>
      <w:pBdr>
        <w:top w:val="single" w:color="auto" w:sz="12" w:space="3"/>
      </w:pBdr>
      <w:overflowPunct w:val="0"/>
      <w:autoSpaceDE w:val="0"/>
      <w:autoSpaceDN w:val="0"/>
      <w:spacing w:beforeLines="50" w:after="180" w:line="240" w:lineRule="auto"/>
      <w:textAlignment w:val="baseline"/>
      <w:outlineLvl w:val="9"/>
    </w:pPr>
    <w:rPr>
      <w:rFonts w:ascii="Arial" w:hAnsi="Arial" w:eastAsia="黑体"/>
      <w:bCs w:val="0"/>
      <w:kern w:val="0"/>
      <w:sz w:val="36"/>
      <w:szCs w:val="20"/>
      <w:lang w:val="en-GB" w:eastAsia="en-US"/>
    </w:rPr>
  </w:style>
  <w:style w:type="paragraph" w:customStyle="1" w:styleId="443">
    <w:name w:val="样式 标题 2H2h2h21Heading TwoR2Head2A2heading8 + 段后: 7.8 磅"/>
    <w:basedOn w:val="4"/>
    <w:qFormat/>
    <w:uiPriority w:val="0"/>
    <w:pPr>
      <w:keepLines w:val="0"/>
      <w:widowControl/>
      <w:spacing w:beforeLines="50" w:after="156"/>
    </w:pPr>
    <w:rPr>
      <w:rFonts w:cs="宋体"/>
      <w:b w:val="0"/>
      <w:kern w:val="0"/>
      <w:sz w:val="21"/>
      <w:szCs w:val="20"/>
      <w:lang w:eastAsia="de-DE"/>
    </w:rPr>
  </w:style>
  <w:style w:type="paragraph" w:customStyle="1" w:styleId="444">
    <w:name w:val="样式 样式3 + 段后: 0.5 行"/>
    <w:basedOn w:val="334"/>
    <w:qFormat/>
    <w:uiPriority w:val="0"/>
    <w:pPr>
      <w:widowControl/>
      <w:spacing w:afterLines="50" w:line="240" w:lineRule="auto"/>
      <w:jc w:val="left"/>
    </w:pPr>
    <w:rPr>
      <w:rFonts w:ascii="Times New Roman" w:hAnsi="Times New Roman" w:cs="宋体"/>
      <w:szCs w:val="20"/>
      <w:lang w:eastAsia="de-DE"/>
    </w:rPr>
  </w:style>
  <w:style w:type="paragraph" w:customStyle="1" w:styleId="445">
    <w:name w:val="样式 段后: 0.5 行"/>
    <w:basedOn w:val="1"/>
    <w:qFormat/>
    <w:uiPriority w:val="0"/>
    <w:pPr>
      <w:widowControl/>
      <w:jc w:val="left"/>
    </w:pPr>
    <w:rPr>
      <w:rFonts w:cs="宋体"/>
      <w:kern w:val="0"/>
      <w:szCs w:val="20"/>
      <w:lang w:eastAsia="de-DE"/>
    </w:rPr>
  </w:style>
  <w:style w:type="paragraph" w:customStyle="1" w:styleId="446">
    <w:name w:val="样式 标题 1NMP Heading 1H1h1Huvudrubrik + 两端对齐 段后: 0.5 行"/>
    <w:basedOn w:val="3"/>
    <w:qFormat/>
    <w:uiPriority w:val="0"/>
    <w:pPr>
      <w:widowControl/>
      <w:numPr>
        <w:numId w:val="37"/>
      </w:numPr>
      <w:tabs>
        <w:tab w:val="left" w:pos="8160"/>
      </w:tabs>
      <w:spacing w:beforeLines="50" w:line="240" w:lineRule="auto"/>
    </w:pPr>
    <w:rPr>
      <w:rFonts w:eastAsia="黑体" w:cs="宋体"/>
      <w:b w:val="0"/>
      <w:bCs w:val="0"/>
      <w:sz w:val="21"/>
      <w:lang w:eastAsia="de-DE"/>
    </w:rPr>
  </w:style>
  <w:style w:type="paragraph" w:customStyle="1" w:styleId="447">
    <w:name w:val="样式 标题 3h3Underrubrik2H3 + 两端对齐 段前: 13 磅 段后: 13 磅 行距: 多倍行距 ..."/>
    <w:basedOn w:val="5"/>
    <w:qFormat/>
    <w:uiPriority w:val="0"/>
    <w:pPr>
      <w:widowControl/>
      <w:numPr>
        <w:ilvl w:val="0"/>
        <w:numId w:val="0"/>
      </w:numPr>
      <w:tabs>
        <w:tab w:val="left" w:pos="480"/>
        <w:tab w:val="left" w:pos="720"/>
        <w:tab w:val="left" w:pos="7200"/>
      </w:tabs>
    </w:pPr>
    <w:rPr>
      <w:rFonts w:ascii="黑体" w:eastAsia="黑体" w:cs="宋体"/>
      <w:b/>
      <w:bCs w:val="0"/>
      <w:kern w:val="0"/>
      <w:szCs w:val="20"/>
      <w:lang w:eastAsia="de-DE"/>
    </w:rPr>
  </w:style>
  <w:style w:type="paragraph" w:customStyle="1" w:styleId="448">
    <w:name w:val="样式 样式 标题 1NMP Heading 1H1h1Huvudrubrik + 两端对齐 段后: 0.5 行 + 段后: 0...."/>
    <w:basedOn w:val="446"/>
    <w:qFormat/>
    <w:uiPriority w:val="0"/>
    <w:pPr>
      <w:numPr>
        <w:numId w:val="0"/>
      </w:numPr>
      <w:spacing w:before="100" w:beforeAutospacing="1" w:line="360" w:lineRule="auto"/>
    </w:pPr>
    <w:rPr>
      <w:sz w:val="28"/>
    </w:rPr>
  </w:style>
  <w:style w:type="paragraph" w:customStyle="1" w:styleId="449">
    <w:name w:val="样式 居中"/>
    <w:basedOn w:val="1"/>
    <w:qFormat/>
    <w:uiPriority w:val="0"/>
    <w:pPr>
      <w:widowControl/>
      <w:jc w:val="center"/>
    </w:pPr>
    <w:rPr>
      <w:rFonts w:ascii="黑体" w:eastAsia="黑体" w:cs="宋体"/>
      <w:kern w:val="0"/>
      <w:sz w:val="32"/>
      <w:szCs w:val="32"/>
      <w:lang w:eastAsia="de-DE"/>
    </w:rPr>
  </w:style>
  <w:style w:type="paragraph" w:customStyle="1" w:styleId="450">
    <w:name w:val="样式5"/>
    <w:basedOn w:val="1"/>
    <w:qFormat/>
    <w:uiPriority w:val="0"/>
    <w:pPr>
      <w:widowControl/>
      <w:jc w:val="left"/>
    </w:pPr>
    <w:rPr>
      <w:kern w:val="0"/>
      <w:lang w:eastAsia="de-DE"/>
    </w:rPr>
  </w:style>
  <w:style w:type="paragraph" w:customStyle="1" w:styleId="451">
    <w:name w:val="B2"/>
    <w:basedOn w:val="28"/>
    <w:qFormat/>
    <w:uiPriority w:val="0"/>
    <w:pPr>
      <w:widowControl/>
      <w:overflowPunct w:val="0"/>
      <w:autoSpaceDE w:val="0"/>
      <w:autoSpaceDN w:val="0"/>
      <w:adjustRightInd w:val="0"/>
      <w:ind w:left="851" w:leftChars="0" w:hanging="284" w:firstLineChars="0"/>
      <w:jc w:val="left"/>
      <w:textAlignment w:val="baseline"/>
    </w:pPr>
    <w:rPr>
      <w:kern w:val="0"/>
      <w:sz w:val="20"/>
      <w:lang w:val="en-GB" w:eastAsia="en-US"/>
    </w:rPr>
  </w:style>
  <w:style w:type="table" w:customStyle="1" w:styleId="452">
    <w:name w:val="网格型1"/>
    <w:basedOn w:val="63"/>
    <w:qFormat/>
    <w:uiPriority w:val="59"/>
    <w:pPr>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53">
    <w:name w:val="È±Ê¡ÎÄ±¾"/>
    <w:basedOn w:val="1"/>
    <w:qFormat/>
    <w:uiPriority w:val="0"/>
    <w:pPr>
      <w:widowControl/>
      <w:overflowPunct w:val="0"/>
      <w:autoSpaceDE w:val="0"/>
      <w:autoSpaceDN w:val="0"/>
      <w:adjustRightInd w:val="0"/>
      <w:jc w:val="left"/>
      <w:textAlignment w:val="baseline"/>
    </w:pPr>
    <w:rPr>
      <w:kern w:val="0"/>
      <w:lang w:eastAsia="de-DE"/>
    </w:rPr>
  </w:style>
  <w:style w:type="paragraph" w:customStyle="1" w:styleId="454">
    <w:name w:val="标题4后的正文"/>
    <w:basedOn w:val="61"/>
    <w:qFormat/>
    <w:uiPriority w:val="0"/>
    <w:pPr>
      <w:autoSpaceDE w:val="0"/>
      <w:autoSpaceDN w:val="0"/>
      <w:adjustRightInd w:val="0"/>
      <w:spacing w:after="0"/>
      <w:ind w:firstLine="200" w:firstLineChars="200"/>
    </w:pPr>
    <w:rPr>
      <w:rFonts w:ascii="Arial" w:hAnsi="Arial"/>
    </w:rPr>
  </w:style>
  <w:style w:type="paragraph" w:customStyle="1" w:styleId="455">
    <w:name w:val="Char Char Char"/>
    <w:basedOn w:val="1"/>
    <w:qFormat/>
    <w:uiPriority w:val="0"/>
    <w:pPr>
      <w:widowControl/>
      <w:spacing w:after="160" w:line="240" w:lineRule="exact"/>
      <w:jc w:val="left"/>
    </w:pPr>
    <w:rPr>
      <w:rFonts w:ascii="Arial" w:hAnsi="Arial" w:cs="Arial"/>
      <w:color w:val="0000FF"/>
      <w:sz w:val="20"/>
      <w:szCs w:val="20"/>
    </w:rPr>
  </w:style>
  <w:style w:type="paragraph" w:customStyle="1" w:styleId="456">
    <w:name w:val="列项——"/>
    <w:link w:val="471"/>
    <w:qFormat/>
    <w:uiPriority w:val="0"/>
    <w:pPr>
      <w:widowControl w:val="0"/>
      <w:tabs>
        <w:tab w:val="left" w:pos="360"/>
        <w:tab w:val="left" w:pos="454"/>
        <w:tab w:val="left" w:pos="854"/>
      </w:tabs>
      <w:ind w:left="360" w:leftChars="200" w:hanging="360" w:hangingChars="200"/>
      <w:jc w:val="both"/>
    </w:pPr>
    <w:rPr>
      <w:rFonts w:ascii="宋体" w:hAnsi="Times New Roman" w:eastAsia="宋体" w:cs="Times New Roman"/>
      <w:sz w:val="21"/>
      <w:lang w:val="en-US" w:eastAsia="zh-CN" w:bidi="ar-SA"/>
    </w:rPr>
  </w:style>
  <w:style w:type="paragraph" w:customStyle="1" w:styleId="457">
    <w:name w:val="目次、索引正文"/>
    <w:qFormat/>
    <w:uiPriority w:val="0"/>
    <w:pPr>
      <w:spacing w:line="320" w:lineRule="exact"/>
      <w:jc w:val="both"/>
    </w:pPr>
    <w:rPr>
      <w:rFonts w:ascii="宋体" w:hAnsi="Times New Roman" w:eastAsia="宋体" w:cs="Times New Roman"/>
      <w:sz w:val="21"/>
      <w:lang w:val="en-US" w:eastAsia="zh-CN" w:bidi="ar-SA"/>
    </w:rPr>
  </w:style>
  <w:style w:type="paragraph" w:customStyle="1" w:styleId="458">
    <w:name w:val="EW"/>
    <w:basedOn w:val="1"/>
    <w:qFormat/>
    <w:uiPriority w:val="0"/>
    <w:pPr>
      <w:keepLines/>
      <w:widowControl/>
      <w:autoSpaceDE w:val="0"/>
      <w:autoSpaceDN w:val="0"/>
      <w:ind w:left="1702" w:hanging="1418"/>
      <w:jc w:val="left"/>
    </w:pPr>
    <w:rPr>
      <w:kern w:val="0"/>
      <w:sz w:val="20"/>
      <w:szCs w:val="20"/>
      <w:lang w:val="en-GB" w:eastAsia="de-DE"/>
    </w:rPr>
  </w:style>
  <w:style w:type="paragraph" w:customStyle="1" w:styleId="459">
    <w:name w:val="样式 B1 + 五号 加粗"/>
    <w:basedOn w:val="1"/>
    <w:qFormat/>
    <w:uiPriority w:val="0"/>
    <w:pPr>
      <w:widowControl/>
      <w:overflowPunct w:val="0"/>
      <w:autoSpaceDE w:val="0"/>
      <w:autoSpaceDN w:val="0"/>
      <w:adjustRightInd w:val="0"/>
      <w:spacing w:before="180"/>
      <w:ind w:left="568" w:hanging="284"/>
      <w:jc w:val="left"/>
      <w:textAlignment w:val="baseline"/>
    </w:pPr>
    <w:rPr>
      <w:b/>
      <w:bCs/>
      <w:kern w:val="0"/>
      <w:szCs w:val="20"/>
      <w:lang w:val="en-GB"/>
    </w:rPr>
  </w:style>
  <w:style w:type="paragraph" w:customStyle="1" w:styleId="460">
    <w:name w:val="样式 样式 B1 + 五号 加粗 + 宋体 左侧:  0 厘米"/>
    <w:basedOn w:val="459"/>
    <w:qFormat/>
    <w:uiPriority w:val="0"/>
    <w:pPr>
      <w:ind w:left="0" w:firstLine="422"/>
    </w:pPr>
    <w:rPr>
      <w:rFonts w:ascii="宋体" w:hAnsi="宋体" w:cs="宋体"/>
      <w:b w:val="0"/>
    </w:rPr>
  </w:style>
  <w:style w:type="paragraph" w:customStyle="1" w:styleId="461">
    <w:name w:val="悬挂1.5字符"/>
    <w:basedOn w:val="1"/>
    <w:qFormat/>
    <w:uiPriority w:val="0"/>
    <w:pPr>
      <w:widowControl/>
      <w:ind w:left="150" w:hanging="150" w:hangingChars="150"/>
      <w:jc w:val="left"/>
    </w:pPr>
    <w:rPr>
      <w:kern w:val="0"/>
      <w:lang w:eastAsia="de-DE"/>
    </w:rPr>
  </w:style>
  <w:style w:type="paragraph" w:customStyle="1" w:styleId="462">
    <w:name w:val="正文表标题"/>
    <w:next w:val="103"/>
    <w:qFormat/>
    <w:uiPriority w:val="0"/>
    <w:pPr>
      <w:numPr>
        <w:ilvl w:val="0"/>
        <w:numId w:val="38"/>
      </w:numPr>
      <w:spacing w:beforeLines="50" w:afterLines="50"/>
      <w:jc w:val="center"/>
    </w:pPr>
    <w:rPr>
      <w:rFonts w:ascii="黑体" w:hAnsi="Times New Roman" w:eastAsia="黑体" w:cs="Times New Roman"/>
      <w:sz w:val="21"/>
      <w:lang w:val="en-US" w:eastAsia="zh-CN" w:bidi="ar-SA"/>
    </w:rPr>
  </w:style>
  <w:style w:type="paragraph" w:customStyle="1" w:styleId="463">
    <w:name w:val="参考文献、索引标题"/>
    <w:basedOn w:val="353"/>
    <w:next w:val="1"/>
    <w:qFormat/>
    <w:uiPriority w:val="0"/>
    <w:pPr>
      <w:numPr>
        <w:numId w:val="0"/>
      </w:numPr>
      <w:spacing w:after="200"/>
    </w:pPr>
    <w:rPr>
      <w:sz w:val="21"/>
    </w:rPr>
  </w:style>
  <w:style w:type="paragraph" w:customStyle="1" w:styleId="464">
    <w:name w:val="附录二级条标题"/>
    <w:basedOn w:val="1"/>
    <w:next w:val="103"/>
    <w:qFormat/>
    <w:uiPriority w:val="0"/>
    <w:pPr>
      <w:widowControl/>
      <w:numPr>
        <w:ilvl w:val="3"/>
        <w:numId w:val="39"/>
      </w:numPr>
      <w:tabs>
        <w:tab w:val="left" w:pos="454"/>
      </w:tabs>
      <w:wordWrap w:val="0"/>
      <w:overflowPunct w:val="0"/>
      <w:autoSpaceDE w:val="0"/>
      <w:autoSpaceDN w:val="0"/>
      <w:ind w:left="454" w:hanging="454"/>
      <w:jc w:val="left"/>
      <w:textAlignment w:val="baseline"/>
      <w:outlineLvl w:val="3"/>
    </w:pPr>
    <w:rPr>
      <w:rFonts w:ascii="宋体"/>
      <w:kern w:val="21"/>
      <w:szCs w:val="20"/>
      <w:lang w:eastAsia="de-DE"/>
    </w:rPr>
  </w:style>
  <w:style w:type="paragraph" w:customStyle="1" w:styleId="465">
    <w:name w:val="附录四级条标题"/>
    <w:basedOn w:val="1"/>
    <w:next w:val="103"/>
    <w:qFormat/>
    <w:uiPriority w:val="0"/>
    <w:pPr>
      <w:widowControl/>
      <w:numPr>
        <w:ilvl w:val="5"/>
        <w:numId w:val="39"/>
      </w:numPr>
      <w:wordWrap w:val="0"/>
      <w:overflowPunct w:val="0"/>
      <w:autoSpaceDE w:val="0"/>
      <w:autoSpaceDN w:val="0"/>
      <w:jc w:val="left"/>
      <w:textAlignment w:val="baseline"/>
      <w:outlineLvl w:val="5"/>
    </w:pPr>
    <w:rPr>
      <w:rFonts w:ascii="宋体"/>
      <w:kern w:val="21"/>
      <w:szCs w:val="20"/>
      <w:lang w:eastAsia="de-DE"/>
    </w:rPr>
  </w:style>
  <w:style w:type="paragraph" w:customStyle="1" w:styleId="466">
    <w:name w:val="EX"/>
    <w:basedOn w:val="1"/>
    <w:qFormat/>
    <w:uiPriority w:val="0"/>
    <w:pPr>
      <w:keepLines/>
      <w:widowControl/>
      <w:overflowPunct w:val="0"/>
      <w:autoSpaceDE w:val="0"/>
      <w:autoSpaceDN w:val="0"/>
      <w:adjustRightInd w:val="0"/>
      <w:spacing w:after="180"/>
      <w:ind w:left="1702" w:hanging="1418"/>
      <w:jc w:val="left"/>
      <w:textAlignment w:val="baseline"/>
    </w:pPr>
    <w:rPr>
      <w:kern w:val="0"/>
      <w:sz w:val="20"/>
      <w:szCs w:val="20"/>
      <w:lang w:val="en-GB" w:eastAsia="en-US"/>
    </w:rPr>
  </w:style>
  <w:style w:type="paragraph" w:customStyle="1" w:styleId="467">
    <w:name w:val="示例"/>
    <w:next w:val="103"/>
    <w:qFormat/>
    <w:uiPriority w:val="0"/>
    <w:pPr>
      <w:tabs>
        <w:tab w:val="left" w:pos="816"/>
      </w:tabs>
      <w:ind w:firstLine="419" w:firstLineChars="233"/>
      <w:jc w:val="both"/>
    </w:pPr>
    <w:rPr>
      <w:rFonts w:ascii="宋体" w:hAnsi="Times New Roman" w:eastAsia="宋体" w:cs="Times New Roman"/>
      <w:sz w:val="18"/>
      <w:lang w:val="en-US" w:eastAsia="zh-CN" w:bidi="ar-SA"/>
    </w:rPr>
  </w:style>
  <w:style w:type="paragraph" w:customStyle="1" w:styleId="468">
    <w:name w:val="四级无标题条"/>
    <w:basedOn w:val="1"/>
    <w:qFormat/>
    <w:uiPriority w:val="0"/>
    <w:pPr>
      <w:widowControl/>
      <w:jc w:val="left"/>
    </w:pPr>
    <w:rPr>
      <w:kern w:val="0"/>
      <w:lang w:eastAsia="de-DE"/>
    </w:rPr>
  </w:style>
  <w:style w:type="paragraph" w:customStyle="1" w:styleId="469">
    <w:name w:val="样式 样式3 + 左侧:  0 厘米 悬挂缩进: 2.5 字符"/>
    <w:basedOn w:val="1"/>
    <w:qFormat/>
    <w:uiPriority w:val="0"/>
    <w:pPr>
      <w:widowControl/>
      <w:ind w:left="400" w:leftChars="200" w:hanging="200" w:hangingChars="200"/>
      <w:jc w:val="left"/>
    </w:pPr>
    <w:rPr>
      <w:rFonts w:cs="宋体"/>
      <w:kern w:val="0"/>
      <w:szCs w:val="20"/>
      <w:lang w:eastAsia="de-DE"/>
    </w:rPr>
  </w:style>
  <w:style w:type="paragraph" w:customStyle="1" w:styleId="470">
    <w:name w:val="样式 列项—— + (符号) 宋体"/>
    <w:basedOn w:val="1"/>
    <w:link w:val="472"/>
    <w:qFormat/>
    <w:uiPriority w:val="0"/>
    <w:pPr>
      <w:widowControl/>
      <w:tabs>
        <w:tab w:val="left" w:pos="854"/>
      </w:tabs>
      <w:jc w:val="left"/>
    </w:pPr>
    <w:rPr>
      <w:rFonts w:ascii="宋体"/>
      <w:kern w:val="0"/>
      <w:szCs w:val="20"/>
      <w:lang w:eastAsia="de-DE"/>
    </w:rPr>
  </w:style>
  <w:style w:type="character" w:customStyle="1" w:styleId="471">
    <w:name w:val="列项—— Char"/>
    <w:link w:val="456"/>
    <w:qFormat/>
    <w:uiPriority w:val="0"/>
    <w:rPr>
      <w:rFonts w:ascii="宋体"/>
      <w:sz w:val="21"/>
      <w:lang w:bidi="ar-SA"/>
    </w:rPr>
  </w:style>
  <w:style w:type="character" w:customStyle="1" w:styleId="472">
    <w:name w:val="样式 列项—— + (符号) 宋体 Char"/>
    <w:link w:val="470"/>
    <w:qFormat/>
    <w:uiPriority w:val="0"/>
    <w:rPr>
      <w:rFonts w:ascii="宋体" w:cstheme="minorBidi"/>
      <w:sz w:val="24"/>
      <w:lang w:eastAsia="de-DE"/>
    </w:rPr>
  </w:style>
  <w:style w:type="paragraph" w:customStyle="1" w:styleId="473">
    <w:name w:val="样式 标题 3Underrubrik2H3h3 + Times New Roman"/>
    <w:basedOn w:val="5"/>
    <w:qFormat/>
    <w:uiPriority w:val="0"/>
    <w:pPr>
      <w:keepLines w:val="0"/>
      <w:widowControl/>
      <w:numPr>
        <w:ilvl w:val="0"/>
        <w:numId w:val="0"/>
      </w:numPr>
      <w:tabs>
        <w:tab w:val="left" w:pos="720"/>
      </w:tabs>
      <w:overflowPunct w:val="0"/>
      <w:autoSpaceDE w:val="0"/>
      <w:autoSpaceDN w:val="0"/>
      <w:adjustRightInd w:val="0"/>
      <w:spacing w:before="120" w:after="180" w:line="240" w:lineRule="auto"/>
      <w:ind w:left="1134" w:hanging="1134"/>
      <w:textAlignment w:val="baseline"/>
    </w:pPr>
    <w:rPr>
      <w:rFonts w:eastAsia="黑体"/>
      <w:b/>
      <w:bCs w:val="0"/>
      <w:kern w:val="0"/>
      <w:sz w:val="28"/>
      <w:szCs w:val="20"/>
      <w:lang w:val="en-GB" w:eastAsia="en-US"/>
    </w:rPr>
  </w:style>
  <w:style w:type="paragraph" w:customStyle="1" w:styleId="474">
    <w:name w:val="线"/>
    <w:basedOn w:val="1"/>
    <w:qFormat/>
    <w:uiPriority w:val="0"/>
    <w:pPr>
      <w:widowControl/>
      <w:adjustRightInd w:val="0"/>
      <w:spacing w:before="40" w:after="40"/>
      <w:jc w:val="center"/>
    </w:pPr>
    <w:rPr>
      <w:kern w:val="0"/>
      <w:sz w:val="15"/>
      <w:szCs w:val="20"/>
      <w:lang w:eastAsia="de-DE"/>
    </w:rPr>
  </w:style>
  <w:style w:type="paragraph" w:customStyle="1" w:styleId="475">
    <w:name w:val="文本框文字"/>
    <w:basedOn w:val="1"/>
    <w:qFormat/>
    <w:uiPriority w:val="0"/>
    <w:pPr>
      <w:widowControl/>
      <w:jc w:val="center"/>
    </w:pPr>
    <w:rPr>
      <w:kern w:val="0"/>
      <w:lang w:eastAsia="de-DE"/>
    </w:rPr>
  </w:style>
  <w:style w:type="paragraph" w:customStyle="1" w:styleId="476">
    <w:name w:val="样式 章标题 + 段前: 0.5 行 段后: 0.5 行"/>
    <w:basedOn w:val="354"/>
    <w:qFormat/>
    <w:uiPriority w:val="0"/>
    <w:pPr>
      <w:spacing w:before="120" w:after="120" w:line="240" w:lineRule="auto"/>
      <w:ind w:left="0"/>
    </w:pPr>
    <w:rPr>
      <w:rFonts w:ascii="黑体" w:hAnsi="Times New Roman" w:eastAsia="黑体" w:cs="宋体"/>
      <w:kern w:val="0"/>
      <w:szCs w:val="20"/>
    </w:rPr>
  </w:style>
  <w:style w:type="paragraph" w:customStyle="1" w:styleId="477">
    <w:name w:val="六级标题"/>
    <w:basedOn w:val="476"/>
    <w:qFormat/>
    <w:uiPriority w:val="0"/>
  </w:style>
  <w:style w:type="paragraph" w:customStyle="1" w:styleId="478">
    <w:name w:val="样式 二级条标题 + 段前: 0.5 行"/>
    <w:basedOn w:val="356"/>
    <w:qFormat/>
    <w:uiPriority w:val="0"/>
    <w:pPr>
      <w:numPr>
        <w:ilvl w:val="0"/>
        <w:numId w:val="0"/>
      </w:numPr>
      <w:spacing w:beforeLines="50"/>
      <w:jc w:val="both"/>
      <w:outlineLvl w:val="3"/>
    </w:pPr>
    <w:rPr>
      <w:rFonts w:ascii="黑体" w:cs="宋体"/>
    </w:rPr>
  </w:style>
  <w:style w:type="paragraph" w:customStyle="1" w:styleId="479">
    <w:name w:val="00 BodyText"/>
    <w:basedOn w:val="1"/>
    <w:qFormat/>
    <w:uiPriority w:val="0"/>
    <w:pPr>
      <w:widowControl/>
      <w:spacing w:after="220"/>
      <w:jc w:val="left"/>
    </w:pPr>
    <w:rPr>
      <w:rFonts w:ascii="Arial" w:hAnsi="Arial"/>
      <w:kern w:val="0"/>
      <w:sz w:val="22"/>
      <w:szCs w:val="20"/>
    </w:rPr>
  </w:style>
  <w:style w:type="paragraph" w:customStyle="1" w:styleId="480">
    <w:name w:val="02 BodyText"/>
    <w:basedOn w:val="1"/>
    <w:qFormat/>
    <w:uiPriority w:val="0"/>
    <w:pPr>
      <w:widowControl/>
      <w:spacing w:after="220"/>
      <w:ind w:left="2597" w:hanging="2597"/>
      <w:jc w:val="left"/>
    </w:pPr>
    <w:rPr>
      <w:rFonts w:ascii="Arial" w:hAnsi="Arial"/>
      <w:kern w:val="0"/>
      <w:sz w:val="22"/>
      <w:szCs w:val="20"/>
    </w:rPr>
  </w:style>
  <w:style w:type="paragraph" w:customStyle="1" w:styleId="481">
    <w:name w:val="01 BodyText"/>
    <w:basedOn w:val="1"/>
    <w:qFormat/>
    <w:uiPriority w:val="0"/>
    <w:pPr>
      <w:widowControl/>
      <w:spacing w:after="220"/>
      <w:ind w:left="1298" w:hanging="1298"/>
      <w:jc w:val="left"/>
    </w:pPr>
    <w:rPr>
      <w:rFonts w:ascii="Arial" w:hAnsi="Arial"/>
      <w:kern w:val="0"/>
      <w:sz w:val="22"/>
      <w:szCs w:val="20"/>
    </w:rPr>
  </w:style>
  <w:style w:type="paragraph" w:customStyle="1" w:styleId="482">
    <w:name w:val="11 BodyText"/>
    <w:basedOn w:val="1"/>
    <w:qFormat/>
    <w:uiPriority w:val="0"/>
    <w:pPr>
      <w:widowControl/>
      <w:spacing w:after="220"/>
      <w:ind w:left="1298"/>
      <w:jc w:val="left"/>
    </w:pPr>
    <w:rPr>
      <w:rFonts w:ascii="Arial" w:hAnsi="Arial"/>
      <w:kern w:val="0"/>
      <w:sz w:val="22"/>
      <w:szCs w:val="20"/>
    </w:rPr>
  </w:style>
  <w:style w:type="paragraph" w:customStyle="1" w:styleId="483">
    <w:name w:val="Bulleted o 2"/>
    <w:basedOn w:val="484"/>
    <w:qFormat/>
    <w:uiPriority w:val="0"/>
    <w:pPr>
      <w:ind w:left="2954" w:hanging="357"/>
    </w:pPr>
  </w:style>
  <w:style w:type="paragraph" w:customStyle="1" w:styleId="484">
    <w:name w:val="22 BodyText"/>
    <w:basedOn w:val="1"/>
    <w:qFormat/>
    <w:uiPriority w:val="0"/>
    <w:pPr>
      <w:widowControl/>
      <w:spacing w:after="220"/>
      <w:ind w:left="2597"/>
      <w:jc w:val="left"/>
    </w:pPr>
    <w:rPr>
      <w:rFonts w:ascii="Arial" w:hAnsi="Arial"/>
      <w:kern w:val="0"/>
      <w:sz w:val="22"/>
      <w:szCs w:val="20"/>
    </w:rPr>
  </w:style>
  <w:style w:type="paragraph" w:customStyle="1" w:styleId="485">
    <w:name w:val="12 BodyText"/>
    <w:basedOn w:val="1"/>
    <w:qFormat/>
    <w:uiPriority w:val="0"/>
    <w:pPr>
      <w:widowControl/>
      <w:spacing w:after="220"/>
      <w:ind w:left="2596" w:hanging="1298"/>
      <w:jc w:val="left"/>
    </w:pPr>
    <w:rPr>
      <w:rFonts w:ascii="Arial" w:hAnsi="Arial"/>
      <w:kern w:val="0"/>
      <w:sz w:val="22"/>
      <w:szCs w:val="20"/>
    </w:rPr>
  </w:style>
  <w:style w:type="paragraph" w:customStyle="1" w:styleId="486">
    <w:name w:val="23 BodyText"/>
    <w:basedOn w:val="1"/>
    <w:qFormat/>
    <w:uiPriority w:val="0"/>
    <w:pPr>
      <w:widowControl/>
      <w:spacing w:after="220"/>
      <w:ind w:left="3895" w:hanging="1298"/>
      <w:jc w:val="left"/>
    </w:pPr>
    <w:rPr>
      <w:rFonts w:ascii="Arial" w:hAnsi="Arial"/>
      <w:kern w:val="0"/>
      <w:sz w:val="22"/>
      <w:szCs w:val="20"/>
    </w:rPr>
  </w:style>
  <w:style w:type="paragraph" w:customStyle="1" w:styleId="487">
    <w:name w:val="33 BodyText"/>
    <w:basedOn w:val="1"/>
    <w:qFormat/>
    <w:uiPriority w:val="0"/>
    <w:pPr>
      <w:widowControl/>
      <w:spacing w:after="220"/>
      <w:ind w:left="3895"/>
      <w:jc w:val="left"/>
    </w:pPr>
    <w:rPr>
      <w:rFonts w:ascii="Arial" w:hAnsi="Arial"/>
      <w:kern w:val="0"/>
      <w:sz w:val="22"/>
      <w:szCs w:val="20"/>
    </w:rPr>
  </w:style>
  <w:style w:type="paragraph" w:customStyle="1" w:styleId="488">
    <w:name w:val="Bulleted o 1"/>
    <w:basedOn w:val="482"/>
    <w:qFormat/>
    <w:uiPriority w:val="0"/>
    <w:pPr>
      <w:ind w:left="1655" w:hanging="357"/>
    </w:pPr>
  </w:style>
  <w:style w:type="paragraph" w:customStyle="1" w:styleId="489">
    <w:name w:val="Bulleted - 1"/>
    <w:basedOn w:val="488"/>
    <w:qFormat/>
    <w:uiPriority w:val="0"/>
  </w:style>
  <w:style w:type="paragraph" w:customStyle="1" w:styleId="490">
    <w:name w:val="Numbered List 0"/>
    <w:basedOn w:val="1"/>
    <w:qFormat/>
    <w:uiPriority w:val="0"/>
    <w:pPr>
      <w:widowControl/>
      <w:spacing w:after="220"/>
      <w:ind w:left="1298" w:hanging="1298"/>
      <w:jc w:val="left"/>
    </w:pPr>
    <w:rPr>
      <w:rFonts w:ascii="Arial" w:hAnsi="Arial"/>
      <w:kern w:val="0"/>
      <w:sz w:val="22"/>
      <w:szCs w:val="20"/>
    </w:rPr>
  </w:style>
  <w:style w:type="paragraph" w:customStyle="1" w:styleId="491">
    <w:name w:val="Numbered List 1"/>
    <w:basedOn w:val="1"/>
    <w:qFormat/>
    <w:uiPriority w:val="0"/>
    <w:pPr>
      <w:widowControl/>
      <w:spacing w:after="220"/>
      <w:ind w:left="1655" w:hanging="357"/>
      <w:jc w:val="left"/>
    </w:pPr>
    <w:rPr>
      <w:rFonts w:ascii="Arial" w:hAnsi="Arial"/>
      <w:kern w:val="0"/>
      <w:sz w:val="22"/>
      <w:szCs w:val="20"/>
    </w:rPr>
  </w:style>
  <w:style w:type="paragraph" w:customStyle="1" w:styleId="492">
    <w:name w:val="Numbered List 2"/>
    <w:basedOn w:val="491"/>
    <w:qFormat/>
    <w:uiPriority w:val="0"/>
    <w:pPr>
      <w:ind w:left="2954"/>
    </w:pPr>
  </w:style>
  <w:style w:type="paragraph" w:customStyle="1" w:styleId="493">
    <w:name w:val="Bulleted - 2"/>
    <w:basedOn w:val="483"/>
    <w:qFormat/>
    <w:uiPriority w:val="0"/>
  </w:style>
  <w:style w:type="paragraph" w:customStyle="1" w:styleId="494">
    <w:name w:val="Title Text"/>
    <w:basedOn w:val="479"/>
    <w:next w:val="482"/>
    <w:qFormat/>
    <w:uiPriority w:val="0"/>
    <w:rPr>
      <w:b/>
    </w:rPr>
  </w:style>
  <w:style w:type="paragraph" w:customStyle="1" w:styleId="495">
    <w:name w:val="Document Title"/>
    <w:basedOn w:val="1"/>
    <w:qFormat/>
    <w:uiPriority w:val="0"/>
    <w:pPr>
      <w:widowControl/>
      <w:spacing w:before="2800"/>
      <w:jc w:val="left"/>
    </w:pPr>
    <w:rPr>
      <w:rFonts w:ascii="Arial" w:hAnsi="Arial"/>
      <w:b/>
      <w:kern w:val="0"/>
      <w:sz w:val="36"/>
      <w:szCs w:val="20"/>
    </w:rPr>
  </w:style>
  <w:style w:type="paragraph" w:customStyle="1" w:styleId="496">
    <w:name w:val="样式 段 + (符号) 宋体 小五 行距: 1.5 倍行距"/>
    <w:basedOn w:val="103"/>
    <w:qFormat/>
    <w:uiPriority w:val="0"/>
    <w:pPr>
      <w:spacing w:line="360" w:lineRule="auto"/>
      <w:ind w:firstLine="0" w:firstLineChars="0"/>
    </w:pPr>
    <w:rPr>
      <w:rFonts w:hAnsi="宋体" w:cs="宋体"/>
      <w:sz w:val="18"/>
    </w:rPr>
  </w:style>
  <w:style w:type="paragraph" w:customStyle="1" w:styleId="497">
    <w:name w:val="QB标题1"/>
    <w:next w:val="276"/>
    <w:qFormat/>
    <w:uiPriority w:val="0"/>
    <w:pPr>
      <w:keepNext/>
      <w:keepLines/>
      <w:widowControl w:val="0"/>
      <w:numPr>
        <w:ilvl w:val="0"/>
        <w:numId w:val="40"/>
      </w:numPr>
      <w:spacing w:before="340" w:after="330" w:line="578" w:lineRule="auto"/>
      <w:jc w:val="both"/>
      <w:outlineLvl w:val="0"/>
    </w:pPr>
    <w:rPr>
      <w:rFonts w:ascii="黑体" w:hAnsi="Times New Roman" w:eastAsia="黑体" w:cs="Times New Roman"/>
      <w:kern w:val="44"/>
      <w:sz w:val="21"/>
      <w:lang w:val="en-US" w:eastAsia="zh-CN" w:bidi="ar-SA"/>
    </w:rPr>
  </w:style>
  <w:style w:type="paragraph" w:customStyle="1" w:styleId="498">
    <w:name w:val="QB标题2"/>
    <w:next w:val="276"/>
    <w:qFormat/>
    <w:uiPriority w:val="0"/>
    <w:pPr>
      <w:keepNext/>
      <w:keepLines/>
      <w:widowControl w:val="0"/>
      <w:numPr>
        <w:ilvl w:val="1"/>
        <w:numId w:val="40"/>
      </w:numPr>
      <w:spacing w:before="260" w:after="260" w:line="415" w:lineRule="auto"/>
      <w:jc w:val="both"/>
      <w:outlineLvl w:val="1"/>
    </w:pPr>
    <w:rPr>
      <w:rFonts w:ascii="Arial" w:hAnsi="Arial" w:eastAsia="黑体" w:cs="Times New Roman"/>
      <w:kern w:val="2"/>
      <w:sz w:val="21"/>
      <w:lang w:val="en-US" w:eastAsia="zh-CN" w:bidi="ar-SA"/>
    </w:rPr>
  </w:style>
  <w:style w:type="paragraph" w:customStyle="1" w:styleId="499">
    <w:name w:val="QB标题3"/>
    <w:basedOn w:val="1"/>
    <w:next w:val="276"/>
    <w:qFormat/>
    <w:uiPriority w:val="0"/>
    <w:pPr>
      <w:keepNext/>
      <w:keepLines/>
      <w:numPr>
        <w:ilvl w:val="2"/>
        <w:numId w:val="40"/>
      </w:numPr>
      <w:spacing w:before="260" w:after="260" w:line="416" w:lineRule="auto"/>
      <w:outlineLvl w:val="2"/>
    </w:pPr>
    <w:rPr>
      <w:rFonts w:ascii="Arial" w:hAnsi="Arial" w:eastAsia="黑体"/>
      <w:bCs/>
    </w:rPr>
  </w:style>
  <w:style w:type="paragraph" w:customStyle="1" w:styleId="500">
    <w:name w:val="QB标题4"/>
    <w:basedOn w:val="499"/>
    <w:next w:val="276"/>
    <w:qFormat/>
    <w:uiPriority w:val="0"/>
    <w:pPr>
      <w:numPr>
        <w:ilvl w:val="3"/>
      </w:numPr>
    </w:pPr>
  </w:style>
  <w:style w:type="paragraph" w:customStyle="1" w:styleId="501">
    <w:name w:val="QB标题5"/>
    <w:basedOn w:val="500"/>
    <w:next w:val="276"/>
    <w:qFormat/>
    <w:uiPriority w:val="0"/>
    <w:pPr>
      <w:numPr>
        <w:ilvl w:val="4"/>
      </w:numPr>
    </w:pPr>
  </w:style>
  <w:style w:type="paragraph" w:customStyle="1" w:styleId="502">
    <w:name w:val="QB标题6"/>
    <w:basedOn w:val="501"/>
    <w:next w:val="276"/>
    <w:qFormat/>
    <w:uiPriority w:val="0"/>
    <w:pPr>
      <w:numPr>
        <w:ilvl w:val="5"/>
      </w:numPr>
    </w:pPr>
  </w:style>
  <w:style w:type="paragraph" w:customStyle="1" w:styleId="503">
    <w:name w:val="默认段落字体 Para Char"/>
    <w:basedOn w:val="1"/>
    <w:qFormat/>
    <w:uiPriority w:val="0"/>
    <w:rPr>
      <w:rFonts w:ascii="Arial" w:hAnsi="Arial" w:cs="Arial"/>
    </w:rPr>
  </w:style>
  <w:style w:type="paragraph" w:customStyle="1" w:styleId="504">
    <w:name w:val="Indent 2"/>
    <w:basedOn w:val="17"/>
    <w:qFormat/>
    <w:uiPriority w:val="0"/>
    <w:pPr>
      <w:widowControl/>
      <w:ind w:left="567" w:firstLine="0" w:firstLineChars="0"/>
      <w:jc w:val="left"/>
    </w:pPr>
    <w:rPr>
      <w:rFonts w:ascii="Arial" w:hAnsi="Arial" w:eastAsia="PMingLiU"/>
      <w:kern w:val="0"/>
      <w:sz w:val="22"/>
      <w:szCs w:val="20"/>
      <w:lang w:eastAsia="en-GB"/>
    </w:rPr>
  </w:style>
  <w:style w:type="paragraph" w:customStyle="1" w:styleId="505">
    <w:name w:val="Table First Row"/>
    <w:basedOn w:val="1"/>
    <w:qFormat/>
    <w:uiPriority w:val="0"/>
    <w:pPr>
      <w:widowControl/>
      <w:jc w:val="left"/>
    </w:pPr>
    <w:rPr>
      <w:rFonts w:ascii="Arial" w:hAnsi="Arial"/>
      <w:b/>
      <w:kern w:val="0"/>
      <w:sz w:val="18"/>
      <w:lang w:val="en-GB"/>
    </w:rPr>
  </w:style>
  <w:style w:type="paragraph" w:customStyle="1" w:styleId="506">
    <w:name w:val="Table Other Rows"/>
    <w:basedOn w:val="1"/>
    <w:qFormat/>
    <w:uiPriority w:val="0"/>
    <w:pPr>
      <w:widowControl/>
      <w:jc w:val="left"/>
    </w:pPr>
    <w:rPr>
      <w:rFonts w:ascii="Arial" w:hAnsi="Arial"/>
      <w:kern w:val="0"/>
      <w:sz w:val="18"/>
      <w:lang w:val="en-GB"/>
    </w:rPr>
  </w:style>
  <w:style w:type="paragraph" w:customStyle="1" w:styleId="507">
    <w:name w:val="Cell Header"/>
    <w:basedOn w:val="1"/>
    <w:next w:val="508"/>
    <w:qFormat/>
    <w:uiPriority w:val="0"/>
    <w:pPr>
      <w:widowControl/>
      <w:jc w:val="left"/>
    </w:pPr>
    <w:rPr>
      <w:rFonts w:ascii="Arial" w:hAnsi="Arial"/>
      <w:kern w:val="0"/>
      <w:sz w:val="18"/>
      <w:lang w:val="en-GB"/>
    </w:rPr>
  </w:style>
  <w:style w:type="paragraph" w:customStyle="1" w:styleId="508">
    <w:name w:val="Cell Definition"/>
    <w:basedOn w:val="1"/>
    <w:qFormat/>
    <w:uiPriority w:val="0"/>
    <w:pPr>
      <w:widowControl/>
      <w:jc w:val="left"/>
    </w:pPr>
    <w:rPr>
      <w:rFonts w:ascii="Arial" w:hAnsi="Arial"/>
      <w:b/>
      <w:kern w:val="0"/>
      <w:sz w:val="18"/>
      <w:lang w:val="en-GB"/>
    </w:rPr>
  </w:style>
  <w:style w:type="character" w:customStyle="1" w:styleId="509">
    <w:name w:val="apple-converted-space"/>
    <w:basedOn w:val="67"/>
    <w:qFormat/>
    <w:uiPriority w:val="0"/>
  </w:style>
  <w:style w:type="paragraph" w:customStyle="1" w:styleId="510">
    <w:name w:val="Char121"/>
    <w:basedOn w:val="20"/>
    <w:qFormat/>
    <w:uiPriority w:val="0"/>
    <w:pPr>
      <w:adjustRightInd w:val="0"/>
      <w:spacing w:line="436" w:lineRule="exact"/>
      <w:ind w:left="357"/>
      <w:jc w:val="left"/>
      <w:outlineLvl w:val="3"/>
    </w:pPr>
    <w:rPr>
      <w:rFonts w:ascii="Tahoma" w:hAnsi="Tahoma"/>
      <w:b/>
    </w:rPr>
  </w:style>
  <w:style w:type="character" w:customStyle="1" w:styleId="511">
    <w:name w:val="日期 字符"/>
    <w:basedOn w:val="67"/>
    <w:link w:val="37"/>
    <w:qFormat/>
    <w:uiPriority w:val="0"/>
    <w:rPr>
      <w:rFonts w:ascii="楷体_GB2312" w:eastAsia="楷体_GB2312"/>
      <w:kern w:val="2"/>
      <w:sz w:val="21"/>
    </w:rPr>
  </w:style>
  <w:style w:type="character" w:customStyle="1" w:styleId="512">
    <w:name w:val="正文文本首行缩进 2 字符"/>
    <w:basedOn w:val="302"/>
    <w:link w:val="62"/>
    <w:qFormat/>
    <w:uiPriority w:val="0"/>
    <w:rPr>
      <w:rFonts w:ascii="宋体" w:cstheme="minorBidi"/>
      <w:kern w:val="2"/>
      <w:sz w:val="24"/>
      <w:szCs w:val="24"/>
    </w:rPr>
  </w:style>
  <w:style w:type="character" w:customStyle="1" w:styleId="513">
    <w:name w:val="纯文本 字符"/>
    <w:basedOn w:val="67"/>
    <w:link w:val="33"/>
    <w:qFormat/>
    <w:uiPriority w:val="0"/>
    <w:rPr>
      <w:rFonts w:ascii="宋体" w:hAnsi="Courier New" w:cs="Courier New"/>
      <w:kern w:val="2"/>
      <w:sz w:val="24"/>
      <w:szCs w:val="21"/>
    </w:rPr>
  </w:style>
  <w:style w:type="paragraph" w:customStyle="1" w:styleId="514">
    <w:name w:val="Body Char"/>
    <w:basedOn w:val="1"/>
    <w:link w:val="515"/>
    <w:qFormat/>
    <w:uiPriority w:val="0"/>
    <w:pPr>
      <w:widowControl/>
      <w:tabs>
        <w:tab w:val="left" w:pos="9356"/>
      </w:tabs>
      <w:spacing w:before="80" w:after="80"/>
      <w:jc w:val="center"/>
    </w:pPr>
    <w:rPr>
      <w:color w:val="000000"/>
      <w:kern w:val="0"/>
    </w:rPr>
  </w:style>
  <w:style w:type="character" w:customStyle="1" w:styleId="515">
    <w:name w:val="Body Char Char"/>
    <w:basedOn w:val="67"/>
    <w:link w:val="514"/>
    <w:qFormat/>
    <w:uiPriority w:val="0"/>
    <w:rPr>
      <w:rFonts w:cstheme="minorBidi"/>
      <w:color w:val="000000"/>
      <w:sz w:val="24"/>
      <w:szCs w:val="21"/>
    </w:rPr>
  </w:style>
  <w:style w:type="paragraph" w:customStyle="1" w:styleId="516">
    <w:name w:val="列出段落1"/>
    <w:basedOn w:val="1"/>
    <w:qFormat/>
    <w:uiPriority w:val="0"/>
    <w:pPr>
      <w:ind w:firstLine="420"/>
    </w:pPr>
    <w:rPr>
      <w:rFonts w:ascii="Calibri" w:hAnsi="Calibri"/>
      <w:szCs w:val="22"/>
    </w:rPr>
  </w:style>
  <w:style w:type="paragraph" w:customStyle="1" w:styleId="517">
    <w:name w:val="正文样式"/>
    <w:basedOn w:val="1"/>
    <w:link w:val="518"/>
    <w:qFormat/>
    <w:uiPriority w:val="0"/>
    <w:pPr>
      <w:jc w:val="left"/>
    </w:pPr>
    <w:rPr>
      <w:rFonts w:ascii="楷体_GB2312" w:eastAsia="楷体_GB2312"/>
      <w:kern w:val="0"/>
      <w:szCs w:val="20"/>
    </w:rPr>
  </w:style>
  <w:style w:type="character" w:customStyle="1" w:styleId="518">
    <w:name w:val="正文样式 Char"/>
    <w:link w:val="517"/>
    <w:qFormat/>
    <w:uiPriority w:val="0"/>
    <w:rPr>
      <w:rFonts w:ascii="楷体_GB2312" w:eastAsia="楷体_GB2312" w:cstheme="minorBidi"/>
      <w:sz w:val="24"/>
    </w:rPr>
  </w:style>
  <w:style w:type="paragraph" w:customStyle="1" w:styleId="519">
    <w:name w:val="表格标题(居中)"/>
    <w:basedOn w:val="1"/>
    <w:qFormat/>
    <w:uiPriority w:val="0"/>
    <w:pPr>
      <w:snapToGrid w:val="0"/>
      <w:spacing w:line="300" w:lineRule="auto"/>
      <w:jc w:val="center"/>
    </w:pPr>
    <w:rPr>
      <w:rFonts w:eastAsia="黑体"/>
      <w:szCs w:val="20"/>
    </w:rPr>
  </w:style>
  <w:style w:type="paragraph" w:customStyle="1" w:styleId="520">
    <w:name w:val="表格(五号)"/>
    <w:basedOn w:val="1"/>
    <w:qFormat/>
    <w:uiPriority w:val="0"/>
    <w:pPr>
      <w:adjustRightInd w:val="0"/>
      <w:snapToGrid w:val="0"/>
      <w:spacing w:before="60" w:after="60"/>
      <w:ind w:left="11"/>
      <w:jc w:val="center"/>
    </w:pPr>
    <w:rPr>
      <w:kern w:val="0"/>
      <w:szCs w:val="20"/>
    </w:rPr>
  </w:style>
  <w:style w:type="paragraph" w:customStyle="1" w:styleId="521">
    <w:name w:val="Bullet"/>
    <w:basedOn w:val="1"/>
    <w:qFormat/>
    <w:uiPriority w:val="0"/>
    <w:pPr>
      <w:widowControl/>
      <w:numPr>
        <w:ilvl w:val="0"/>
        <w:numId w:val="41"/>
      </w:numPr>
      <w:adjustRightInd w:val="0"/>
      <w:spacing w:before="60" w:after="60" w:line="288" w:lineRule="auto"/>
    </w:pPr>
    <w:rPr>
      <w:rFonts w:ascii="Arial" w:hAnsi="Arial"/>
      <w:kern w:val="0"/>
      <w:szCs w:val="22"/>
      <w:lang w:eastAsia="en-US"/>
    </w:rPr>
  </w:style>
  <w:style w:type="character" w:customStyle="1" w:styleId="522">
    <w:name w:val="表格内容 Char"/>
    <w:link w:val="221"/>
    <w:qFormat/>
    <w:uiPriority w:val="0"/>
    <w:rPr>
      <w:sz w:val="21"/>
      <w:szCs w:val="21"/>
      <w:lang w:bidi="ar-SA"/>
    </w:rPr>
  </w:style>
  <w:style w:type="paragraph" w:customStyle="1" w:styleId="523">
    <w:name w:val="项目符号2"/>
    <w:basedOn w:val="1"/>
    <w:qFormat/>
    <w:uiPriority w:val="0"/>
    <w:pPr>
      <w:numPr>
        <w:ilvl w:val="0"/>
        <w:numId w:val="42"/>
      </w:numPr>
      <w:jc w:val="left"/>
    </w:pPr>
    <w:rPr>
      <w:rFonts w:ascii="宋体" w:hAnsi="宋体"/>
      <w:szCs w:val="20"/>
    </w:rPr>
  </w:style>
  <w:style w:type="paragraph" w:customStyle="1" w:styleId="524">
    <w:name w:val="项目符号3"/>
    <w:basedOn w:val="1"/>
    <w:qFormat/>
    <w:uiPriority w:val="0"/>
    <w:pPr>
      <w:numPr>
        <w:ilvl w:val="0"/>
        <w:numId w:val="43"/>
      </w:numPr>
      <w:jc w:val="left"/>
    </w:pPr>
    <w:rPr>
      <w:rFonts w:ascii="宋体" w:hAnsi="宋体"/>
      <w:szCs w:val="20"/>
    </w:rPr>
  </w:style>
  <w:style w:type="paragraph" w:customStyle="1" w:styleId="525">
    <w:name w:val="基准目录样式"/>
    <w:qFormat/>
    <w:uiPriority w:val="0"/>
    <w:pPr>
      <w:keepNext/>
      <w:keepLines/>
      <w:spacing w:beforeLines="100" w:afterLines="100"/>
      <w:jc w:val="center"/>
    </w:pPr>
    <w:rPr>
      <w:rFonts w:ascii="黑体" w:hAnsi="Times New Roman" w:eastAsia="黑体" w:cs="Times New Roman"/>
      <w:color w:val="000000"/>
      <w:sz w:val="32"/>
      <w:lang w:val="en-US" w:eastAsia="zh-CN" w:bidi="ar-SA"/>
    </w:rPr>
  </w:style>
  <w:style w:type="paragraph" w:customStyle="1" w:styleId="526">
    <w:name w:val="样式"/>
    <w:basedOn w:val="1"/>
    <w:qFormat/>
    <w:uiPriority w:val="0"/>
    <w:pPr>
      <w:tabs>
        <w:tab w:val="left" w:pos="567"/>
      </w:tabs>
      <w:snapToGrid w:val="0"/>
      <w:spacing w:line="460" w:lineRule="atLeast"/>
    </w:pPr>
    <w:rPr>
      <w:rFonts w:ascii="Arial" w:hAnsi="Arial"/>
      <w:color w:val="333333"/>
      <w:spacing w:val="6"/>
      <w:szCs w:val="20"/>
      <w:u w:val="single"/>
    </w:rPr>
  </w:style>
  <w:style w:type="paragraph" w:customStyle="1" w:styleId="527">
    <w:name w:val="Char Char Char Char Char Char Char Char Char Char"/>
    <w:basedOn w:val="20"/>
    <w:qFormat/>
    <w:uiPriority w:val="0"/>
    <w:rPr>
      <w:rFonts w:ascii="Tahoma" w:hAnsi="Tahoma" w:cs="Tahoma"/>
    </w:rPr>
  </w:style>
  <w:style w:type="paragraph" w:customStyle="1" w:styleId="528">
    <w:name w:val="Char Char Char Char Char Char Char Char Char1 Char Char Char Char Char Char Char Char Char Char Char Char1 Char Char Char Char Char Char Char Char Char Char"/>
    <w:basedOn w:val="20"/>
    <w:next w:val="1"/>
    <w:qFormat/>
    <w:uiPriority w:val="0"/>
    <w:pPr>
      <w:adjustRightInd w:val="0"/>
      <w:jc w:val="center"/>
      <w:textAlignment w:val="baseline"/>
    </w:pPr>
    <w:rPr>
      <w:rFonts w:ascii="Tahoma" w:hAnsi="Tahoma"/>
      <w:kern w:val="0"/>
    </w:rPr>
  </w:style>
  <w:style w:type="paragraph" w:customStyle="1" w:styleId="529">
    <w:name w:val="Char Char Char Char Char Char Char Char Char1 Char Char Char Char Char Char Char Char Char Char Char Char Char Char Char Char Char Char Char Char Char Char Char Char Char"/>
    <w:basedOn w:val="20"/>
    <w:next w:val="1"/>
    <w:qFormat/>
    <w:uiPriority w:val="0"/>
    <w:pPr>
      <w:adjustRightInd w:val="0"/>
      <w:jc w:val="center"/>
      <w:textAlignment w:val="baseline"/>
    </w:pPr>
    <w:rPr>
      <w:rFonts w:ascii="Tahoma" w:hAnsi="Tahoma"/>
      <w:kern w:val="0"/>
    </w:rPr>
  </w:style>
  <w:style w:type="character" w:customStyle="1" w:styleId="530">
    <w:name w:val="列表段落 字符"/>
    <w:link w:val="287"/>
    <w:qFormat/>
    <w:uiPriority w:val="99"/>
    <w:rPr>
      <w:rFonts w:cstheme="minorBidi"/>
      <w:kern w:val="2"/>
      <w:sz w:val="24"/>
      <w:szCs w:val="21"/>
    </w:rPr>
  </w:style>
  <w:style w:type="character" w:customStyle="1" w:styleId="531">
    <w:name w:val="题注格式 Char"/>
    <w:qFormat/>
    <w:uiPriority w:val="0"/>
    <w:rPr>
      <w:rFonts w:ascii="Arial" w:hAnsi="Arial" w:eastAsia="宋体" w:cs="Arial"/>
      <w:kern w:val="2"/>
      <w:sz w:val="21"/>
      <w:lang w:val="en-US" w:eastAsia="zh-CN" w:bidi="ar-SA"/>
    </w:rPr>
  </w:style>
  <w:style w:type="paragraph" w:customStyle="1" w:styleId="532">
    <w:name w:val="列出段落2"/>
    <w:basedOn w:val="1"/>
    <w:qFormat/>
    <w:uiPriority w:val="0"/>
    <w:pPr>
      <w:autoSpaceDE w:val="0"/>
      <w:autoSpaceDN w:val="0"/>
      <w:adjustRightInd w:val="0"/>
      <w:ind w:firstLine="420"/>
      <w:jc w:val="left"/>
    </w:pPr>
    <w:rPr>
      <w:kern w:val="0"/>
    </w:rPr>
  </w:style>
  <w:style w:type="paragraph" w:customStyle="1" w:styleId="533">
    <w:name w:val="Char Char Char Char Char Char Char Char Char1 Char Char Char Char Char Char Char Char Char Char Char Char1 Char Char Char Char Char Char"/>
    <w:basedOn w:val="20"/>
    <w:next w:val="1"/>
    <w:qFormat/>
    <w:uiPriority w:val="0"/>
    <w:pPr>
      <w:adjustRightInd w:val="0"/>
      <w:jc w:val="center"/>
      <w:textAlignment w:val="baseline"/>
    </w:pPr>
    <w:rPr>
      <w:rFonts w:ascii="Tahoma" w:hAnsi="Tahoma"/>
      <w:kern w:val="0"/>
    </w:rPr>
  </w:style>
  <w:style w:type="character" w:customStyle="1" w:styleId="534">
    <w:name w:val="规划正文 Char Char"/>
    <w:link w:val="340"/>
    <w:qFormat/>
    <w:uiPriority w:val="0"/>
    <w:rPr>
      <w:rFonts w:ascii="宋体" w:hAnsi="宋体" w:cstheme="minorBidi"/>
      <w:color w:val="000000"/>
      <w:kern w:val="2"/>
      <w:sz w:val="24"/>
      <w:szCs w:val="21"/>
    </w:rPr>
  </w:style>
  <w:style w:type="paragraph" w:customStyle="1" w:styleId="535">
    <w:name w:val="Char Char Char Char Char Char Char Char Char Char Char Char Char Char Char Char"/>
    <w:basedOn w:val="20"/>
    <w:qFormat/>
    <w:uiPriority w:val="0"/>
    <w:rPr>
      <w:rFonts w:ascii="Tahoma" w:hAnsi="Tahoma"/>
    </w:rPr>
  </w:style>
  <w:style w:type="paragraph" w:customStyle="1" w:styleId="536">
    <w:name w:val="Item List"/>
    <w:qFormat/>
    <w:uiPriority w:val="0"/>
    <w:pPr>
      <w:numPr>
        <w:ilvl w:val="0"/>
        <w:numId w:val="44"/>
      </w:numPr>
      <w:adjustRightInd w:val="0"/>
      <w:snapToGrid w:val="0"/>
      <w:spacing w:before="80" w:after="80" w:line="240" w:lineRule="atLeast"/>
    </w:pPr>
    <w:rPr>
      <w:rFonts w:hint="eastAsia" w:ascii="Times New Roman" w:hAnsi="Times New Roman" w:eastAsia="宋体" w:cs="Arial"/>
      <w:kern w:val="2"/>
      <w:sz w:val="21"/>
      <w:szCs w:val="21"/>
      <w:lang w:val="en-US" w:eastAsia="zh-CN" w:bidi="ar-SA"/>
    </w:rPr>
  </w:style>
  <w:style w:type="paragraph" w:customStyle="1" w:styleId="537">
    <w:name w:val="Item List in Table"/>
    <w:basedOn w:val="1"/>
    <w:link w:val="540"/>
    <w:qFormat/>
    <w:uiPriority w:val="0"/>
    <w:pPr>
      <w:numPr>
        <w:ilvl w:val="0"/>
        <w:numId w:val="45"/>
      </w:numPr>
      <w:topLinePunct/>
      <w:adjustRightInd w:val="0"/>
      <w:snapToGrid w:val="0"/>
      <w:spacing w:before="80" w:after="80" w:line="240" w:lineRule="atLeast"/>
    </w:pPr>
    <w:rPr>
      <w:kern w:val="0"/>
    </w:rPr>
  </w:style>
  <w:style w:type="character" w:customStyle="1" w:styleId="538">
    <w:name w:val="Table Text Char"/>
    <w:basedOn w:val="67"/>
    <w:link w:val="169"/>
    <w:qFormat/>
    <w:uiPriority w:val="0"/>
    <w:rPr>
      <w:rFonts w:ascii="Arial" w:hAnsi="Arial"/>
      <w:sz w:val="18"/>
      <w:lang w:val="en-US" w:eastAsia="zh-CN" w:bidi="ar-SA"/>
    </w:rPr>
  </w:style>
  <w:style w:type="character" w:customStyle="1" w:styleId="539">
    <w:name w:val="Table Heading Char"/>
    <w:basedOn w:val="67"/>
    <w:link w:val="121"/>
    <w:qFormat/>
    <w:uiPriority w:val="0"/>
    <w:rPr>
      <w:rFonts w:ascii="Arial" w:hAnsi="Arial" w:eastAsia="黑体"/>
      <w:sz w:val="18"/>
      <w:lang w:val="en-US" w:eastAsia="zh-CN" w:bidi="ar-SA"/>
    </w:rPr>
  </w:style>
  <w:style w:type="character" w:customStyle="1" w:styleId="540">
    <w:name w:val="Item List in Table Char"/>
    <w:basedOn w:val="67"/>
    <w:link w:val="537"/>
    <w:qFormat/>
    <w:uiPriority w:val="0"/>
    <w:rPr>
      <w:rFonts w:cstheme="minorBidi"/>
      <w:sz w:val="24"/>
      <w:szCs w:val="21"/>
    </w:rPr>
  </w:style>
  <w:style w:type="character" w:customStyle="1" w:styleId="541">
    <w:name w:val="表号 Char"/>
    <w:basedOn w:val="67"/>
    <w:link w:val="123"/>
    <w:qFormat/>
    <w:uiPriority w:val="0"/>
    <w:rPr>
      <w:rFonts w:ascii="Arial" w:hAnsi="Arial" w:cstheme="minorBidi"/>
      <w:sz w:val="18"/>
      <w:szCs w:val="18"/>
    </w:rPr>
  </w:style>
  <w:style w:type="character" w:customStyle="1" w:styleId="542">
    <w:name w:val="正文首行缩进2"/>
    <w:basedOn w:val="67"/>
    <w:qFormat/>
    <w:uiPriority w:val="0"/>
    <w:rPr>
      <w:rFonts w:ascii="Arial" w:hAnsi="Arial" w:eastAsia="宋体"/>
      <w:sz w:val="21"/>
      <w:szCs w:val="21"/>
      <w:lang w:val="en-US" w:eastAsia="zh-CN" w:bidi="ar-SA"/>
    </w:rPr>
  </w:style>
  <w:style w:type="paragraph" w:customStyle="1" w:styleId="543">
    <w:name w:val="正文一般内容"/>
    <w:basedOn w:val="1"/>
    <w:qFormat/>
    <w:uiPriority w:val="0"/>
    <w:pPr>
      <w:ind w:firstLine="426"/>
    </w:pPr>
    <w:rPr>
      <w:rFonts w:ascii="宋体" w:hAnsi="宋体"/>
      <w:bCs/>
    </w:rPr>
  </w:style>
  <w:style w:type="table" w:customStyle="1" w:styleId="544">
    <w:name w:val="表格样式1"/>
    <w:basedOn w:val="64"/>
    <w:qFormat/>
    <w:uiPriority w:val="0"/>
    <w:pPr>
      <w:widowControl/>
      <w:jc w:val="left"/>
    </w:pPr>
  </w:style>
  <w:style w:type="character" w:customStyle="1" w:styleId="545">
    <w:name w:val="正文 + 小四 Char"/>
    <w:basedOn w:val="67"/>
    <w:link w:val="546"/>
    <w:qFormat/>
    <w:locked/>
    <w:uiPriority w:val="0"/>
    <w:rPr>
      <w:rFonts w:cstheme="minorBidi"/>
      <w:sz w:val="24"/>
      <w:szCs w:val="21"/>
    </w:rPr>
  </w:style>
  <w:style w:type="paragraph" w:customStyle="1" w:styleId="546">
    <w:name w:val="正文 + 小四"/>
    <w:basedOn w:val="1"/>
    <w:link w:val="545"/>
    <w:qFormat/>
    <w:uiPriority w:val="0"/>
    <w:pPr>
      <w:ind w:firstLine="480"/>
    </w:pPr>
    <w:rPr>
      <w:kern w:val="0"/>
    </w:rPr>
  </w:style>
  <w:style w:type="character" w:customStyle="1" w:styleId="547">
    <w:name w:val="图号 Char"/>
    <w:basedOn w:val="67"/>
    <w:link w:val="327"/>
    <w:qFormat/>
    <w:uiPriority w:val="0"/>
    <w:rPr>
      <w:rFonts w:ascii="Arial" w:hAnsi="Arial" w:cstheme="minorBidi"/>
      <w:sz w:val="18"/>
      <w:szCs w:val="18"/>
    </w:rPr>
  </w:style>
  <w:style w:type="character" w:customStyle="1" w:styleId="548">
    <w:name w:val="headline-1-index1"/>
    <w:basedOn w:val="67"/>
    <w:qFormat/>
    <w:uiPriority w:val="0"/>
    <w:rPr>
      <w:color w:val="CCCCCC"/>
      <w:sz w:val="30"/>
      <w:szCs w:val="30"/>
    </w:rPr>
  </w:style>
  <w:style w:type="character" w:customStyle="1" w:styleId="549">
    <w:name w:val="headline-content3"/>
    <w:basedOn w:val="67"/>
    <w:qFormat/>
    <w:uiPriority w:val="0"/>
  </w:style>
  <w:style w:type="paragraph" w:customStyle="1" w:styleId="550">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rPr>
  </w:style>
  <w:style w:type="paragraph" w:customStyle="1" w:styleId="551">
    <w:name w:val="xl6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rPr>
  </w:style>
  <w:style w:type="paragraph" w:customStyle="1" w:styleId="552">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rPr>
  </w:style>
  <w:style w:type="paragraph" w:customStyle="1" w:styleId="553">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ascii="宋体" w:hAnsi="宋体" w:cs="宋体"/>
      <w:color w:val="000000"/>
      <w:kern w:val="0"/>
    </w:rPr>
  </w:style>
  <w:style w:type="paragraph" w:customStyle="1" w:styleId="554">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rPr>
  </w:style>
  <w:style w:type="paragraph" w:customStyle="1" w:styleId="555">
    <w:name w:val="xl68"/>
    <w:basedOn w:val="1"/>
    <w:qFormat/>
    <w:uiPriority w:val="0"/>
    <w:pPr>
      <w:widowControl/>
      <w:pBdr>
        <w:top w:val="single" w:color="auto" w:sz="8" w:space="0"/>
        <w:left w:val="single" w:color="auto" w:sz="8" w:space="0"/>
        <w:bottom w:val="single" w:color="auto" w:sz="8" w:space="0"/>
      </w:pBdr>
      <w:spacing w:before="100" w:beforeAutospacing="1" w:after="100" w:afterAutospacing="1"/>
      <w:jc w:val="center"/>
    </w:pPr>
    <w:rPr>
      <w:rFonts w:ascii="宋体" w:hAnsi="宋体" w:cs="宋体"/>
      <w:color w:val="000000"/>
      <w:kern w:val="0"/>
    </w:rPr>
  </w:style>
  <w:style w:type="paragraph" w:customStyle="1" w:styleId="556">
    <w:name w:val="xl69"/>
    <w:basedOn w:val="1"/>
    <w:qFormat/>
    <w:uiPriority w:val="0"/>
    <w:pPr>
      <w:widowControl/>
      <w:pBdr>
        <w:top w:val="single" w:color="auto" w:sz="8" w:space="0"/>
        <w:bottom w:val="single" w:color="auto" w:sz="8" w:space="0"/>
      </w:pBdr>
      <w:spacing w:before="100" w:beforeAutospacing="1" w:after="100" w:afterAutospacing="1"/>
      <w:jc w:val="center"/>
    </w:pPr>
    <w:rPr>
      <w:rFonts w:ascii="宋体" w:hAnsi="宋体" w:cs="宋体"/>
      <w:color w:val="000000"/>
      <w:kern w:val="0"/>
    </w:rPr>
  </w:style>
  <w:style w:type="paragraph" w:customStyle="1" w:styleId="557">
    <w:name w:val="xl70"/>
    <w:basedOn w:val="1"/>
    <w:qFormat/>
    <w:uiPriority w:val="0"/>
    <w:pPr>
      <w:widowControl/>
      <w:pBdr>
        <w:top w:val="single" w:color="auto" w:sz="8" w:space="0"/>
        <w:bottom w:val="single" w:color="auto" w:sz="8" w:space="0"/>
        <w:right w:val="single" w:color="auto" w:sz="8" w:space="0"/>
      </w:pBdr>
      <w:spacing w:before="100" w:beforeAutospacing="1" w:after="100" w:afterAutospacing="1"/>
      <w:jc w:val="center"/>
    </w:pPr>
    <w:rPr>
      <w:rFonts w:ascii="宋体" w:hAnsi="宋体" w:cs="宋体"/>
      <w:color w:val="000000"/>
      <w:kern w:val="0"/>
    </w:rPr>
  </w:style>
  <w:style w:type="character" w:customStyle="1" w:styleId="558">
    <w:name w:val="标题 1 Char1"/>
    <w:basedOn w:val="67"/>
    <w:qFormat/>
    <w:uiPriority w:val="0"/>
    <w:rPr>
      <w:rFonts w:eastAsia="宋体"/>
      <w:b/>
      <w:bCs/>
      <w:kern w:val="44"/>
      <w:sz w:val="44"/>
      <w:szCs w:val="44"/>
    </w:rPr>
  </w:style>
  <w:style w:type="character" w:customStyle="1" w:styleId="559">
    <w:name w:val="标题 2 Char1"/>
    <w:basedOn w:val="67"/>
    <w:semiHidden/>
    <w:qFormat/>
    <w:uiPriority w:val="0"/>
    <w:rPr>
      <w:rFonts w:ascii="Cambria" w:hAnsi="Cambria" w:eastAsia="宋体" w:cs="Times New Roman"/>
      <w:b/>
      <w:bCs/>
      <w:kern w:val="2"/>
      <w:sz w:val="32"/>
      <w:szCs w:val="32"/>
    </w:rPr>
  </w:style>
  <w:style w:type="character" w:customStyle="1" w:styleId="560">
    <w:name w:val="标题 3 Char1"/>
    <w:basedOn w:val="67"/>
    <w:semiHidden/>
    <w:qFormat/>
    <w:uiPriority w:val="0"/>
    <w:rPr>
      <w:rFonts w:eastAsia="宋体"/>
      <w:b/>
      <w:bCs/>
      <w:kern w:val="2"/>
      <w:sz w:val="32"/>
      <w:szCs w:val="32"/>
    </w:rPr>
  </w:style>
  <w:style w:type="character" w:customStyle="1" w:styleId="561">
    <w:name w:val="标题 4 Char1"/>
    <w:basedOn w:val="67"/>
    <w:semiHidden/>
    <w:qFormat/>
    <w:uiPriority w:val="0"/>
    <w:rPr>
      <w:rFonts w:ascii="Cambria" w:hAnsi="Cambria" w:eastAsia="宋体" w:cs="Times New Roman"/>
      <w:b/>
      <w:bCs/>
      <w:kern w:val="2"/>
      <w:sz w:val="28"/>
      <w:szCs w:val="28"/>
    </w:rPr>
  </w:style>
  <w:style w:type="table" w:customStyle="1" w:styleId="562">
    <w:name w:val="网格型2"/>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63">
    <w:name w:val="网格型3"/>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64">
    <w:name w:val="网格型4"/>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65">
    <w:name w:val="网格型5"/>
    <w:basedOn w:val="6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6">
    <w:name w:val="QB表"/>
    <w:basedOn w:val="276"/>
    <w:next w:val="276"/>
    <w:qFormat/>
    <w:uiPriority w:val="0"/>
    <w:pPr>
      <w:ind w:left="1276" w:hanging="1276" w:firstLineChars="0"/>
      <w:jc w:val="center"/>
    </w:pPr>
    <w:rPr>
      <w:rFonts w:hAnsi="Times New Roman" w:cs="Times New Roman"/>
      <w:lang w:bidi="ar-SA"/>
    </w:rPr>
  </w:style>
  <w:style w:type="paragraph" w:customStyle="1" w:styleId="567">
    <w:name w:val="QB附录"/>
    <w:basedOn w:val="276"/>
    <w:qFormat/>
    <w:uiPriority w:val="0"/>
    <w:pPr>
      <w:numPr>
        <w:ilvl w:val="0"/>
        <w:numId w:val="46"/>
      </w:numPr>
      <w:ind w:firstLineChars="0"/>
    </w:pPr>
    <w:rPr>
      <w:rFonts w:hAnsi="Times New Roman" w:cs="Times New Roman"/>
      <w:lang w:bidi="ar-SA"/>
    </w:rPr>
  </w:style>
  <w:style w:type="paragraph" w:customStyle="1" w:styleId="568">
    <w:name w:val="QB前言正文"/>
    <w:basedOn w:val="276"/>
    <w:qFormat/>
    <w:uiPriority w:val="0"/>
    <w:rPr>
      <w:rFonts w:hAnsi="Times New Roman" w:cs="Times New Roman"/>
      <w:szCs w:val="24"/>
      <w:lang w:bidi="ar-SA"/>
    </w:rPr>
  </w:style>
  <w:style w:type="paragraph" w:customStyle="1" w:styleId="569">
    <w:name w:val="xl7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0">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1">
    <w:name w:val="xl80"/>
    <w:basedOn w:val="1"/>
    <w:qFormat/>
    <w:uiPriority w:val="0"/>
    <w:pPr>
      <w:widowControl/>
      <w:spacing w:before="100" w:beforeAutospacing="1" w:after="100" w:afterAutospacing="1"/>
      <w:jc w:val="left"/>
    </w:pPr>
    <w:rPr>
      <w:rFonts w:ascii="宋体" w:hAnsi="宋体" w:cs="宋体"/>
      <w:kern w:val="0"/>
    </w:rPr>
  </w:style>
  <w:style w:type="paragraph" w:customStyle="1" w:styleId="572">
    <w:name w:val="xl8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3">
    <w:name w:val="xl8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4">
    <w:name w:val="xl8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5">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6">
    <w:name w:val="xl8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7">
    <w:name w:val="xl8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78">
    <w:name w:val="xl8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kern w:val="0"/>
      <w:sz w:val="20"/>
      <w:szCs w:val="20"/>
    </w:rPr>
  </w:style>
  <w:style w:type="paragraph" w:customStyle="1" w:styleId="579">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80">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w:hAnsi="Arial" w:cs="Arial"/>
      <w:kern w:val="0"/>
      <w:sz w:val="20"/>
      <w:szCs w:val="20"/>
    </w:rPr>
  </w:style>
  <w:style w:type="paragraph" w:customStyle="1" w:styleId="581">
    <w:name w:val="xl9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MS PGothic" w:hAnsi="MS PGothic" w:eastAsia="MS PGothic" w:cs="宋体"/>
      <w:kern w:val="0"/>
      <w:sz w:val="20"/>
      <w:szCs w:val="20"/>
    </w:rPr>
  </w:style>
  <w:style w:type="paragraph" w:customStyle="1" w:styleId="582">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w:hAnsi="Arial" w:cs="Arial"/>
      <w:kern w:val="0"/>
      <w:sz w:val="20"/>
      <w:szCs w:val="20"/>
    </w:rPr>
  </w:style>
  <w:style w:type="paragraph" w:customStyle="1" w:styleId="583">
    <w:name w:val="xl9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584">
    <w:name w:val="xl93"/>
    <w:basedOn w:val="1"/>
    <w:qFormat/>
    <w:uiPriority w:val="0"/>
    <w:pPr>
      <w:widowControl/>
      <w:spacing w:before="100" w:beforeAutospacing="1" w:after="100" w:afterAutospacing="1"/>
      <w:jc w:val="center"/>
    </w:pPr>
    <w:rPr>
      <w:rFonts w:ascii="宋体" w:hAnsi="宋体" w:cs="宋体"/>
      <w:kern w:val="0"/>
      <w:sz w:val="20"/>
      <w:szCs w:val="20"/>
    </w:rPr>
  </w:style>
  <w:style w:type="paragraph" w:customStyle="1" w:styleId="585">
    <w:name w:val="xl94"/>
    <w:basedOn w:val="1"/>
    <w:qFormat/>
    <w:uiPriority w:val="0"/>
    <w:pPr>
      <w:widowControl/>
      <w:spacing w:before="100" w:beforeAutospacing="1" w:after="100" w:afterAutospacing="1"/>
      <w:jc w:val="center"/>
    </w:pPr>
    <w:rPr>
      <w:rFonts w:ascii="宋体" w:hAnsi="宋体" w:cs="宋体"/>
      <w:kern w:val="0"/>
      <w:sz w:val="20"/>
      <w:szCs w:val="20"/>
    </w:rPr>
  </w:style>
  <w:style w:type="paragraph" w:customStyle="1" w:styleId="586">
    <w:name w:val="xl95"/>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pPr>
    <w:rPr>
      <w:rFonts w:ascii="宋体" w:hAnsi="宋体" w:cs="宋体"/>
      <w:b/>
      <w:bCs/>
      <w:kern w:val="0"/>
      <w:sz w:val="20"/>
      <w:szCs w:val="20"/>
    </w:rPr>
  </w:style>
  <w:style w:type="paragraph" w:customStyle="1" w:styleId="587">
    <w:name w:val="xl96"/>
    <w:basedOn w:val="1"/>
    <w:qFormat/>
    <w:uiPriority w:val="0"/>
    <w:pPr>
      <w:widowControl/>
      <w:pBdr>
        <w:top w:val="single" w:color="auto" w:sz="4" w:space="0"/>
        <w:bottom w:val="single" w:color="auto" w:sz="4" w:space="0"/>
      </w:pBdr>
      <w:spacing w:before="100" w:beforeAutospacing="1" w:after="100" w:afterAutospacing="1"/>
      <w:jc w:val="center"/>
    </w:pPr>
    <w:rPr>
      <w:rFonts w:ascii="宋体" w:hAnsi="宋体" w:cs="宋体"/>
      <w:b/>
      <w:bCs/>
      <w:kern w:val="0"/>
      <w:sz w:val="20"/>
      <w:szCs w:val="20"/>
    </w:rPr>
  </w:style>
  <w:style w:type="paragraph" w:customStyle="1" w:styleId="588">
    <w:name w:val="xl97"/>
    <w:basedOn w:val="1"/>
    <w:qFormat/>
    <w:uiPriority w:val="0"/>
    <w:pPr>
      <w:widowControl/>
      <w:pBdr>
        <w:top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szCs w:val="20"/>
    </w:rPr>
  </w:style>
  <w:style w:type="paragraph" w:customStyle="1" w:styleId="589">
    <w:name w:val="修订11"/>
    <w:qFormat/>
    <w:uiPriority w:val="0"/>
    <w:rPr>
      <w:rFonts w:ascii="Times New Roman" w:hAnsi="Times New Roman" w:eastAsia="宋体" w:cs="Times New Roman"/>
      <w:kern w:val="2"/>
      <w:sz w:val="21"/>
      <w:szCs w:val="24"/>
      <w:lang w:val="en-US" w:eastAsia="zh-CN" w:bidi="ar-SA"/>
    </w:rPr>
  </w:style>
  <w:style w:type="paragraph" w:customStyle="1" w:styleId="590">
    <w:name w:val="TOC 标题11"/>
    <w:basedOn w:val="3"/>
    <w:next w:val="1"/>
    <w:qFormat/>
    <w:uiPriority w:val="0"/>
    <w:pPr>
      <w:widowControl/>
      <w:numPr>
        <w:numId w:val="0"/>
      </w:numPr>
      <w:spacing w:before="480" w:line="276" w:lineRule="auto"/>
      <w:outlineLvl w:val="9"/>
    </w:pPr>
    <w:rPr>
      <w:rFonts w:ascii="Cambria" w:hAnsi="Cambria"/>
      <w:color w:val="365F91"/>
      <w:kern w:val="0"/>
      <w:sz w:val="28"/>
      <w:szCs w:val="28"/>
    </w:rPr>
  </w:style>
  <w:style w:type="paragraph" w:customStyle="1" w:styleId="591">
    <w:name w:val="Char12"/>
    <w:basedOn w:val="1"/>
    <w:qFormat/>
    <w:uiPriority w:val="0"/>
    <w:pPr>
      <w:keepNext/>
      <w:autoSpaceDE w:val="0"/>
      <w:autoSpaceDN w:val="0"/>
      <w:adjustRightInd w:val="0"/>
      <w:snapToGrid w:val="0"/>
      <w:spacing w:line="300" w:lineRule="auto"/>
      <w:jc w:val="left"/>
    </w:pPr>
    <w:rPr>
      <w:kern w:val="0"/>
    </w:rPr>
  </w:style>
  <w:style w:type="character" w:customStyle="1" w:styleId="592">
    <w:name w:val="不明显强调11"/>
    <w:qFormat/>
    <w:uiPriority w:val="0"/>
    <w:rPr>
      <w:i/>
      <w:iCs/>
      <w:color w:val="808080"/>
    </w:rPr>
  </w:style>
  <w:style w:type="paragraph" w:customStyle="1" w:styleId="593">
    <w:name w:val="二级标题"/>
    <w:basedOn w:val="1"/>
    <w:qFormat/>
    <w:uiPriority w:val="0"/>
    <w:pPr>
      <w:widowControl/>
      <w:spacing w:before="120" w:after="120" w:line="320" w:lineRule="exact"/>
      <w:outlineLvl w:val="1"/>
    </w:pPr>
    <w:rPr>
      <w:rFonts w:eastAsia="黑体" w:cs="宋体"/>
      <w:b/>
      <w:bCs/>
      <w:kern w:val="0"/>
      <w:sz w:val="22"/>
      <w:szCs w:val="20"/>
      <w:lang w:eastAsia="en-US"/>
    </w:rPr>
  </w:style>
  <w:style w:type="paragraph" w:customStyle="1" w:styleId="594">
    <w:name w:val="正文样式1"/>
    <w:basedOn w:val="3"/>
    <w:qFormat/>
    <w:uiPriority w:val="0"/>
    <w:pPr>
      <w:widowControl/>
      <w:numPr>
        <w:ilvl w:val="0"/>
        <w:numId w:val="47"/>
      </w:numPr>
      <w:overflowPunct w:val="0"/>
      <w:autoSpaceDE w:val="0"/>
      <w:autoSpaceDN w:val="0"/>
      <w:spacing w:before="240"/>
      <w:textAlignment w:val="baseline"/>
    </w:pPr>
    <w:rPr>
      <w:rFonts w:ascii="Arial Narrow" w:hAnsi="Arial Narrow"/>
      <w:b w:val="0"/>
      <w:bCs w:val="0"/>
      <w:kern w:val="0"/>
      <w:szCs w:val="20"/>
    </w:rPr>
  </w:style>
  <w:style w:type="character" w:customStyle="1" w:styleId="595">
    <w:name w:val="download-filename1"/>
    <w:basedOn w:val="67"/>
    <w:qFormat/>
    <w:uiPriority w:val="0"/>
    <w:rPr>
      <w:position w:val="8"/>
    </w:rPr>
  </w:style>
  <w:style w:type="character" w:customStyle="1" w:styleId="596">
    <w:name w:val="表格正文 字符"/>
    <w:basedOn w:val="67"/>
    <w:link w:val="271"/>
    <w:qFormat/>
    <w:uiPriority w:val="0"/>
    <w:rPr>
      <w:rFonts w:cstheme="minorBidi"/>
      <w:sz w:val="24"/>
      <w:szCs w:val="21"/>
    </w:rPr>
  </w:style>
  <w:style w:type="paragraph" w:customStyle="1" w:styleId="597">
    <w:name w:val="注"/>
    <w:basedOn w:val="290"/>
    <w:link w:val="598"/>
    <w:qFormat/>
    <w:uiPriority w:val="0"/>
    <w:pPr>
      <w:ind w:left="300" w:hanging="300" w:hangingChars="300"/>
      <w:jc w:val="left"/>
    </w:pPr>
  </w:style>
  <w:style w:type="character" w:customStyle="1" w:styleId="598">
    <w:name w:val="注 字符"/>
    <w:basedOn w:val="291"/>
    <w:link w:val="597"/>
    <w:qFormat/>
    <w:uiPriority w:val="0"/>
    <w:rPr>
      <w:rFonts w:ascii="宋体" w:hAnsi="宋体" w:cstheme="minorBidi"/>
      <w:color w:val="FF0000"/>
      <w:kern w:val="2"/>
      <w:sz w:val="21"/>
      <w:szCs w:val="21"/>
    </w:rPr>
  </w:style>
  <w:style w:type="paragraph" w:customStyle="1" w:styleId="599">
    <w:name w:val="图格式"/>
    <w:basedOn w:val="1"/>
    <w:link w:val="600"/>
    <w:qFormat/>
    <w:uiPriority w:val="0"/>
    <w:pPr>
      <w:autoSpaceDE w:val="0"/>
      <w:autoSpaceDN w:val="0"/>
      <w:adjustRightInd w:val="0"/>
      <w:ind w:firstLine="0" w:firstLineChars="0"/>
      <w:jc w:val="center"/>
    </w:pPr>
    <w:rPr>
      <w:rFonts w:ascii="宋体" w:hAnsi="宋体"/>
    </w:rPr>
  </w:style>
  <w:style w:type="character" w:customStyle="1" w:styleId="600">
    <w:name w:val="图格式 字符"/>
    <w:basedOn w:val="67"/>
    <w:link w:val="599"/>
    <w:qFormat/>
    <w:uiPriority w:val="0"/>
    <w:rPr>
      <w:rFonts w:ascii="宋体" w:hAnsi="宋体" w:cstheme="minorBidi"/>
      <w:kern w:val="2"/>
      <w:sz w:val="24"/>
      <w:szCs w:val="21"/>
    </w:rPr>
  </w:style>
  <w:style w:type="character" w:styleId="601">
    <w:name w:val="Placeholder Text"/>
    <w:basedOn w:val="67"/>
    <w:semiHidden/>
    <w:qFormat/>
    <w:uiPriority w:val="99"/>
    <w:rPr>
      <w:color w:val="808080"/>
    </w:rPr>
  </w:style>
  <w:style w:type="table" w:customStyle="1" w:styleId="602">
    <w:name w:val="网格型6"/>
    <w:basedOn w:val="63"/>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03">
    <w:name w:val="图表编号"/>
    <w:basedOn w:val="1"/>
    <w:link w:val="604"/>
    <w:qFormat/>
    <w:uiPriority w:val="0"/>
    <w:pPr>
      <w:ind w:firstLine="0" w:firstLineChars="0"/>
      <w:jc w:val="center"/>
    </w:pPr>
    <w:rPr>
      <w:bCs/>
      <w:kern w:val="44"/>
      <w:sz w:val="21"/>
      <w:szCs w:val="44"/>
    </w:rPr>
  </w:style>
  <w:style w:type="character" w:customStyle="1" w:styleId="604">
    <w:name w:val="图表编号 Char"/>
    <w:basedOn w:val="67"/>
    <w:link w:val="603"/>
    <w:qFormat/>
    <w:uiPriority w:val="0"/>
    <w:rPr>
      <w:rFonts w:cstheme="minorBidi"/>
      <w:bCs/>
      <w:kern w:val="44"/>
      <w:sz w:val="21"/>
      <w:szCs w:val="44"/>
    </w:rPr>
  </w:style>
  <w:style w:type="paragraph" w:customStyle="1" w:styleId="605">
    <w:name w:val="条目1"/>
    <w:qFormat/>
    <w:uiPriority w:val="0"/>
    <w:pPr>
      <w:numPr>
        <w:ilvl w:val="0"/>
        <w:numId w:val="48"/>
      </w:numPr>
      <w:spacing w:line="360" w:lineRule="auto"/>
    </w:pPr>
    <w:rPr>
      <w:rFonts w:ascii="Times New Roman" w:hAnsi="Times New Roman" w:eastAsia="宋体" w:cstheme="minorBidi"/>
      <w:bCs/>
      <w:kern w:val="2"/>
      <w:sz w:val="24"/>
      <w:szCs w:val="28"/>
      <w:lang w:val="en-US" w:eastAsia="zh-CN" w:bidi="ar-SA"/>
    </w:rPr>
  </w:style>
  <w:style w:type="table" w:customStyle="1" w:styleId="606">
    <w:name w:val="网格型11"/>
    <w:basedOn w:val="63"/>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07">
    <w:name w:val="fontstyle01"/>
    <w:basedOn w:val="67"/>
    <w:qFormat/>
    <w:uiPriority w:val="0"/>
    <w:rPr>
      <w:rFonts w:hint="eastAsia" w:ascii="黑体" w:hAnsi="黑体" w:eastAsia="黑体"/>
      <w:color w:val="000000"/>
      <w:sz w:val="22"/>
      <w:szCs w:val="22"/>
    </w:rPr>
  </w:style>
  <w:style w:type="table" w:customStyle="1" w:styleId="608">
    <w:name w:val="Text Char Char Char Char Char Char Char Char12"/>
    <w:basedOn w:val="6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09">
    <w:name w:val="Text Char Char Char Char Char Char Char Char11"/>
    <w:basedOn w:val="6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5.wmf"/><Relationship Id="rId98" Type="http://schemas.openxmlformats.org/officeDocument/2006/relationships/oleObject" Target="embeddings/oleObject38.bin"/><Relationship Id="rId97" Type="http://schemas.openxmlformats.org/officeDocument/2006/relationships/oleObject" Target="embeddings/oleObject37.bin"/><Relationship Id="rId96" Type="http://schemas.openxmlformats.org/officeDocument/2006/relationships/image" Target="media/image44.wmf"/><Relationship Id="rId95" Type="http://schemas.openxmlformats.org/officeDocument/2006/relationships/oleObject" Target="embeddings/oleObject36.bin"/><Relationship Id="rId94" Type="http://schemas.openxmlformats.org/officeDocument/2006/relationships/oleObject" Target="embeddings/oleObject35.bin"/><Relationship Id="rId93" Type="http://schemas.openxmlformats.org/officeDocument/2006/relationships/image" Target="media/image43.wmf"/><Relationship Id="rId92" Type="http://schemas.openxmlformats.org/officeDocument/2006/relationships/oleObject" Target="embeddings/oleObject34.bin"/><Relationship Id="rId91" Type="http://schemas.openxmlformats.org/officeDocument/2006/relationships/oleObject" Target="embeddings/oleObject33.bin"/><Relationship Id="rId90" Type="http://schemas.openxmlformats.org/officeDocument/2006/relationships/image" Target="media/image42.wmf"/><Relationship Id="rId9" Type="http://schemas.openxmlformats.org/officeDocument/2006/relationships/footer" Target="footer3.xml"/><Relationship Id="rId89" Type="http://schemas.openxmlformats.org/officeDocument/2006/relationships/oleObject" Target="embeddings/oleObject32.bin"/><Relationship Id="rId88" Type="http://schemas.openxmlformats.org/officeDocument/2006/relationships/image" Target="media/image41.wmf"/><Relationship Id="rId87" Type="http://schemas.openxmlformats.org/officeDocument/2006/relationships/oleObject" Target="embeddings/oleObject31.bin"/><Relationship Id="rId86" Type="http://schemas.openxmlformats.org/officeDocument/2006/relationships/image" Target="media/image40.wmf"/><Relationship Id="rId85" Type="http://schemas.openxmlformats.org/officeDocument/2006/relationships/oleObject" Target="embeddings/oleObject30.bin"/><Relationship Id="rId84" Type="http://schemas.openxmlformats.org/officeDocument/2006/relationships/image" Target="media/image39.png"/><Relationship Id="rId83" Type="http://schemas.openxmlformats.org/officeDocument/2006/relationships/image" Target="media/image38.wmf"/><Relationship Id="rId82" Type="http://schemas.openxmlformats.org/officeDocument/2006/relationships/oleObject" Target="embeddings/oleObject29.bin"/><Relationship Id="rId81" Type="http://schemas.openxmlformats.org/officeDocument/2006/relationships/image" Target="media/image37.wmf"/><Relationship Id="rId80" Type="http://schemas.openxmlformats.org/officeDocument/2006/relationships/oleObject" Target="embeddings/oleObject28.bin"/><Relationship Id="rId8" Type="http://schemas.openxmlformats.org/officeDocument/2006/relationships/header" Target="header4.xml"/><Relationship Id="rId79" Type="http://schemas.openxmlformats.org/officeDocument/2006/relationships/image" Target="media/image36.wmf"/><Relationship Id="rId78" Type="http://schemas.openxmlformats.org/officeDocument/2006/relationships/oleObject" Target="embeddings/oleObject27.bin"/><Relationship Id="rId77" Type="http://schemas.openxmlformats.org/officeDocument/2006/relationships/oleObject" Target="embeddings/oleObject26.bin"/><Relationship Id="rId76" Type="http://schemas.openxmlformats.org/officeDocument/2006/relationships/image" Target="media/image35.wmf"/><Relationship Id="rId75" Type="http://schemas.openxmlformats.org/officeDocument/2006/relationships/oleObject" Target="embeddings/oleObject25.bin"/><Relationship Id="rId74" Type="http://schemas.openxmlformats.org/officeDocument/2006/relationships/image" Target="media/image34.wmf"/><Relationship Id="rId73" Type="http://schemas.openxmlformats.org/officeDocument/2006/relationships/oleObject" Target="embeddings/oleObject24.bin"/><Relationship Id="rId72" Type="http://schemas.openxmlformats.org/officeDocument/2006/relationships/image" Target="media/image33.wmf"/><Relationship Id="rId71" Type="http://schemas.openxmlformats.org/officeDocument/2006/relationships/oleObject" Target="embeddings/oleObject23.bin"/><Relationship Id="rId70" Type="http://schemas.openxmlformats.org/officeDocument/2006/relationships/image" Target="media/image32.wmf"/><Relationship Id="rId7" Type="http://schemas.openxmlformats.org/officeDocument/2006/relationships/header" Target="header3.xml"/><Relationship Id="rId69" Type="http://schemas.openxmlformats.org/officeDocument/2006/relationships/oleObject" Target="embeddings/oleObject22.bin"/><Relationship Id="rId68" Type="http://schemas.openxmlformats.org/officeDocument/2006/relationships/image" Target="media/image31.wmf"/><Relationship Id="rId67" Type="http://schemas.openxmlformats.org/officeDocument/2006/relationships/image" Target="media/image30.wmf"/><Relationship Id="rId66" Type="http://schemas.openxmlformats.org/officeDocument/2006/relationships/image" Target="media/image29.wmf"/><Relationship Id="rId65" Type="http://schemas.openxmlformats.org/officeDocument/2006/relationships/image" Target="media/image28.wmf"/><Relationship Id="rId64" Type="http://schemas.openxmlformats.org/officeDocument/2006/relationships/oleObject" Target="embeddings/oleObject21.bin"/><Relationship Id="rId63" Type="http://schemas.openxmlformats.org/officeDocument/2006/relationships/image" Target="media/image27.wmf"/><Relationship Id="rId62" Type="http://schemas.openxmlformats.org/officeDocument/2006/relationships/oleObject" Target="embeddings/oleObject20.bin"/><Relationship Id="rId61" Type="http://schemas.openxmlformats.org/officeDocument/2006/relationships/oleObject" Target="embeddings/oleObject19.bin"/><Relationship Id="rId60" Type="http://schemas.openxmlformats.org/officeDocument/2006/relationships/image" Target="media/image26.wmf"/><Relationship Id="rId6" Type="http://schemas.openxmlformats.org/officeDocument/2006/relationships/header" Target="header2.xml"/><Relationship Id="rId59" Type="http://schemas.openxmlformats.org/officeDocument/2006/relationships/oleObject" Target="embeddings/oleObject18.bin"/><Relationship Id="rId58" Type="http://schemas.openxmlformats.org/officeDocument/2006/relationships/oleObject" Target="embeddings/oleObject17.bin"/><Relationship Id="rId57" Type="http://schemas.openxmlformats.org/officeDocument/2006/relationships/image" Target="media/image25.wmf"/><Relationship Id="rId56" Type="http://schemas.openxmlformats.org/officeDocument/2006/relationships/oleObject" Target="embeddings/oleObject16.bin"/><Relationship Id="rId55" Type="http://schemas.openxmlformats.org/officeDocument/2006/relationships/image" Target="media/image24.wmf"/><Relationship Id="rId54" Type="http://schemas.openxmlformats.org/officeDocument/2006/relationships/oleObject" Target="embeddings/oleObject15.bin"/><Relationship Id="rId53" Type="http://schemas.openxmlformats.org/officeDocument/2006/relationships/image" Target="media/image23.png"/><Relationship Id="rId52" Type="http://schemas.openxmlformats.org/officeDocument/2006/relationships/image" Target="media/image22.jpeg"/><Relationship Id="rId51" Type="http://schemas.openxmlformats.org/officeDocument/2006/relationships/image" Target="media/image21.emf"/><Relationship Id="rId50" Type="http://schemas.openxmlformats.org/officeDocument/2006/relationships/oleObject" Target="embeddings/oleObject14.bin"/><Relationship Id="rId5" Type="http://schemas.openxmlformats.org/officeDocument/2006/relationships/footer" Target="footer2.xml"/><Relationship Id="rId49" Type="http://schemas.openxmlformats.org/officeDocument/2006/relationships/image" Target="media/image20.wmf"/><Relationship Id="rId48" Type="http://schemas.openxmlformats.org/officeDocument/2006/relationships/oleObject" Target="embeddings/oleObject13.bin"/><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oleObject" Target="embeddings/oleObject12.bin"/><Relationship Id="rId4" Type="http://schemas.openxmlformats.org/officeDocument/2006/relationships/footer" Target="footer1.xml"/><Relationship Id="rId39" Type="http://schemas.openxmlformats.org/officeDocument/2006/relationships/oleObject" Target="embeddings/oleObject11.bin"/><Relationship Id="rId38" Type="http://schemas.openxmlformats.org/officeDocument/2006/relationships/oleObject" Target="embeddings/oleObject10.bin"/><Relationship Id="rId37" Type="http://schemas.openxmlformats.org/officeDocument/2006/relationships/oleObject" Target="embeddings/oleObject9.bin"/><Relationship Id="rId36" Type="http://schemas.openxmlformats.org/officeDocument/2006/relationships/image" Target="media/image12.wmf"/><Relationship Id="rId35" Type="http://schemas.openxmlformats.org/officeDocument/2006/relationships/oleObject" Target="embeddings/oleObject8.bin"/><Relationship Id="rId34" Type="http://schemas.openxmlformats.org/officeDocument/2006/relationships/image" Target="media/image11.wmf"/><Relationship Id="rId33" Type="http://schemas.openxmlformats.org/officeDocument/2006/relationships/oleObject" Target="embeddings/oleObject7.bin"/><Relationship Id="rId32" Type="http://schemas.openxmlformats.org/officeDocument/2006/relationships/image" Target="media/image10.wmf"/><Relationship Id="rId31" Type="http://schemas.openxmlformats.org/officeDocument/2006/relationships/oleObject" Target="embeddings/oleObject6.bin"/><Relationship Id="rId30" Type="http://schemas.openxmlformats.org/officeDocument/2006/relationships/image" Target="media/image9.w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8.wmf"/><Relationship Id="rId27" Type="http://schemas.openxmlformats.org/officeDocument/2006/relationships/oleObject" Target="embeddings/oleObject4.bin"/><Relationship Id="rId26" Type="http://schemas.openxmlformats.org/officeDocument/2006/relationships/image" Target="media/image7.wmf"/><Relationship Id="rId25" Type="http://schemas.openxmlformats.org/officeDocument/2006/relationships/oleObject" Target="embeddings/oleObject3.bin"/><Relationship Id="rId24" Type="http://schemas.openxmlformats.org/officeDocument/2006/relationships/image" Target="media/image6.wmf"/><Relationship Id="rId23" Type="http://schemas.openxmlformats.org/officeDocument/2006/relationships/oleObject" Target="embeddings/oleObject2.bin"/><Relationship Id="rId22" Type="http://schemas.openxmlformats.org/officeDocument/2006/relationships/image" Target="media/image5.wmf"/><Relationship Id="rId21" Type="http://schemas.openxmlformats.org/officeDocument/2006/relationships/oleObject" Target="embeddings/oleObject1.bin"/><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5" Type="http://schemas.openxmlformats.org/officeDocument/2006/relationships/fontTable" Target="fontTable.xml"/><Relationship Id="rId104" Type="http://schemas.openxmlformats.org/officeDocument/2006/relationships/customXml" Target="../customXml/item2.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46.wmf"/><Relationship Id="rId100" Type="http://schemas.openxmlformats.org/officeDocument/2006/relationships/oleObject" Target="embeddings/oleObject39.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89B3E2-0592-436F-A3A0-99E851830C0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130</Pages>
  <Words>13793</Words>
  <Characters>78626</Characters>
  <Lines>655</Lines>
  <Paragraphs>184</Paragraphs>
  <TotalTime>120</TotalTime>
  <ScaleCrop>false</ScaleCrop>
  <LinksUpToDate>false</LinksUpToDate>
  <CharactersWithSpaces>92235</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2020-03-11T08:56:00Z</dcterms:created>
  <dc:creator>zsw</dc:creator>
  <cp:lastModifiedBy>JadeBillow</cp:lastModifiedBy>
  <cp:lastPrinted>2019-06-11T02:02:00Z</cp:lastPrinted>
  <dcterms:modified xsi:type="dcterms:W3CDTF">2020-09-16T03:19:48Z</dcterms:modified>
  <dc:title>模版</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