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E74B5"/>
          <w:sz w:val="20"/>
        </w:rPr>
        <w:t>GUEST INTERVIEW GUIDE</w:t>
      </w:r>
    </w:p>
    <w:p>
      <w:pPr>
        <w:spacing w:before="0" w:after="100"/>
      </w:pPr>
      <w:r>
        <w:rPr>
          <w:rFonts w:ascii="Calibri" w:hAnsi="Calibri"/>
          <w:b/>
          <w:color w:val="0B2545"/>
          <w:sz w:val="56"/>
        </w:rPr>
        <w:t>FFHub Interview Prep</w:t>
      </w:r>
    </w:p>
    <w:p>
      <w:pPr>
        <w:spacing w:before="0" w:after="320"/>
      </w:pPr>
      <w:r>
        <w:rPr>
          <w:rFonts w:ascii="Calibri" w:hAnsi="Calibri"/>
          <w:color w:val="667085"/>
          <w:sz w:val="26"/>
        </w:rPr>
        <w:t>2026 season insights, asset watchlist and camera-ready answers</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cantSplit w:val="true"/>
        </w:trPr>
        <w:tc>
          <w:tcPr>
            <w:tcW w:type="dxa" w:w="2340"/>
            <w:vAlign w:val="center"/>
            <w:tcMar>
              <w:top w:w="80" w:type="dxa"/>
              <w:start w:w="120" w:type="dxa"/>
              <w:bottom w:w="80" w:type="dxa"/>
              <w:end w:w="120" w:type="dxa"/>
            </w:tcMar>
            <w:shd w:fill="E8EEF5"/>
            <w:tcBorders>
              <w:top w:val="single" w:sz="4" w:space="0" w:color="CAD3DF"/>
              <w:start w:val="single" w:sz="4" w:space="0" w:color="CAD3DF"/>
              <w:bottom w:val="single" w:sz="4" w:space="0" w:color="CAD3DF"/>
              <w:end w:val="single" w:sz="4" w:space="0" w:color="CAD3DF"/>
              <w:insideH w:val="single" w:sz="4" w:space="0" w:color="CAD3DF"/>
              <w:insideV w:val="single" w:sz="4" w:space="0" w:color="CAD3DF"/>
            </w:tcBorders>
          </w:tcPr>
          <w:p>
            <w:pPr>
              <w:spacing w:after="20"/>
              <w:jc w:val="center"/>
            </w:pPr>
            <w:r>
              <w:rPr>
                <w:rFonts w:ascii="Calibri" w:hAnsi="Calibri"/>
                <w:b/>
                <w:color w:val="2E74B5"/>
                <w:sz w:val="16"/>
              </w:rPr>
              <w:t>FORMAT</w:t>
              <w:br/>
            </w:r>
            <w:r>
              <w:rPr>
                <w:rFonts w:ascii="Calibri" w:hAnsi="Calibri"/>
                <w:b/>
                <w:color w:val="0B2545"/>
                <w:sz w:val="19"/>
              </w:rPr>
              <w:t>Group interview</w:t>
            </w:r>
          </w:p>
        </w:tc>
        <w:tc>
          <w:tcPr>
            <w:tcW w:type="dxa" w:w="2340"/>
            <w:vAlign w:val="center"/>
            <w:tcMar>
              <w:top w:w="80" w:type="dxa"/>
              <w:start w:w="120" w:type="dxa"/>
              <w:bottom w:w="80" w:type="dxa"/>
              <w:end w:w="120" w:type="dxa"/>
            </w:tcMar>
            <w:shd w:fill="E8EEF5"/>
            <w:tcBorders>
              <w:top w:val="single" w:sz="4" w:space="0" w:color="CAD3DF"/>
              <w:start w:val="single" w:sz="4" w:space="0" w:color="CAD3DF"/>
              <w:bottom w:val="single" w:sz="4" w:space="0" w:color="CAD3DF"/>
              <w:end w:val="single" w:sz="4" w:space="0" w:color="CAD3DF"/>
              <w:insideH w:val="single" w:sz="4" w:space="0" w:color="CAD3DF"/>
              <w:insideV w:val="single" w:sz="4" w:space="0" w:color="CAD3DF"/>
            </w:tcBorders>
          </w:tcPr>
          <w:p>
            <w:pPr>
              <w:spacing w:after="20"/>
              <w:jc w:val="center"/>
            </w:pPr>
            <w:r>
              <w:rPr>
                <w:rFonts w:ascii="Calibri" w:hAnsi="Calibri"/>
                <w:b/>
                <w:color w:val="2E74B5"/>
                <w:sz w:val="16"/>
              </w:rPr>
              <w:t>DURATION</w:t>
              <w:br/>
            </w:r>
            <w:r>
              <w:rPr>
                <w:rFonts w:ascii="Calibri" w:hAnsi="Calibri"/>
                <w:b/>
                <w:color w:val="0B2545"/>
                <w:sz w:val="19"/>
              </w:rPr>
              <w:t>30-45 minutes</w:t>
            </w:r>
          </w:p>
        </w:tc>
        <w:tc>
          <w:tcPr>
            <w:tcW w:type="dxa" w:w="2340"/>
            <w:vAlign w:val="center"/>
            <w:tcMar>
              <w:top w:w="80" w:type="dxa"/>
              <w:start w:w="120" w:type="dxa"/>
              <w:bottom w:w="80" w:type="dxa"/>
              <w:end w:w="120" w:type="dxa"/>
            </w:tcMar>
            <w:shd w:fill="E8EEF5"/>
            <w:tcBorders>
              <w:top w:val="single" w:sz="4" w:space="0" w:color="CAD3DF"/>
              <w:start w:val="single" w:sz="4" w:space="0" w:color="CAD3DF"/>
              <w:bottom w:val="single" w:sz="4" w:space="0" w:color="CAD3DF"/>
              <w:end w:val="single" w:sz="4" w:space="0" w:color="CAD3DF"/>
              <w:insideH w:val="single" w:sz="4" w:space="0" w:color="CAD3DF"/>
              <w:insideV w:val="single" w:sz="4" w:space="0" w:color="CAD3DF"/>
            </w:tcBorders>
          </w:tcPr>
          <w:p>
            <w:pPr>
              <w:spacing w:after="20"/>
              <w:jc w:val="center"/>
            </w:pPr>
            <w:r>
              <w:rPr>
                <w:rFonts w:ascii="Calibri" w:hAnsi="Calibri"/>
                <w:b/>
                <w:color w:val="2E74B5"/>
                <w:sz w:val="16"/>
              </w:rPr>
              <w:t>TIME</w:t>
              <w:br/>
            </w:r>
            <w:r>
              <w:rPr>
                <w:rFonts w:ascii="Calibri" w:hAnsi="Calibri"/>
                <w:b/>
                <w:color w:val="0B2545"/>
                <w:sz w:val="19"/>
              </w:rPr>
              <w:t>8pm UK / 9pm CEST</w:t>
            </w:r>
          </w:p>
        </w:tc>
        <w:tc>
          <w:tcPr>
            <w:tcW w:type="dxa" w:w="2340"/>
            <w:vAlign w:val="center"/>
            <w:tcMar>
              <w:top w:w="80" w:type="dxa"/>
              <w:start w:w="120" w:type="dxa"/>
              <w:bottom w:w="80" w:type="dxa"/>
              <w:end w:w="120" w:type="dxa"/>
            </w:tcMar>
            <w:shd w:fill="E8EEF5"/>
            <w:tcBorders>
              <w:top w:val="single" w:sz="4" w:space="0" w:color="CAD3DF"/>
              <w:start w:val="single" w:sz="4" w:space="0" w:color="CAD3DF"/>
              <w:bottom w:val="single" w:sz="4" w:space="0" w:color="CAD3DF"/>
              <w:end w:val="single" w:sz="4" w:space="0" w:color="CAD3DF"/>
              <w:insideH w:val="single" w:sz="4" w:space="0" w:color="CAD3DF"/>
              <w:insideV w:val="single" w:sz="4" w:space="0" w:color="CAD3DF"/>
            </w:tcBorders>
          </w:tcPr>
          <w:p>
            <w:pPr>
              <w:spacing w:after="20"/>
              <w:jc w:val="center"/>
            </w:pPr>
            <w:r>
              <w:rPr>
                <w:rFonts w:ascii="Calibri" w:hAnsi="Calibri"/>
                <w:b/>
                <w:color w:val="2E74B5"/>
                <w:sz w:val="16"/>
              </w:rPr>
              <w:t>PLATFORM</w:t>
              <w:br/>
            </w:r>
            <w:r>
              <w:rPr>
                <w:rFonts w:ascii="Calibri" w:hAnsi="Calibri"/>
                <w:b/>
                <w:color w:val="0B2545"/>
                <w:sz w:val="19"/>
              </w:rPr>
              <w:t>Riverside FM</w:t>
            </w:r>
          </w:p>
        </w:tc>
      </w:tr>
    </w:tbl>
    <w:p>
      <w:pPr>
        <w:spacing w:before="0" w:after="160" w:line="300" w:lineRule="auto"/>
      </w:pPr>
      <w:r>
        <w:rPr>
          <w:rFonts w:ascii="Calibri" w:hAnsi="Calibri"/>
          <w:b w:val="0"/>
          <w:i/>
          <w:color w:val="667085"/>
          <w:sz w:val="22"/>
        </w:rPr>
        <w:t>Prepared for Quintin (BoxBox F1 Fantasy), appearing with Euan (F1 Fantasy Pole Position) and Luke (F1 Fantasy Strategy).</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4F6F9"/>
            <w:tcBorders>
              <w:top w:val="single" w:sz="4" w:space="0" w:color="CAD3DF"/>
              <w:start w:val="single" w:sz="18" w:space="0" w:color="2E74B5"/>
              <w:bottom w:val="single" w:sz="4" w:space="0" w:color="CAD3DF"/>
              <w:end w:val="single" w:sz="4" w:space="0" w:color="CAD3DF"/>
              <w:insideH w:val="single" w:sz="4" w:space="0" w:color="CAD3DF"/>
              <w:insideV w:val="single" w:sz="4" w:space="0" w:color="CAD3DF"/>
            </w:tcBorders>
          </w:tcPr>
          <w:p>
            <w:pPr>
              <w:spacing w:before="40" w:after="40" w:line="283" w:lineRule="auto"/>
            </w:pPr>
            <w:r>
              <w:rPr>
                <w:rFonts w:ascii="Calibri" w:hAnsi="Calibri"/>
                <w:b/>
                <w:color w:val="2E74B5"/>
                <w:sz w:val="18"/>
              </w:rPr>
              <w:t xml:space="preserve">BEST SOUNDBITE  </w:t>
            </w:r>
            <w:r>
              <w:rPr>
                <w:rFonts w:ascii="Calibri" w:hAnsi="Calibri"/>
                <w:i/>
                <w:color w:val="20252B"/>
                <w:sz w:val="22"/>
              </w:rPr>
              <w:t>The edge is separating signal from story: use repeatable FP pace, price reliability properly, and sell the asset that made you money once its forward value disappears.</w:t>
            </w:r>
          </w:p>
        </w:tc>
      </w:tr>
    </w:tbl>
    <w:p>
      <w:pPr>
        <w:spacing w:after="20"/>
      </w:pPr>
    </w:p>
    <w:p>
      <w:pPr>
        <w:pStyle w:val="Heading1"/>
        <w:keepNext/>
      </w:pPr>
      <w:r>
        <w:rPr>
          <w:rFonts w:ascii="Calibri" w:hAnsi="Calibri"/>
          <w:b/>
          <w:color w:val="2E74B5"/>
          <w:sz w:val="32"/>
        </w:rPr>
        <w:t>Five numbers worth remembering</w:t>
      </w:r>
    </w:p>
    <w:p>
      <w:pPr>
        <w:numPr>
          <w:ilvl w:val="0"/>
          <w:numId w:val="11"/>
        </w:numPr>
        <w:spacing w:after="80" w:line="300" w:lineRule="auto"/>
      </w:pPr>
      <w:r>
        <w:rPr>
          <w:rFonts w:ascii="Calibri" w:hAnsi="Calibri"/>
          <w:b/>
          <w:i w:val="0"/>
          <w:color w:val="20252B"/>
          <w:sz w:val="22"/>
        </w:rPr>
        <w:t>Kimi Antonelli: 429 fantasy points.</w:t>
      </w:r>
      <w:r>
        <w:rPr>
          <w:rFonts w:ascii="Calibri" w:hAnsi="Calibri"/>
          <w:b w:val="0"/>
          <w:i w:val="0"/>
          <w:color w:val="20252B"/>
          <w:sz w:val="22"/>
        </w:rPr>
        <w:t xml:space="preserve"> He is 85 ahead of Hamilton, has 20+ in 10 of 11 weekends, and has no retirement.</w:t>
      </w:r>
    </w:p>
    <w:p>
      <w:pPr>
        <w:numPr>
          <w:ilvl w:val="0"/>
          <w:numId w:val="11"/>
        </w:numPr>
        <w:spacing w:after="80" w:line="300" w:lineRule="auto"/>
      </w:pPr>
      <w:r>
        <w:rPr>
          <w:rFonts w:ascii="Calibri" w:hAnsi="Calibri"/>
          <w:b/>
          <w:i w:val="0"/>
          <w:color w:val="20252B"/>
          <w:sz w:val="22"/>
        </w:rPr>
        <w:t>Lewis Hamilton: the safest premium.</w:t>
      </w:r>
      <w:r>
        <w:rPr>
          <w:rFonts w:ascii="Calibri" w:hAnsi="Calibri"/>
          <w:b w:val="0"/>
          <w:i w:val="0"/>
          <w:color w:val="20252B"/>
          <w:sz w:val="22"/>
        </w:rPr>
        <w:t xml:space="preserve"> No negative weekend, no retirement, ten 20-point rounds, and the lowest volatility among the leading seven drivers.</w:t>
      </w:r>
    </w:p>
    <w:p>
      <w:pPr>
        <w:numPr>
          <w:ilvl w:val="0"/>
          <w:numId w:val="11"/>
        </w:numPr>
        <w:spacing w:after="80" w:line="300" w:lineRule="auto"/>
      </w:pPr>
      <w:r>
        <w:rPr>
          <w:rFonts w:ascii="Calibri" w:hAnsi="Calibri"/>
          <w:b/>
          <w:i w:val="0"/>
          <w:color w:val="20252B"/>
          <w:sz w:val="22"/>
        </w:rPr>
        <w:t>Isack Hadjar: the biggest turnaround.</w:t>
      </w:r>
      <w:r>
        <w:rPr>
          <w:rFonts w:ascii="Calibri" w:hAnsi="Calibri"/>
          <w:b w:val="0"/>
          <w:i w:val="0"/>
          <w:color w:val="20252B"/>
          <w:sz w:val="22"/>
        </w:rPr>
        <w:t xml:space="preserve"> His average rose from 1.2 across his first five completed races to 22.6 across his last five.</w:t>
      </w:r>
    </w:p>
    <w:p>
      <w:pPr>
        <w:numPr>
          <w:ilvl w:val="0"/>
          <w:numId w:val="11"/>
        </w:numPr>
        <w:spacing w:after="80" w:line="300" w:lineRule="auto"/>
      </w:pPr>
      <w:r>
        <w:rPr>
          <w:rFonts w:ascii="Calibri" w:hAnsi="Calibri"/>
          <w:b/>
          <w:i w:val="0"/>
          <w:color w:val="20252B"/>
          <w:sz w:val="22"/>
        </w:rPr>
        <w:t>Sprint weekends: 70% more total driver points.</w:t>
      </w:r>
      <w:r>
        <w:rPr>
          <w:rFonts w:ascii="Calibri" w:hAnsi="Calibri"/>
          <w:b w:val="0"/>
          <w:i w:val="0"/>
          <w:color w:val="20252B"/>
          <w:sz w:val="22"/>
        </w:rPr>
        <w:t xml:space="preserve"> The best-driver ceiling has also been 25% higher than on normal weekends.</w:t>
      </w:r>
    </w:p>
    <w:p>
      <w:pPr>
        <w:numPr>
          <w:ilvl w:val="0"/>
          <w:numId w:val="11"/>
        </w:numPr>
        <w:spacing w:after="80" w:line="300" w:lineRule="auto"/>
      </w:pPr>
      <w:r>
        <w:rPr>
          <w:rFonts w:ascii="Calibri" w:hAnsi="Calibri"/>
          <w:b/>
          <w:i w:val="0"/>
          <w:color w:val="20252B"/>
          <w:sz w:val="22"/>
        </w:rPr>
        <w:t>A forecast +£0.3M rise is worth about 1.4 future points.</w:t>
      </w:r>
      <w:r>
        <w:rPr>
          <w:rFonts w:ascii="Calibri" w:hAnsi="Calibri"/>
          <w:b w:val="0"/>
          <w:i w:val="0"/>
          <w:color w:val="20252B"/>
          <w:sz w:val="22"/>
        </w:rPr>
        <w:t xml:space="preserve"> Budget is option value, not points already banked.</w:t>
      </w:r>
    </w:p>
    <w:p>
      <w:pPr>
        <w:pStyle w:val="Heading1"/>
        <w:keepNext/>
      </w:pPr>
      <w:r>
        <w:rPr>
          <w:rFonts w:ascii="Calibri" w:hAnsi="Calibri"/>
          <w:b/>
          <w:color w:val="2E74B5"/>
          <w:sz w:val="32"/>
        </w:rPr>
        <w:t>Opening and season-so-far answers</w:t>
      </w:r>
    </w:p>
    <w:p>
      <w:pPr>
        <w:pStyle w:val="Heading2"/>
        <w:keepNext/>
      </w:pPr>
      <w:r>
        <w:rPr>
          <w:rFonts w:ascii="Calibri" w:hAnsi="Calibri"/>
          <w:b/>
          <w:color w:val="2E74B5"/>
          <w:sz w:val="26"/>
        </w:rPr>
        <w:t>Suggested introduction</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4F6F9"/>
            <w:tcBorders>
              <w:top w:val="single" w:sz="4" w:space="0" w:color="CAD3DF"/>
              <w:start w:val="single" w:sz="18" w:space="0" w:color="2E74B5"/>
              <w:bottom w:val="single" w:sz="4" w:space="0" w:color="CAD3DF"/>
              <w:end w:val="single" w:sz="4" w:space="0" w:color="CAD3DF"/>
              <w:insideH w:val="single" w:sz="4" w:space="0" w:color="CAD3DF"/>
              <w:insideV w:val="single" w:sz="4" w:space="0" w:color="CAD3DF"/>
            </w:tcBorders>
          </w:tcPr>
          <w:p>
            <w:pPr>
              <w:spacing w:before="40" w:after="40" w:line="283" w:lineRule="auto"/>
            </w:pPr>
            <w:r>
              <w:rPr>
                <w:rFonts w:ascii="Calibri" w:hAnsi="Calibri"/>
                <w:b/>
                <w:color w:val="2E74B5"/>
                <w:sz w:val="18"/>
              </w:rPr>
              <w:t xml:space="preserve">ON CAMERA  </w:t>
            </w:r>
            <w:r>
              <w:rPr>
                <w:rFonts w:ascii="Calibri" w:hAnsi="Calibri"/>
                <w:i/>
                <w:color w:val="20252B"/>
                <w:sz w:val="22"/>
              </w:rPr>
              <w:t>BoxBox is my attempt to turn F1 Fantasy from pure gut feel into a proper decision tool. We combine historical form, circuit characteristics, practice pace, weather, reliability and Monte Carlo simulation. A model cannot remove uncertainty, but it can price it and show when the popular story does not match the numbers.</w:t>
            </w:r>
          </w:p>
        </w:tc>
      </w:tr>
    </w:tbl>
    <w:p>
      <w:pPr>
        <w:spacing w:after="20"/>
      </w:pPr>
    </w:p>
    <w:p>
      <w:pPr>
        <w:spacing w:before="0" w:after="120" w:line="300" w:lineRule="auto"/>
      </w:pPr>
      <w:r>
        <w:rPr>
          <w:rFonts w:ascii="Calibri" w:hAnsi="Calibri"/>
          <w:b w:val="0"/>
          <w:i/>
          <w:color w:val="667085"/>
          <w:sz w:val="22"/>
        </w:rPr>
        <w:t>Add the number of seasons you have personally played and your social channels.</w:t>
      </w:r>
    </w:p>
    <w:p>
      <w:pPr>
        <w:pStyle w:val="Heading2"/>
        <w:keepNext/>
      </w:pPr>
      <w:r>
        <w:rPr>
          <w:rFonts w:ascii="Calibri" w:hAnsi="Calibri"/>
          <w:b/>
          <w:color w:val="2E74B5"/>
          <w:sz w:val="26"/>
        </w:rPr>
        <w:t>Strategy and biggest lesson</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4F6F9"/>
            <w:tcBorders>
              <w:top w:val="single" w:sz="4" w:space="0" w:color="CAD3DF"/>
              <w:start w:val="single" w:sz="18" w:space="0" w:color="2E74B5"/>
              <w:bottom w:val="single" w:sz="4" w:space="0" w:color="CAD3DF"/>
              <w:end w:val="single" w:sz="4" w:space="0" w:color="CAD3DF"/>
              <w:insideH w:val="single" w:sz="4" w:space="0" w:color="CAD3DF"/>
              <w:insideV w:val="single" w:sz="4" w:space="0" w:color="CAD3DF"/>
            </w:tcBorders>
          </w:tcPr>
          <w:p>
            <w:pPr>
              <w:spacing w:before="40" w:after="40" w:line="283" w:lineRule="auto"/>
            </w:pPr>
            <w:r>
              <w:rPr>
                <w:rFonts w:ascii="Calibri" w:hAnsi="Calibri"/>
                <w:b/>
                <w:color w:val="2E74B5"/>
                <w:sz w:val="18"/>
              </w:rPr>
              <w:t xml:space="preserve">ON CAMERA  </w:t>
            </w:r>
            <w:r>
              <w:rPr>
                <w:rFonts w:ascii="Calibri" w:hAnsi="Calibri"/>
                <w:i/>
                <w:color w:val="20252B"/>
                <w:sz w:val="22"/>
              </w:rPr>
              <w:t>The biggest lesson is that budget only matters when it crosses an affordability threshold. I do not want to give away ten real points just to chase a routine £0.3M rise. Build budget early, but later in the season convert it into points.</w:t>
            </w:r>
          </w:p>
        </w:tc>
      </w:tr>
    </w:tbl>
    <w:p>
      <w:pPr>
        <w:spacing w:after="20"/>
      </w:pPr>
    </w:p>
    <w:p>
      <w:pPr>
        <w:spacing w:before="0" w:after="120" w:line="300" w:lineRule="auto"/>
      </w:pPr>
      <w:r>
        <w:rPr>
          <w:rFonts w:ascii="Calibri" w:hAnsi="Calibri"/>
          <w:b w:val="0"/>
          <w:i w:val="0"/>
          <w:color w:val="20252B"/>
          <w:sz w:val="22"/>
        </w:rPr>
        <w:t>Supporting stat: two simulated managers finished with the same £124.3M team value but 150 points apart. Having spending power and deploying it well are different skills.</w:t>
      </w:r>
    </w:p>
    <w:p>
      <w:pPr>
        <w:pStyle w:val="Heading2"/>
        <w:keepNext/>
      </w:pPr>
      <w:r>
        <w:rPr>
          <w:rFonts w:ascii="Calibri" w:hAnsi="Calibri"/>
          <w:b/>
          <w:color w:val="2E74B5"/>
          <w:sz w:val="26"/>
        </w:rPr>
        <w:t>Chip success and failure</w:t>
      </w:r>
    </w:p>
    <w:p>
      <w:pPr>
        <w:spacing w:before="0" w:after="120" w:line="300" w:lineRule="auto"/>
      </w:pPr>
      <w:r>
        <w:rPr>
          <w:rFonts w:ascii="Calibri" w:hAnsi="Calibri"/>
          <w:b w:val="0"/>
          <w:i/>
          <w:color w:val="667085"/>
          <w:sz w:val="22"/>
        </w:rPr>
        <w:t>Use only the example that matches your real team.</w:t>
      </w:r>
    </w:p>
    <w:p>
      <w:pPr>
        <w:numPr>
          <w:ilvl w:val="0"/>
          <w:numId w:val="10"/>
        </w:numPr>
        <w:spacing w:before="0" w:after="80" w:line="300" w:lineRule="auto"/>
      </w:pPr>
      <w:r>
        <w:rPr>
          <w:rFonts w:ascii="Calibri" w:hAnsi="Calibri"/>
          <w:b/>
          <w:i w:val="0"/>
          <w:color w:val="20252B"/>
          <w:sz w:val="22"/>
        </w:rPr>
        <w:t>3x benchmark:</w:t>
      </w:r>
      <w:r>
        <w:rPr>
          <w:rFonts w:ascii="Calibri" w:hAnsi="Calibri"/>
          <w:b w:val="0"/>
          <w:i w:val="0"/>
          <w:color w:val="20252B"/>
          <w:sz w:val="22"/>
        </w:rPr>
        <w:t xml:space="preserve"> Kimi's 68 in China was the best driver round. A 3x there added 68 points over the normal 2x captain score; his 62 in Canada was second.</w:t>
      </w:r>
    </w:p>
    <w:p>
      <w:pPr>
        <w:numPr>
          <w:ilvl w:val="0"/>
          <w:numId w:val="10"/>
        </w:numPr>
        <w:spacing w:before="0" w:after="80" w:line="300" w:lineRule="auto"/>
      </w:pPr>
      <w:r>
        <w:rPr>
          <w:rFonts w:ascii="Calibri" w:hAnsi="Calibri"/>
          <w:b/>
          <w:i w:val="0"/>
          <w:color w:val="20252B"/>
          <w:sz w:val="22"/>
        </w:rPr>
        <w:t>Monaco Limitless lesson:</w:t>
      </w:r>
      <w:r>
        <w:rPr>
          <w:rFonts w:ascii="Calibri" w:hAnsi="Calibri"/>
          <w:b w:val="0"/>
          <w:i w:val="0"/>
          <w:color w:val="20252B"/>
          <w:sz w:val="22"/>
        </w:rPr>
        <w:t xml:space="preserve"> perfect-hindsight cap removal was worth only 18 points, the smallest uplift all year. Miami was worth 167. Premium track did not mean premium assets won.</w:t>
      </w:r>
    </w:p>
    <w:p>
      <w:pPr>
        <w:numPr>
          <w:ilvl w:val="0"/>
          <w:numId w:val="10"/>
        </w:numPr>
        <w:spacing w:before="0" w:after="80" w:line="300" w:lineRule="auto"/>
      </w:pPr>
      <w:r>
        <w:rPr>
          <w:rFonts w:ascii="Calibri" w:hAnsi="Calibri"/>
          <w:b/>
          <w:i w:val="0"/>
          <w:color w:val="20252B"/>
          <w:sz w:val="22"/>
        </w:rPr>
        <w:t>No Negative hindsight:</w:t>
      </w:r>
      <w:r>
        <w:rPr>
          <w:rFonts w:ascii="Calibri" w:hAnsi="Calibri"/>
          <w:b w:val="0"/>
          <w:i w:val="0"/>
          <w:color w:val="20252B"/>
          <w:sz w:val="22"/>
        </w:rPr>
        <w:t xml:space="preserve"> the largest all-asset negative damage came in Australia (146), Barcelona (135) and Monaco (128). Trigger it from incident, weather and reliability risk - not simply because it is a Sprint.</w:t>
      </w:r>
    </w:p>
    <w:p>
      <w:pPr>
        <w:pStyle w:val="Heading2"/>
        <w:keepNext/>
      </w:pPr>
      <w:r>
        <w:rPr>
          <w:rFonts w:ascii="Calibri" w:hAnsi="Calibri"/>
          <w:b/>
          <w:color w:val="2E74B5"/>
          <w:sz w:val="26"/>
        </w:rPr>
        <w:t>Reliability: the season's hidden currency</w:t>
      </w:r>
    </w:p>
    <w:p>
      <w:pPr>
        <w:spacing w:before="0" w:after="120" w:line="300" w:lineRule="auto"/>
      </w:pPr>
      <w:r>
        <w:rPr>
          <w:rFonts w:ascii="Calibri" w:hAnsi="Calibri"/>
          <w:b w:val="0"/>
          <w:i w:val="0"/>
          <w:color w:val="20252B"/>
          <w:sz w:val="22"/>
        </w:rPr>
        <w:t>There have been 48 DNF/DSQ/DNS results across 242 car-starts: 4.36 per race, or roughly 19.8% attrition. Kimi and Hamilton have zero. Norris and Piastri have three each, costing each 60 fantasy points in retirement penalties alone.</w:t>
      </w:r>
    </w:p>
    <w:p>
      <w:r>
        <w:br w:type="page"/>
      </w:r>
    </w:p>
    <w:p>
      <w:pPr>
        <w:pStyle w:val="Heading1"/>
        <w:keepNext/>
      </w:pPr>
      <w:r>
        <w:rPr>
          <w:rFonts w:ascii="Calibri" w:hAnsi="Calibri"/>
          <w:b/>
          <w:color w:val="2E74B5"/>
          <w:sz w:val="32"/>
        </w:rPr>
        <w:t>Asset analysis and watchlist</w:t>
      </w:r>
    </w:p>
    <w:tbl>
      <w:tblPr>
        <w:tblW w:type="dxa" w:w="9360"/>
        <w:jc w:val="left"/>
        <w:tblLayout w:type="fixed"/>
        <w:tblLook w:firstColumn="1" w:firstRow="1" w:lastColumn="0" w:lastRow="0" w:noHBand="0" w:noVBand="1" w:val="04A0"/>
        <w:tblInd w:w="120" w:type="dxa"/>
      </w:tblPr>
      <w:tblGrid>
        <w:gridCol w:w="2350"/>
        <w:gridCol w:w="2200"/>
        <w:gridCol w:w="4810"/>
      </w:tblGrid>
      <w:tr>
        <w:trPr>
          <w:tblHeader w:val="true"/>
          <w:cantSplit w:val="true"/>
        </w:trPr>
        <w:tc>
          <w:tcPr>
            <w:tcW w:type="dxa" w:w="2350"/>
            <w:shd w:fill="E8EEF5"/>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left"/>
            </w:pPr>
            <w:r>
              <w:rPr>
                <w:rFonts w:ascii="Calibri" w:hAnsi="Calibri"/>
                <w:b/>
                <w:color w:val="0B2545"/>
                <w:sz w:val="19"/>
              </w:rPr>
              <w:t>Question</w:t>
            </w:r>
          </w:p>
        </w:tc>
        <w:tc>
          <w:tcPr>
            <w:tcW w:type="dxa" w:w="2200"/>
            <w:shd w:fill="E8EEF5"/>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left"/>
            </w:pPr>
            <w:r>
              <w:rPr>
                <w:rFonts w:ascii="Calibri" w:hAnsi="Calibri"/>
                <w:b/>
                <w:color w:val="0B2545"/>
                <w:sz w:val="19"/>
              </w:rPr>
              <w:t>Answer</w:t>
            </w:r>
          </w:p>
        </w:tc>
        <w:tc>
          <w:tcPr>
            <w:tcW w:type="dxa" w:w="4810"/>
            <w:shd w:fill="E8EEF5"/>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left"/>
            </w:pPr>
            <w:r>
              <w:rPr>
                <w:rFonts w:ascii="Calibri" w:hAnsi="Calibri"/>
                <w:b/>
                <w:color w:val="0B2545"/>
                <w:sz w:val="19"/>
              </w:rPr>
              <w:t>One-line evidence</w:t>
            </w:r>
          </w:p>
        </w:tc>
      </w:tr>
      <w:tr>
        <w:trPr>
          <w:cantSplit w:val="true"/>
        </w:trPr>
        <w:tc>
          <w:tcPr>
            <w:tcW w:type="dxa" w:w="23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Best overall asset</w:t>
            </w:r>
          </w:p>
        </w:tc>
        <w:tc>
          <w:tcPr>
            <w:tcW w:type="dxa" w:w="22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color w:val="20252B"/>
                <w:sz w:val="18"/>
              </w:rPr>
              <w:t>Kimi Antonelli</w:t>
            </w:r>
          </w:p>
        </w:tc>
        <w:tc>
          <w:tcPr>
            <w:tcW w:type="dxa" w:w="48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429 points; 20+ in 10 of 11</w:t>
            </w:r>
          </w:p>
        </w:tc>
      </w:tr>
      <w:tr>
        <w:trPr>
          <w:cantSplit w:val="true"/>
        </w:trPr>
        <w:tc>
          <w:tcPr>
            <w:tcW w:type="dxa" w:w="23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Safest premium</w:t>
            </w:r>
          </w:p>
        </w:tc>
        <w:tc>
          <w:tcPr>
            <w:tcW w:type="dxa" w:w="22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color w:val="20252B"/>
                <w:sz w:val="18"/>
              </w:rPr>
              <w:t>Lewis Hamilton</w:t>
            </w:r>
          </w:p>
        </w:tc>
        <w:tc>
          <w:tcPr>
            <w:tcW w:type="dxa" w:w="48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No negative scores or retirements</w:t>
            </w:r>
          </w:p>
        </w:tc>
      </w:tr>
      <w:tr>
        <w:trPr>
          <w:cantSplit w:val="true"/>
        </w:trPr>
        <w:tc>
          <w:tcPr>
            <w:tcW w:type="dxa" w:w="23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Biggest improver</w:t>
            </w:r>
          </w:p>
        </w:tc>
        <w:tc>
          <w:tcPr>
            <w:tcW w:type="dxa" w:w="22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color w:val="20252B"/>
                <w:sz w:val="18"/>
              </w:rPr>
              <w:t>Isack Hadjar</w:t>
            </w:r>
          </w:p>
        </w:tc>
        <w:tc>
          <w:tcPr>
            <w:tcW w:type="dxa" w:w="48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1.2 first-five avg to 22.6 last-five</w:t>
            </w:r>
          </w:p>
        </w:tc>
      </w:tr>
      <w:tr>
        <w:trPr>
          <w:cantSplit w:val="true"/>
        </w:trPr>
        <w:tc>
          <w:tcPr>
            <w:tcW w:type="dxa" w:w="23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Premium watch</w:t>
            </w:r>
          </w:p>
        </w:tc>
        <w:tc>
          <w:tcPr>
            <w:tcW w:type="dxa" w:w="22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color w:val="20252B"/>
                <w:sz w:val="18"/>
              </w:rPr>
              <w:t>Lando Norris</w:t>
            </w:r>
          </w:p>
        </w:tc>
        <w:tc>
          <w:tcPr>
            <w:tcW w:type="dxa" w:w="48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115 points across the last three</w:t>
            </w:r>
          </w:p>
        </w:tc>
      </w:tr>
      <w:tr>
        <w:trPr>
          <w:cantSplit w:val="true"/>
        </w:trPr>
        <w:tc>
          <w:tcPr>
            <w:tcW w:type="dxa" w:w="23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Fantasy-only gem</w:t>
            </w:r>
          </w:p>
        </w:tc>
        <w:tc>
          <w:tcPr>
            <w:tcW w:type="dxa" w:w="22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color w:val="20252B"/>
                <w:sz w:val="18"/>
              </w:rPr>
              <w:t>Esteban Ocon</w:t>
            </w:r>
          </w:p>
        </w:tc>
        <w:tc>
          <w:tcPr>
            <w:tcW w:type="dxa" w:w="48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120 fantasy points; only 3 F1 points</w:t>
            </w:r>
          </w:p>
        </w:tc>
      </w:tr>
      <w:tr>
        <w:trPr>
          <w:cantSplit w:val="true"/>
        </w:trPr>
        <w:tc>
          <w:tcPr>
            <w:tcW w:type="dxa" w:w="23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Thank-you-and-sell</w:t>
            </w:r>
          </w:p>
        </w:tc>
        <w:tc>
          <w:tcPr>
            <w:tcW w:type="dxa" w:w="22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color w:val="20252B"/>
                <w:sz w:val="18"/>
              </w:rPr>
              <w:t>Franco Colapinto</w:t>
            </w:r>
          </w:p>
        </w:tc>
        <w:tc>
          <w:tcPr>
            <w:tcW w:type="dxa" w:w="48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+£5.0M gained; weak forward value</w:t>
            </w:r>
          </w:p>
        </w:tc>
      </w:tr>
      <w:tr>
        <w:trPr>
          <w:cantSplit w:val="true"/>
        </w:trPr>
        <w:tc>
          <w:tcPr>
            <w:tcW w:type="dxa" w:w="23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Price disappointment</w:t>
            </w:r>
          </w:p>
        </w:tc>
        <w:tc>
          <w:tcPr>
            <w:tcW w:type="dxa" w:w="22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color w:val="20252B"/>
                <w:sz w:val="18"/>
              </w:rPr>
              <w:t>Oscar Piastri</w:t>
            </w:r>
          </w:p>
        </w:tc>
        <w:tc>
          <w:tcPr>
            <w:tcW w:type="dxa" w:w="48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£24.4M; 160 points; 3 retirements</w:t>
            </w:r>
          </w:p>
        </w:tc>
      </w:tr>
      <w:tr>
        <w:trPr>
          <w:cantSplit w:val="true"/>
        </w:trPr>
        <w:tc>
          <w:tcPr>
            <w:tcW w:type="dxa" w:w="23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Cheap constructor watch</w:t>
            </w:r>
          </w:p>
        </w:tc>
        <w:tc>
          <w:tcPr>
            <w:tcW w:type="dxa" w:w="22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color w:val="20252B"/>
                <w:sz w:val="18"/>
              </w:rPr>
              <w:t>Audi</w:t>
            </w:r>
          </w:p>
        </w:tc>
        <w:tc>
          <w:tcPr>
            <w:tcW w:type="dxa" w:w="48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spacing w:after="0"/>
            </w:pPr>
            <w:r>
              <w:rPr>
                <w:rFonts w:ascii="Calibri" w:hAnsi="Calibri"/>
                <w:b w:val="0"/>
                <w:color w:val="20252B"/>
                <w:sz w:val="18"/>
              </w:rPr>
              <w:t>0.6 first-five avg to 16.4 last-five</w:t>
            </w:r>
          </w:p>
        </w:tc>
      </w:tr>
    </w:tbl>
    <w:p>
      <w:pPr>
        <w:pStyle w:val="Heading2"/>
        <w:keepNext/>
      </w:pPr>
      <w:r>
        <w:rPr>
          <w:rFonts w:ascii="Calibri" w:hAnsi="Calibri"/>
          <w:b/>
          <w:color w:val="2E74B5"/>
          <w:sz w:val="26"/>
        </w:rPr>
        <w:t>Asset that impressed: Hamilton</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4F6F9"/>
            <w:tcBorders>
              <w:top w:val="single" w:sz="4" w:space="0" w:color="CAD3DF"/>
              <w:start w:val="single" w:sz="18" w:space="0" w:color="2E74B5"/>
              <w:bottom w:val="single" w:sz="4" w:space="0" w:color="CAD3DF"/>
              <w:end w:val="single" w:sz="4" w:space="0" w:color="CAD3DF"/>
              <w:insideH w:val="single" w:sz="4" w:space="0" w:color="CAD3DF"/>
              <w:insideV w:val="single" w:sz="4" w:space="0" w:color="CAD3DF"/>
            </w:tcBorders>
          </w:tcPr>
          <w:p>
            <w:pPr>
              <w:spacing w:before="40" w:after="40" w:line="283" w:lineRule="auto"/>
            </w:pPr>
            <w:r>
              <w:rPr>
                <w:rFonts w:ascii="Calibri" w:hAnsi="Calibri"/>
                <w:b/>
                <w:color w:val="2E74B5"/>
                <w:sz w:val="18"/>
              </w:rPr>
              <w:t xml:space="preserve">ON CAMERA  </w:t>
            </w:r>
            <w:r>
              <w:rPr>
                <w:rFonts w:ascii="Calibri" w:hAnsi="Calibri"/>
                <w:i/>
                <w:color w:val="20252B"/>
                <w:sz w:val="22"/>
              </w:rPr>
              <w:t>Kimi is obviously the asset of the season, but Hamilton has impressed me most as a fantasy asset. No negative score, no retirement and ten 20-point weekends out of eleven. In a year of reliability shocks, his floor has been as valuable as anyone's ceiling.</w:t>
            </w:r>
          </w:p>
        </w:tc>
      </w:tr>
    </w:tbl>
    <w:p>
      <w:pPr>
        <w:spacing w:after="20"/>
      </w:pPr>
    </w:p>
    <w:p>
      <w:pPr>
        <w:spacing w:before="0" w:after="120" w:line="300" w:lineRule="auto"/>
      </w:pPr>
      <w:r>
        <w:rPr>
          <w:rFonts w:ascii="Calibri" w:hAnsi="Calibri"/>
          <w:b w:val="0"/>
          <w:i w:val="0"/>
          <w:color w:val="20252B"/>
          <w:sz w:val="22"/>
        </w:rPr>
        <w:t>Constructor alternative: Racing Bulls has 344 points and rose £6.6M from £6.3M to £12.9M. Even now, it has returned 26.7 season points per current £M - close to Mercedes and Ferrari.</w:t>
      </w:r>
    </w:p>
    <w:p>
      <w:pPr>
        <w:pStyle w:val="Heading2"/>
        <w:keepNext/>
      </w:pPr>
      <w:r>
        <w:rPr>
          <w:rFonts w:ascii="Calibri" w:hAnsi="Calibri"/>
          <w:b/>
          <w:color w:val="2E74B5"/>
          <w:sz w:val="26"/>
        </w:rPr>
        <w:t>Premium watch: Norris</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4F6F9"/>
            <w:tcBorders>
              <w:top w:val="single" w:sz="4" w:space="0" w:color="CAD3DF"/>
              <w:start w:val="single" w:sz="18" w:space="0" w:color="2E74B5"/>
              <w:bottom w:val="single" w:sz="4" w:space="0" w:color="CAD3DF"/>
              <w:end w:val="single" w:sz="4" w:space="0" w:color="CAD3DF"/>
              <w:insideH w:val="single" w:sz="4" w:space="0" w:color="CAD3DF"/>
              <w:insideV w:val="single" w:sz="4" w:space="0" w:color="CAD3DF"/>
            </w:tcBorders>
          </w:tcPr>
          <w:p>
            <w:pPr>
              <w:spacing w:before="40" w:after="40" w:line="283" w:lineRule="auto"/>
            </w:pPr>
            <w:r>
              <w:rPr>
                <w:rFonts w:ascii="Calibri" w:hAnsi="Calibri"/>
                <w:b/>
                <w:color w:val="2E74B5"/>
                <w:sz w:val="18"/>
              </w:rPr>
              <w:t xml:space="preserve">ON CAMERA  </w:t>
            </w:r>
            <w:r>
              <w:rPr>
                <w:rFonts w:ascii="Calibri" w:hAnsi="Calibri"/>
                <w:i/>
                <w:color w:val="20252B"/>
                <w:sz w:val="22"/>
              </w:rPr>
              <w:t>Norris is my premium watchlist name. His first-five average was 19.0, his last-five average is 29.8, and he has 115 across the last three. Piastri scored 27 over those same three. Norris is still £1.1M cheaper than at the start, and our six-round model has him second only to Kimi.</w:t>
            </w:r>
          </w:p>
        </w:tc>
      </w:tr>
    </w:tbl>
    <w:p>
      <w:pPr>
        <w:spacing w:after="20"/>
      </w:pPr>
    </w:p>
    <w:p>
      <w:pPr>
        <w:pStyle w:val="Heading2"/>
        <w:keepNext/>
      </w:pPr>
      <w:r>
        <w:rPr>
          <w:rFonts w:ascii="Calibri" w:hAnsi="Calibri"/>
          <w:b/>
          <w:color w:val="2E74B5"/>
          <w:sz w:val="26"/>
        </w:rPr>
        <w:t>Mid-price watch: Hadjar - with caution</w:t>
      </w:r>
    </w:p>
    <w:p>
      <w:pPr>
        <w:spacing w:before="0" w:after="120" w:line="300" w:lineRule="auto"/>
      </w:pPr>
      <w:r>
        <w:rPr>
          <w:rFonts w:ascii="Calibri" w:hAnsi="Calibri"/>
          <w:b w:val="0"/>
          <w:i w:val="0"/>
          <w:color w:val="20252B"/>
          <w:sz w:val="22"/>
        </w:rPr>
        <w:t>Hadjar's +21.4 points-per-race improvement is the largest in the field. His recent three-race average is also 4.7 higher than Verstappen's. But the forward prior is nearer 9.7 per race for R14-R19. Watch the FP evidence; do not blindly extrapolate the streak.</w:t>
      </w:r>
    </w:p>
    <w:p>
      <w:pPr>
        <w:pStyle w:val="Heading2"/>
        <w:keepNext/>
      </w:pPr>
      <w:r>
        <w:rPr>
          <w:rFonts w:ascii="Calibri" w:hAnsi="Calibri"/>
          <w:b/>
          <w:color w:val="2E74B5"/>
          <w:sz w:val="26"/>
        </w:rPr>
        <w:t>Fantasy-only gem: Ocon</w:t>
      </w:r>
    </w:p>
    <w:p>
      <w:pPr>
        <w:spacing w:before="0" w:after="120" w:line="300" w:lineRule="auto"/>
      </w:pPr>
      <w:r>
        <w:rPr>
          <w:rFonts w:ascii="Calibri" w:hAnsi="Calibri"/>
          <w:b w:val="0"/>
          <w:i w:val="0"/>
          <w:color w:val="20252B"/>
          <w:sz w:val="22"/>
        </w:rPr>
        <w:t>Ocon is 17th in the real championship on three points but 12th in fantasy on 120. He has never retired or posted a negative fantasy weekend, and 70 of his points came from overtakes - second only to Verstappen's 75. It is the clearest example of why F1 standings and fantasy value are different.</w:t>
      </w:r>
    </w:p>
    <w:p>
      <w:pPr>
        <w:pStyle w:val="Heading2"/>
        <w:keepNext/>
      </w:pPr>
      <w:r>
        <w:rPr>
          <w:rFonts w:ascii="Calibri" w:hAnsi="Calibri"/>
          <w:b/>
          <w:color w:val="2E74B5"/>
          <w:sz w:val="26"/>
        </w:rPr>
        <w:t>Thank-you-and-sell candidate: Colapinto</w:t>
      </w:r>
    </w:p>
    <w:p>
      <w:pPr>
        <w:spacing w:before="0" w:after="120" w:line="300" w:lineRule="auto"/>
      </w:pPr>
      <w:r>
        <w:rPr>
          <w:rFonts w:ascii="Calibri" w:hAnsi="Calibri"/>
          <w:b w:val="0"/>
          <w:i w:val="0"/>
          <w:color w:val="20252B"/>
          <w:sz w:val="22"/>
        </w:rPr>
        <w:t>Colapinto delivered 123 points, no negative weekend, no retirement and the largest driver price gain at +£5.0M. But he now costs £11.2M and the R14-R19 model returns only 3.2 total points. He was a superb budget builder; the forward value may already be gone.</w:t>
      </w:r>
    </w:p>
    <w:p>
      <w:pPr>
        <w:pStyle w:val="Heading2"/>
        <w:keepNext/>
      </w:pPr>
      <w:r>
        <w:rPr>
          <w:rFonts w:ascii="Calibri" w:hAnsi="Calibri"/>
          <w:b/>
          <w:color w:val="2E74B5"/>
          <w:sz w:val="26"/>
        </w:rPr>
        <w:t>Current-price disappointment: Piastri</w:t>
      </w:r>
    </w:p>
    <w:p>
      <w:pPr>
        <w:spacing w:before="0" w:after="120" w:line="300" w:lineRule="auto"/>
      </w:pPr>
      <w:r>
        <w:rPr>
          <w:rFonts w:ascii="Calibri" w:hAnsi="Calibri"/>
          <w:b w:val="0"/>
          <w:i w:val="0"/>
          <w:color w:val="20252B"/>
          <w:sz w:val="22"/>
        </w:rPr>
        <w:t>Piastri has 160 points, three retirements, three negative weekends and only three 20-point rounds. At £24.4M, he is near Hamilton/Leclerc money, yet the six-round prior gives him 55.8 points versus Hamilton's 145.4, Leclerc's 134.2 and Norris's 167.2.</w:t>
      </w:r>
    </w:p>
    <w:p>
      <w:pPr>
        <w:pStyle w:val="Heading2"/>
        <w:keepNext/>
      </w:pPr>
      <w:r>
        <w:rPr>
          <w:rFonts w:ascii="Calibri" w:hAnsi="Calibri"/>
          <w:b/>
          <w:color w:val="2E74B5"/>
          <w:sz w:val="26"/>
        </w:rPr>
        <w:t>Constructor watch: Audi</w:t>
      </w:r>
    </w:p>
    <w:p>
      <w:pPr>
        <w:spacing w:before="0" w:after="120" w:line="300" w:lineRule="auto"/>
      </w:pPr>
      <w:r>
        <w:rPr>
          <w:rFonts w:ascii="Calibri" w:hAnsi="Calibri"/>
          <w:b w:val="0"/>
          <w:i w:val="0"/>
          <w:color w:val="20252B"/>
          <w:sz w:val="22"/>
        </w:rPr>
        <w:t>Audi averaged 0.6 points over its first five completed races and 16.4 over its last five. At £6.8M, the R14-R19 model gives it 57.8 points - the best current low-cost forward watch. Racing Bulls remains the season's value success, but the priors expect it to fall after Zandvoort.</w:t>
      </w:r>
    </w:p>
    <w:p>
      <w:pPr>
        <w:pStyle w:val="Heading1"/>
        <w:keepNext/>
      </w:pPr>
      <w:r>
        <w:rPr>
          <w:rFonts w:ascii="Calibri" w:hAnsi="Calibri"/>
          <w:b/>
          <w:color w:val="2E74B5"/>
          <w:sz w:val="32"/>
        </w:rPr>
        <w:t>Pivotal moments</w:t>
      </w:r>
    </w:p>
    <w:p>
      <w:pPr>
        <w:numPr>
          <w:ilvl w:val="0"/>
          <w:numId w:val="10"/>
        </w:numPr>
        <w:spacing w:before="0" w:after="80" w:line="300" w:lineRule="auto"/>
      </w:pPr>
      <w:r>
        <w:rPr>
          <w:rFonts w:ascii="Calibri" w:hAnsi="Calibri"/>
          <w:b/>
          <w:i w:val="0"/>
          <w:color w:val="20252B"/>
          <w:sz w:val="22"/>
        </w:rPr>
        <w:t>China:</w:t>
      </w:r>
      <w:r>
        <w:rPr>
          <w:rFonts w:ascii="Calibri" w:hAnsi="Calibri"/>
          <w:b w:val="0"/>
          <w:i w:val="0"/>
          <w:color w:val="20252B"/>
          <w:sz w:val="22"/>
        </w:rPr>
        <w:t xml:space="preserve"> Kimi's 68 was the highest driver score and the cleanest 3x benchmark.</w:t>
      </w:r>
    </w:p>
    <w:p>
      <w:pPr>
        <w:numPr>
          <w:ilvl w:val="0"/>
          <w:numId w:val="10"/>
        </w:numPr>
        <w:spacing w:before="0" w:after="80" w:line="300" w:lineRule="auto"/>
      </w:pPr>
      <w:r>
        <w:rPr>
          <w:rFonts w:ascii="Calibri" w:hAnsi="Calibri"/>
          <w:b/>
          <w:i w:val="0"/>
          <w:color w:val="20252B"/>
          <w:sz w:val="22"/>
        </w:rPr>
        <w:t>Miami:</w:t>
      </w:r>
      <w:r>
        <w:rPr>
          <w:rFonts w:ascii="Calibri" w:hAnsi="Calibri"/>
          <w:b w:val="0"/>
          <w:i w:val="0"/>
          <w:color w:val="20252B"/>
          <w:sz w:val="22"/>
        </w:rPr>
        <w:t xml:space="preserve"> Norris scored 54 and perfect-hindsight Limitless value peaked at 167.</w:t>
      </w:r>
    </w:p>
    <w:p>
      <w:pPr>
        <w:numPr>
          <w:ilvl w:val="0"/>
          <w:numId w:val="10"/>
        </w:numPr>
        <w:spacing w:before="0" w:after="80" w:line="300" w:lineRule="auto"/>
      </w:pPr>
      <w:r>
        <w:rPr>
          <w:rFonts w:ascii="Calibri" w:hAnsi="Calibri"/>
          <w:b/>
          <w:i w:val="0"/>
          <w:color w:val="20252B"/>
          <w:sz w:val="22"/>
        </w:rPr>
        <w:t>Monaco:</w:t>
      </w:r>
      <w:r>
        <w:rPr>
          <w:rFonts w:ascii="Calibri" w:hAnsi="Calibri"/>
          <w:b w:val="0"/>
          <w:i w:val="0"/>
          <w:color w:val="20252B"/>
          <w:sz w:val="22"/>
        </w:rPr>
        <w:t xml:space="preserve"> only 122 points across all 22 drivers; ten assets were negative; Limitless cap value was only 18.</w:t>
      </w:r>
    </w:p>
    <w:p>
      <w:pPr>
        <w:numPr>
          <w:ilvl w:val="0"/>
          <w:numId w:val="10"/>
        </w:numPr>
        <w:spacing w:before="0" w:after="80" w:line="300" w:lineRule="auto"/>
      </w:pPr>
      <w:r>
        <w:rPr>
          <w:rFonts w:ascii="Calibri" w:hAnsi="Calibri"/>
          <w:b/>
          <w:i w:val="0"/>
          <w:color w:val="20252B"/>
          <w:sz w:val="22"/>
        </w:rPr>
        <w:t>Barcelona:</w:t>
      </w:r>
      <w:r>
        <w:rPr>
          <w:rFonts w:ascii="Calibri" w:hAnsi="Calibri"/>
          <w:b w:val="0"/>
          <w:i w:val="0"/>
          <w:color w:val="20252B"/>
          <w:sz w:val="22"/>
        </w:rPr>
        <w:t xml:space="preserve"> Hamilton scored 56 while the field absorbed 135 points of negative damage.</w:t>
      </w:r>
    </w:p>
    <w:p>
      <w:pPr>
        <w:numPr>
          <w:ilvl w:val="0"/>
          <w:numId w:val="10"/>
        </w:numPr>
        <w:spacing w:before="0" w:after="80" w:line="300" w:lineRule="auto"/>
      </w:pPr>
      <w:r>
        <w:rPr>
          <w:rFonts w:ascii="Calibri" w:hAnsi="Calibri"/>
          <w:b/>
          <w:i w:val="0"/>
          <w:color w:val="20252B"/>
          <w:sz w:val="22"/>
        </w:rPr>
        <w:t>Silverstone:</w:t>
      </w:r>
      <w:r>
        <w:rPr>
          <w:rFonts w:ascii="Calibri" w:hAnsi="Calibri"/>
          <w:b w:val="0"/>
          <w:i w:val="0"/>
          <w:color w:val="20252B"/>
          <w:sz w:val="22"/>
        </w:rPr>
        <w:t xml:space="preserve"> 384 driver points and only 23 points of negative damage - a positive-multiplier weekend rather than a protection weekend.</w:t>
      </w:r>
    </w:p>
    <w:p>
      <w:pPr>
        <w:numPr>
          <w:ilvl w:val="0"/>
          <w:numId w:val="10"/>
        </w:numPr>
        <w:spacing w:before="0" w:after="80" w:line="300" w:lineRule="auto"/>
      </w:pPr>
      <w:r>
        <w:rPr>
          <w:rFonts w:ascii="Calibri" w:hAnsi="Calibri"/>
          <w:b/>
          <w:i w:val="0"/>
          <w:color w:val="20252B"/>
          <w:sz w:val="22"/>
        </w:rPr>
        <w:t>The Norris/Hadjar turn:</w:t>
      </w:r>
      <w:r>
        <w:rPr>
          <w:rFonts w:ascii="Calibri" w:hAnsi="Calibri"/>
          <w:b w:val="0"/>
          <w:i w:val="0"/>
          <w:color w:val="20252B"/>
          <w:sz w:val="22"/>
        </w:rPr>
        <w:t xml:space="preserve"> Norris has 115 over the last three; Hadjar has 76 and has outscored Verstappen's 62.</w:t>
      </w:r>
    </w:p>
    <w:p>
      <w:pPr>
        <w:pStyle w:val="Heading1"/>
        <w:keepNext/>
      </w:pPr>
      <w:r>
        <w:rPr>
          <w:rFonts w:ascii="Calibri" w:hAnsi="Calibri"/>
          <w:b/>
          <w:color w:val="2E74B5"/>
          <w:sz w:val="32"/>
        </w:rPr>
        <w:t>Second-half opportunities</w:t>
      </w:r>
    </w:p>
    <w:p>
      <w:pPr>
        <w:pStyle w:val="Heading2"/>
        <w:keepNext/>
      </w:pPr>
      <w:r>
        <w:rPr>
          <w:rFonts w:ascii="Calibri" w:hAnsi="Calibri"/>
          <w:b/>
          <w:color w:val="2E74B5"/>
          <w:sz w:val="26"/>
        </w:rPr>
        <w:t>The two remaining Sprint weekends</w:t>
      </w:r>
    </w:p>
    <w:p>
      <w:pPr>
        <w:spacing w:before="0" w:after="120" w:line="300" w:lineRule="auto"/>
      </w:pPr>
      <w:r>
        <w:rPr>
          <w:rFonts w:ascii="Calibri" w:hAnsi="Calibri"/>
          <w:b w:val="0"/>
          <w:i w:val="0"/>
          <w:color w:val="20252B"/>
          <w:sz w:val="22"/>
        </w:rPr>
        <w:t>Completed Sprint weekends generated 70% more total driver points and a 25% higher best-driver ceiling. This favours positive multiplier chips, but it does not automatically make a Sprint the best No Negative or Limitless round.</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4F6F9"/>
            <w:tcBorders>
              <w:top w:val="single" w:sz="4" w:space="0" w:color="CAD3DF"/>
              <w:start w:val="single" w:sz="18" w:space="0" w:color="7A5A00"/>
              <w:bottom w:val="single" w:sz="4" w:space="0" w:color="CAD3DF"/>
              <w:end w:val="single" w:sz="4" w:space="0" w:color="CAD3DF"/>
              <w:insideH w:val="single" w:sz="4" w:space="0" w:color="CAD3DF"/>
              <w:insideV w:val="single" w:sz="4" w:space="0" w:color="CAD3DF"/>
            </w:tcBorders>
          </w:tcPr>
          <w:p>
            <w:pPr>
              <w:spacing w:before="40" w:after="40" w:line="283" w:lineRule="auto"/>
            </w:pPr>
            <w:r>
              <w:rPr>
                <w:rFonts w:ascii="Calibri" w:hAnsi="Calibri"/>
                <w:b/>
                <w:color w:val="7A5A00"/>
                <w:sz w:val="18"/>
              </w:rPr>
              <w:t xml:space="preserve">CURRENT PRIOR  </w:t>
            </w:r>
            <w:r>
              <w:rPr>
                <w:rFonts w:ascii="Calibri" w:hAnsi="Calibri"/>
                <w:i/>
                <w:color w:val="20252B"/>
                <w:sz w:val="22"/>
              </w:rPr>
              <w:t>Singapore is the larger multiplier opportunity: Kimi projects at 50.6 there versus 30.5 at Zandvoort. The Singapore number is priors-only, so use Zandvoort FP1 evidence or retain the chip rather than choosing from calendar type alone.</w:t>
            </w:r>
          </w:p>
        </w:tc>
      </w:tr>
    </w:tbl>
    <w:p>
      <w:pPr>
        <w:spacing w:after="20"/>
      </w:pPr>
    </w:p>
    <w:p>
      <w:pPr>
        <w:pStyle w:val="Heading2"/>
        <w:keepNext/>
      </w:pPr>
      <w:r>
        <w:rPr>
          <w:rFonts w:ascii="Calibri" w:hAnsi="Calibri"/>
          <w:b/>
          <w:color w:val="2E74B5"/>
          <w:sz w:val="26"/>
        </w:rPr>
        <w:t>Madrid debut</w:t>
      </w:r>
    </w:p>
    <w:p>
      <w:pPr>
        <w:spacing w:before="0" w:after="120" w:line="300" w:lineRule="auto"/>
      </w:pPr>
      <w:r>
        <w:rPr>
          <w:rFonts w:ascii="Calibri" w:hAnsi="Calibri"/>
          <w:b w:val="0"/>
          <w:i w:val="0"/>
          <w:color w:val="20252B"/>
          <w:sz w:val="22"/>
        </w:rPr>
        <w:t>BoxBox currently rates Madrid as balanced: overtaking 5/10, average corner speed 6/10, straight-line importance 6/10 and downforce 6/10, with a higher 7/10 Turn 1 incident risk.</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4F6F9"/>
            <w:tcBorders>
              <w:top w:val="single" w:sz="4" w:space="0" w:color="CAD3DF"/>
              <w:start w:val="single" w:sz="18" w:space="0" w:color="2E74B5"/>
              <w:bottom w:val="single" w:sz="4" w:space="0" w:color="CAD3DF"/>
              <w:end w:val="single" w:sz="4" w:space="0" w:color="CAD3DF"/>
              <w:insideH w:val="single" w:sz="4" w:space="0" w:color="CAD3DF"/>
              <w:insideV w:val="single" w:sz="4" w:space="0" w:color="CAD3DF"/>
            </w:tcBorders>
          </w:tcPr>
          <w:p>
            <w:pPr>
              <w:spacing w:before="40" w:after="40" w:line="283" w:lineRule="auto"/>
            </w:pPr>
            <w:r>
              <w:rPr>
                <w:rFonts w:ascii="Calibri" w:hAnsi="Calibri"/>
                <w:b/>
                <w:color w:val="2E74B5"/>
                <w:sz w:val="18"/>
              </w:rPr>
              <w:t xml:space="preserve">ON CAMERA  </w:t>
            </w:r>
            <w:r>
              <w:rPr>
                <w:rFonts w:ascii="Calibri" w:hAnsi="Calibri"/>
                <w:i/>
                <w:color w:val="20252B"/>
                <w:sz w:val="22"/>
              </w:rPr>
              <w:t>For a debut circuit I want optionality. Hold transfers, avoid committing a chip on track reputation, and let FP supply the first comparable evidence. Repeatable three- and five-lap pace matters more than one purple lap.</w:t>
            </w:r>
          </w:p>
        </w:tc>
      </w:tr>
    </w:tbl>
    <w:p>
      <w:pPr>
        <w:spacing w:after="20"/>
      </w:pPr>
    </w:p>
    <w:p>
      <w:pPr>
        <w:pStyle w:val="Heading2"/>
        <w:keepNext/>
      </w:pPr>
      <w:r>
        <w:rPr>
          <w:rFonts w:ascii="Calibri" w:hAnsi="Calibri"/>
          <w:b/>
          <w:color w:val="2E74B5"/>
          <w:sz w:val="26"/>
        </w:rPr>
        <w:t>Malaysia / Sepang</w:t>
      </w:r>
    </w:p>
    <w:p>
      <w:pPr>
        <w:spacing w:before="0" w:after="120" w:line="300" w:lineRule="auto"/>
      </w:pPr>
      <w:r>
        <w:rPr>
          <w:rFonts w:ascii="Calibri" w:hAnsi="Calibri"/>
          <w:b w:val="0"/>
          <w:i w:val="0"/>
          <w:color w:val="20252B"/>
          <w:sz w:val="22"/>
        </w:rPr>
        <w:t>F1 and the FIA have confirmed that Sepang will host the 2026 Bahrain Grand Prix on 2-4 October, between Baku and Singapore. The official calendar now contains 23 rounds, so there are 12 races remaining after Hungary rather than the 11 used in the original budget study. It also creates a demanding Baku-Sepang-Singapore sequence.</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4F6F9"/>
            <w:tcBorders>
              <w:top w:val="single" w:sz="4" w:space="0" w:color="CAD3DF"/>
              <w:start w:val="single" w:sz="18" w:space="0" w:color="9B1C1C"/>
              <w:bottom w:val="single" w:sz="4" w:space="0" w:color="CAD3DF"/>
              <w:end w:val="single" w:sz="4" w:space="0" w:color="CAD3DF"/>
              <w:insideH w:val="single" w:sz="4" w:space="0" w:color="CAD3DF"/>
              <w:insideV w:val="single" w:sz="4" w:space="0" w:color="CAD3DF"/>
            </w:tcBorders>
          </w:tcPr>
          <w:p>
            <w:pPr>
              <w:spacing w:before="40" w:after="40" w:line="283" w:lineRule="auto"/>
            </w:pPr>
            <w:r>
              <w:rPr>
                <w:rFonts w:ascii="Calibri" w:hAnsi="Calibri"/>
                <w:b/>
                <w:color w:val="9B1C1C"/>
                <w:sz w:val="18"/>
              </w:rPr>
              <w:t xml:space="preserve">IMPORTANT CAVEAT  </w:t>
            </w:r>
            <w:r>
              <w:rPr>
                <w:rFonts w:ascii="Calibri" w:hAnsi="Calibri"/>
                <w:i/>
                <w:color w:val="20252B"/>
                <w:sz w:val="22"/>
              </w:rPr>
              <w:t>BoxBox's current seed and horizon do not yet include Sepang. Do not quote a Malaysia projection as model output.</w:t>
            </w:r>
          </w:p>
        </w:tc>
      </w:tr>
    </w:tbl>
    <w:p>
      <w:pPr>
        <w:spacing w:after="20"/>
      </w:pPr>
    </w:p>
    <w:p>
      <w:pPr>
        <w:pStyle w:val="Heading2"/>
        <w:keepNext/>
      </w:pPr>
      <w:r>
        <w:rPr>
          <w:rFonts w:ascii="Calibri" w:hAnsi="Calibri"/>
          <w:b/>
          <w:color w:val="2E74B5"/>
          <w:sz w:val="26"/>
        </w:rPr>
        <w:t>Calendar changes and the points-to-budget exchange rate</w:t>
      </w:r>
    </w:p>
    <w:p>
      <w:pPr>
        <w:spacing w:before="0" w:after="120" w:line="300" w:lineRule="auto"/>
      </w:pPr>
      <w:r>
        <w:rPr>
          <w:rFonts w:ascii="Calibri" w:hAnsi="Calibri"/>
          <w:b w:val="0"/>
          <w:i w:val="0"/>
          <w:color w:val="20252B"/>
          <w:sz w:val="22"/>
        </w:rPr>
        <w:t>The marginal-budget study fits a saturating curve: 8.57 × (1 - exp(-races remaining / 1.80)) future projected points per secured £1M, followed by separate discounts for forecast price realisation and realised marginal points. A forecast rise becomes spendable one race later.</w:t>
      </w:r>
    </w:p>
    <w:tbl>
      <w:tblPr>
        <w:tblW w:type="dxa" w:w="9360"/>
        <w:jc w:val="left"/>
        <w:tblLayout w:type="fixed"/>
        <w:tblLook w:firstColumn="1" w:firstRow="1" w:lastColumn="0" w:lastRow="0" w:noHBand="0" w:noVBand="1" w:val="04A0"/>
        <w:tblInd w:w="120" w:type="dxa"/>
      </w:tblPr>
      <w:tblGrid>
        <w:gridCol w:w="3300"/>
        <w:gridCol w:w="1500"/>
        <w:gridCol w:w="2280"/>
        <w:gridCol w:w="2280"/>
      </w:tblGrid>
      <w:tr>
        <w:trPr>
          <w:tblHeader w:val="true"/>
          <w:cantSplit w:val="true"/>
        </w:trPr>
        <w:tc>
          <w:tcPr>
            <w:tcW w:type="dxa" w:w="3300"/>
            <w:shd w:fill="E8EEF5"/>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center"/>
            </w:pPr>
            <w:r>
              <w:rPr>
                <w:rFonts w:ascii="Calibri" w:hAnsi="Calibri"/>
                <w:b/>
                <w:color w:val="0B2545"/>
                <w:sz w:val="18"/>
              </w:rPr>
              <w:t>Calendar case</w:t>
            </w:r>
          </w:p>
        </w:tc>
        <w:tc>
          <w:tcPr>
            <w:tcW w:type="dxa" w:w="1500"/>
            <w:shd w:fill="E8EEF5"/>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center"/>
            </w:pPr>
            <w:r>
              <w:rPr>
                <w:rFonts w:ascii="Calibri" w:hAnsi="Calibri"/>
                <w:b/>
                <w:color w:val="0B2545"/>
                <w:sz w:val="18"/>
              </w:rPr>
              <w:t>Races left</w:t>
            </w:r>
          </w:p>
        </w:tc>
        <w:tc>
          <w:tcPr>
            <w:tcW w:type="dxa" w:w="2280"/>
            <w:shd w:fill="E8EEF5"/>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center"/>
            </w:pPr>
            <w:r>
              <w:rPr>
                <w:rFonts w:ascii="Calibri" w:hAnsi="Calibri"/>
                <w:b/>
                <w:color w:val="0B2545"/>
                <w:sz w:val="18"/>
              </w:rPr>
              <w:t>Forecast +£0.3M</w:t>
            </w:r>
          </w:p>
        </w:tc>
        <w:tc>
          <w:tcPr>
            <w:tcW w:type="dxa" w:w="2280"/>
            <w:shd w:fill="E8EEF5"/>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center"/>
            </w:pPr>
            <w:r>
              <w:rPr>
                <w:rFonts w:ascii="Calibri" w:hAnsi="Calibri"/>
                <w:b/>
                <w:color w:val="0B2545"/>
                <w:sz w:val="18"/>
              </w:rPr>
              <w:t>Secured +£1.0M</w:t>
            </w:r>
          </w:p>
        </w:tc>
      </w:tr>
      <w:tr>
        <w:trPr>
          <w:cantSplit w:val="true"/>
        </w:trPr>
        <w:tc>
          <w:tcPr>
            <w:tcW w:type="dxa" w:w="33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left"/>
            </w:pPr>
            <w:r>
              <w:rPr>
                <w:rFonts w:ascii="Calibri" w:hAnsi="Calibri"/>
                <w:b/>
                <w:color w:val="20252B"/>
                <w:sz w:val="18"/>
              </w:rPr>
              <w:t>Old working horizon</w:t>
            </w:r>
          </w:p>
        </w:tc>
        <w:tc>
          <w:tcPr>
            <w:tcW w:type="dxa" w:w="15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center"/>
            </w:pPr>
            <w:r>
              <w:rPr>
                <w:rFonts w:ascii="Calibri" w:hAnsi="Calibri"/>
                <w:b w:val="0"/>
                <w:color w:val="20252B"/>
                <w:sz w:val="18"/>
              </w:rPr>
              <w:t>11</w:t>
            </w:r>
          </w:p>
        </w:tc>
        <w:tc>
          <w:tcPr>
            <w:tcW w:type="dxa" w:w="228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center"/>
            </w:pPr>
            <w:r>
              <w:rPr>
                <w:rFonts w:ascii="Calibri" w:hAnsi="Calibri"/>
                <w:b w:val="0"/>
                <w:color w:val="20252B"/>
                <w:sz w:val="18"/>
              </w:rPr>
              <w:t>1.39 pts</w:t>
            </w:r>
          </w:p>
        </w:tc>
        <w:tc>
          <w:tcPr>
            <w:tcW w:type="dxa" w:w="228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center"/>
            </w:pPr>
            <w:r>
              <w:rPr>
                <w:rFonts w:ascii="Calibri" w:hAnsi="Calibri"/>
                <w:b w:val="0"/>
                <w:color w:val="20252B"/>
                <w:sz w:val="18"/>
              </w:rPr>
              <w:t>5.34 pts</w:t>
            </w:r>
          </w:p>
        </w:tc>
      </w:tr>
      <w:tr>
        <w:trPr>
          <w:cantSplit w:val="true"/>
        </w:trPr>
        <w:tc>
          <w:tcPr>
            <w:tcW w:type="dxa" w:w="33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left"/>
            </w:pPr>
            <w:r>
              <w:rPr>
                <w:rFonts w:ascii="Calibri" w:hAnsi="Calibri"/>
                <w:b/>
                <w:color w:val="20252B"/>
                <w:sz w:val="18"/>
              </w:rPr>
              <w:t>Confirmed calendar with Malaysia</w:t>
            </w:r>
          </w:p>
        </w:tc>
        <w:tc>
          <w:tcPr>
            <w:tcW w:type="dxa" w:w="15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center"/>
            </w:pPr>
            <w:r>
              <w:rPr>
                <w:rFonts w:ascii="Calibri" w:hAnsi="Calibri"/>
                <w:b w:val="0"/>
                <w:color w:val="20252B"/>
                <w:sz w:val="18"/>
              </w:rPr>
              <w:t>12</w:t>
            </w:r>
          </w:p>
        </w:tc>
        <w:tc>
          <w:tcPr>
            <w:tcW w:type="dxa" w:w="228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center"/>
            </w:pPr>
            <w:r>
              <w:rPr>
                <w:rFonts w:ascii="Calibri" w:hAnsi="Calibri"/>
                <w:b w:val="0"/>
                <w:color w:val="20252B"/>
                <w:sz w:val="18"/>
              </w:rPr>
              <w:t>1.39 pts</w:t>
            </w:r>
          </w:p>
        </w:tc>
        <w:tc>
          <w:tcPr>
            <w:tcW w:type="dxa" w:w="228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center"/>
            </w:pPr>
            <w:r>
              <w:rPr>
                <w:rFonts w:ascii="Calibri" w:hAnsi="Calibri"/>
                <w:b w:val="0"/>
                <w:color w:val="20252B"/>
                <w:sz w:val="18"/>
              </w:rPr>
              <w:t>5.35 pts</w:t>
            </w:r>
          </w:p>
        </w:tc>
      </w:tr>
      <w:tr>
        <w:trPr>
          <w:cantSplit w:val="true"/>
        </w:trPr>
        <w:tc>
          <w:tcPr>
            <w:tcW w:type="dxa" w:w="33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left"/>
            </w:pPr>
            <w:r>
              <w:rPr>
                <w:rFonts w:ascii="Calibri" w:hAnsi="Calibri"/>
                <w:b/>
                <w:color w:val="20252B"/>
                <w:sz w:val="18"/>
              </w:rPr>
              <w:t>True extra race on top</w:t>
            </w:r>
          </w:p>
        </w:tc>
        <w:tc>
          <w:tcPr>
            <w:tcW w:type="dxa" w:w="15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center"/>
            </w:pPr>
            <w:r>
              <w:rPr>
                <w:rFonts w:ascii="Calibri" w:hAnsi="Calibri"/>
                <w:b w:val="0"/>
                <w:color w:val="20252B"/>
                <w:sz w:val="18"/>
              </w:rPr>
              <w:t>13</w:t>
            </w:r>
          </w:p>
        </w:tc>
        <w:tc>
          <w:tcPr>
            <w:tcW w:type="dxa" w:w="228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center"/>
            </w:pPr>
            <w:r>
              <w:rPr>
                <w:rFonts w:ascii="Calibri" w:hAnsi="Calibri"/>
                <w:b w:val="0"/>
                <w:color w:val="20252B"/>
                <w:sz w:val="18"/>
              </w:rPr>
              <w:t>1.39 pts</w:t>
            </w:r>
          </w:p>
        </w:tc>
        <w:tc>
          <w:tcPr>
            <w:tcW w:type="dxa" w:w="228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pPr>
              <w:jc w:val="center"/>
            </w:pPr>
            <w:r>
              <w:rPr>
                <w:rFonts w:ascii="Calibri" w:hAnsi="Calibri"/>
                <w:b w:val="0"/>
                <w:color w:val="20252B"/>
                <w:sz w:val="18"/>
              </w:rPr>
              <w:t>5.35 pts</w:t>
            </w:r>
          </w:p>
        </w:tc>
      </w:tr>
    </w:tbl>
    <w:p>
      <w:pPr>
        <w:spacing w:before="0" w:after="120" w:line="300" w:lineRule="auto"/>
      </w:pPr>
      <w:r>
        <w:rPr>
          <w:rFonts w:ascii="Calibri" w:hAnsi="Calibri"/>
          <w:b w:val="0"/>
          <w:i w:val="0"/>
          <w:color w:val="20252B"/>
          <w:sz w:val="22"/>
        </w:rPr>
        <w:t>The headline is that Malaysia does not materially increase the present exchange rate. At this long horizon the curve is already almost flat: moving from 11 to 12 races raises the decision value of a secured £1M by only about 0.01 point, while a forecast +£0.3M still rounds to 1.39 points. A forecast rise still needs to be roughly £2.16M to justify giving up 10 certain points under the smooth model.</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4F6F9"/>
            <w:tcBorders>
              <w:top w:val="single" w:sz="4" w:space="0" w:color="CAD3DF"/>
              <w:start w:val="single" w:sz="18" w:space="0" w:color="7A5A00"/>
              <w:bottom w:val="single" w:sz="4" w:space="0" w:color="CAD3DF"/>
              <w:end w:val="single" w:sz="4" w:space="0" w:color="CAD3DF"/>
              <w:insideH w:val="single" w:sz="4" w:space="0" w:color="CAD3DF"/>
              <w:insideV w:val="single" w:sz="4" w:space="0" w:color="CAD3DF"/>
            </w:tcBorders>
          </w:tcPr>
          <w:p>
            <w:pPr>
              <w:spacing w:before="40" w:after="40" w:line="283" w:lineRule="auto"/>
            </w:pPr>
            <w:r>
              <w:rPr>
                <w:rFonts w:ascii="Calibri" w:hAnsi="Calibri"/>
                <w:b/>
                <w:color w:val="7A5A00"/>
                <w:sz w:val="18"/>
              </w:rPr>
              <w:t xml:space="preserve">ON CAMERA  </w:t>
            </w:r>
            <w:r>
              <w:rPr>
                <w:rFonts w:ascii="Calibri" w:hAnsi="Calibri"/>
                <w:i/>
                <w:color w:val="20252B"/>
                <w:sz w:val="22"/>
              </w:rPr>
              <w:t>Malaysia gives us another scoring and chip opportunity, but it does not suddenly make routine price rises more valuable. At 12 races left, a forecast +£0.3M is still worth only about 1.4 future points. The extra date matters more for chip timing and transfer flexibility than for the budget exchange rate.</w:t>
            </w:r>
          </w:p>
        </w:tc>
      </w:tr>
    </w:tbl>
    <w:p>
      <w:pPr>
        <w:spacing w:after="20"/>
      </w:pPr>
    </w:p>
    <w:p>
      <w:pPr>
        <w:pStyle w:val="Heading3"/>
        <w:keepNext/>
      </w:pPr>
      <w:r>
        <w:rPr>
          <w:rFonts w:ascii="Calibri" w:hAnsi="Calibri"/>
          <w:b/>
          <w:color w:val="1F4D78"/>
          <w:sz w:val="24"/>
        </w:rPr>
        <w:t>How to frame the Imola rumour</w:t>
      </w:r>
    </w:p>
    <w:p>
      <w:pPr>
        <w:spacing w:before="0" w:after="120" w:line="300" w:lineRule="auto"/>
      </w:pPr>
      <w:r>
        <w:rPr>
          <w:rFonts w:ascii="Calibri" w:hAnsi="Calibri"/>
          <w:b w:val="0"/>
          <w:i w:val="0"/>
          <w:color w:val="20252B"/>
          <w:sz w:val="22"/>
        </w:rPr>
        <w:t>Imola is being discussed as a contingency finale if the Middle East ending changes. Current reporting does not establish it as a 24th race: it could replace Abu Dhabi one-for-one, or become one replacement if both Qatar and Abu Dhabi are lost. In the first case the horizon stays at 12 races; in the second it falls back to 11. Only a genuine additional Imola round on top of the current 23 would create a 13-race horizon - and even then the current forecast +£0.3M value still rounds to 1.39 points.</w:t>
      </w:r>
    </w:p>
    <w:p>
      <w:pPr>
        <w:spacing w:before="0" w:after="120" w:line="300" w:lineRule="auto"/>
      </w:pPr>
      <w:r>
        <w:rPr>
          <w:rFonts w:ascii="Calibri" w:hAnsi="Calibri"/>
          <w:b w:val="0"/>
          <w:i w:val="0"/>
          <w:color w:val="20252B"/>
          <w:sz w:val="22"/>
        </w:rPr>
        <w:t>The calendar effect becomes more important later. With three races left, a forecast +£0.3M is worth about 0.93 point; adding one genuinely usable race lifts that to about 1.13. Recalculate once the finale is confirmed rather than treating today's 12-race assumption as permanent.</w:t>
      </w:r>
    </w:p>
    <w:p>
      <w:pPr>
        <w:pStyle w:val="Heading2"/>
        <w:keepNext/>
      </w:pPr>
      <w:r>
        <w:rPr>
          <w:rFonts w:ascii="Calibri" w:hAnsi="Calibri"/>
          <w:b/>
          <w:color w:val="2E74B5"/>
          <w:sz w:val="26"/>
        </w:rPr>
        <w:t>Where is the edge?</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4F6F9"/>
            <w:tcBorders>
              <w:top w:val="single" w:sz="4" w:space="0" w:color="CAD3DF"/>
              <w:start w:val="single" w:sz="18" w:space="0" w:color="2E74B5"/>
              <w:bottom w:val="single" w:sz="4" w:space="0" w:color="CAD3DF"/>
              <w:end w:val="single" w:sz="4" w:space="0" w:color="CAD3DF"/>
              <w:insideH w:val="single" w:sz="4" w:space="0" w:color="CAD3DF"/>
              <w:insideV w:val="single" w:sz="4" w:space="0" w:color="CAD3DF"/>
            </w:tcBorders>
          </w:tcPr>
          <w:p>
            <w:pPr>
              <w:spacing w:before="40" w:after="40" w:line="283" w:lineRule="auto"/>
            </w:pPr>
            <w:r>
              <w:rPr>
                <w:rFonts w:ascii="Calibri" w:hAnsi="Calibri"/>
                <w:b/>
                <w:color w:val="2E74B5"/>
                <w:sz w:val="18"/>
              </w:rPr>
              <w:t xml:space="preserve">ON CAMERA  </w:t>
            </w:r>
            <w:r>
              <w:rPr>
                <w:rFonts w:ascii="Calibri" w:hAnsi="Calibri"/>
                <w:i/>
                <w:color w:val="20252B"/>
                <w:sz w:val="22"/>
              </w:rPr>
              <w:t>Use repeatable FP pace rather than the fastest single lap, model DNF risk instead of calling every retirement random, and price budget as an option rather than as points. Then sell the asset that made you money when its forward value disappears.</w:t>
            </w:r>
          </w:p>
        </w:tc>
      </w:tr>
    </w:tbl>
    <w:p>
      <w:pPr>
        <w:spacing w:after="20"/>
      </w:pPr>
    </w:p>
    <w:p>
      <w:pPr>
        <w:pStyle w:val="Heading1"/>
        <w:keepNext/>
      </w:pPr>
      <w:r>
        <w:rPr>
          <w:rFonts w:ascii="Calibri" w:hAnsi="Calibri"/>
          <w:b/>
          <w:color w:val="2E74B5"/>
          <w:sz w:val="32"/>
        </w:rPr>
        <w:t>Bold predictions</w:t>
      </w:r>
    </w:p>
    <w:p>
      <w:pPr>
        <w:pStyle w:val="Heading2"/>
        <w:keepNext/>
      </w:pPr>
      <w:r>
        <w:rPr>
          <w:rFonts w:ascii="Calibri" w:hAnsi="Calibri"/>
          <w:b/>
          <w:color w:val="2E74B5"/>
          <w:sz w:val="26"/>
        </w:rPr>
        <w:t>F1 prediction</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4F6F9"/>
            <w:tcBorders>
              <w:top w:val="single" w:sz="4" w:space="0" w:color="CAD3DF"/>
              <w:start w:val="single" w:sz="18" w:space="0" w:color="2E74B5"/>
              <w:bottom w:val="single" w:sz="4" w:space="0" w:color="CAD3DF"/>
              <w:end w:val="single" w:sz="4" w:space="0" w:color="CAD3DF"/>
              <w:insideH w:val="single" w:sz="4" w:space="0" w:color="CAD3DF"/>
              <w:insideV w:val="single" w:sz="4" w:space="0" w:color="CAD3DF"/>
            </w:tcBorders>
          </w:tcPr>
          <w:p>
            <w:pPr>
              <w:spacing w:before="40" w:after="40" w:line="283" w:lineRule="auto"/>
            </w:pPr>
            <w:r>
              <w:rPr>
                <w:rFonts w:ascii="Calibri" w:hAnsi="Calibri"/>
                <w:b/>
                <w:color w:val="2E74B5"/>
                <w:sz w:val="18"/>
              </w:rPr>
              <w:t xml:space="preserve">BOLD CALL  </w:t>
            </w:r>
            <w:r>
              <w:rPr>
                <w:rFonts w:ascii="Calibri" w:hAnsi="Calibri"/>
                <w:i/>
                <w:color w:val="20252B"/>
                <w:sz w:val="22"/>
              </w:rPr>
              <w:t>Lando Norris wins at least two more Grands Prix and finishes third in the Drivers' Championship. He is fifth now, 32 points behind Russell, but Hungary looked like the start of a genuine second-half charge.</w:t>
            </w:r>
          </w:p>
        </w:tc>
      </w:tr>
    </w:tbl>
    <w:p>
      <w:pPr>
        <w:spacing w:after="20"/>
      </w:pPr>
    </w:p>
    <w:p>
      <w:pPr>
        <w:pStyle w:val="Heading2"/>
        <w:keepNext/>
      </w:pPr>
      <w:r>
        <w:rPr>
          <w:rFonts w:ascii="Calibri" w:hAnsi="Calibri"/>
          <w:b/>
          <w:color w:val="2E74B5"/>
          <w:sz w:val="26"/>
        </w:rPr>
        <w:t>F1 Fantasy prediction</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F4F6F9"/>
            <w:tcBorders>
              <w:top w:val="single" w:sz="4" w:space="0" w:color="CAD3DF"/>
              <w:start w:val="single" w:sz="18" w:space="0" w:color="2E74B5"/>
              <w:bottom w:val="single" w:sz="4" w:space="0" w:color="CAD3DF"/>
              <w:end w:val="single" w:sz="4" w:space="0" w:color="CAD3DF"/>
              <w:insideH w:val="single" w:sz="4" w:space="0" w:color="CAD3DF"/>
              <w:insideV w:val="single" w:sz="4" w:space="0" w:color="CAD3DF"/>
            </w:tcBorders>
          </w:tcPr>
          <w:p>
            <w:pPr>
              <w:spacing w:before="40" w:after="40" w:line="283" w:lineRule="auto"/>
            </w:pPr>
            <w:r>
              <w:rPr>
                <w:rFonts w:ascii="Calibri" w:hAnsi="Calibri"/>
                <w:b/>
                <w:color w:val="2E74B5"/>
                <w:sz w:val="18"/>
              </w:rPr>
              <w:t xml:space="preserve">BOLD CALL  </w:t>
            </w:r>
            <w:r>
              <w:rPr>
                <w:rFonts w:ascii="Calibri" w:hAnsi="Calibri"/>
                <w:i/>
                <w:color w:val="20252B"/>
                <w:sz w:val="22"/>
              </w:rPr>
              <w:t>Norris is the number-two fantasy driver over the remainder of the season, behind Kimi but ahead of Hamilton, Leclerc and Verstappen. Ferrari becomes the best premium-constructor value rather than Mercedes.</w:t>
            </w:r>
          </w:p>
        </w:tc>
      </w:tr>
    </w:tbl>
    <w:p>
      <w:pPr>
        <w:spacing w:after="20"/>
      </w:pPr>
    </w:p>
    <w:p>
      <w:pPr>
        <w:spacing w:before="0" w:after="120" w:line="300" w:lineRule="auto"/>
      </w:pPr>
      <w:r>
        <w:rPr>
          <w:rFonts w:ascii="Calibri" w:hAnsi="Calibri"/>
          <w:b w:val="0"/>
          <w:i w:val="0"/>
          <w:color w:val="20252B"/>
          <w:sz w:val="22"/>
        </w:rPr>
        <w:t>Current R14-R19 priors: Kimi 221.1, Norris 167.2, Hamilton 145.4, Verstappen 137.1 and Leclerc 134.2. Ferrari projects 284.5 at £26.6M versus Mercedes 343.3 at £32.6M - almost identical projected points per £M.</w:t>
      </w:r>
    </w:p>
    <w:p>
      <w:pPr>
        <w:pStyle w:val="Heading1"/>
        <w:keepNext/>
      </w:pPr>
      <w:r>
        <w:rPr>
          <w:rFonts w:ascii="Calibri" w:hAnsi="Calibri"/>
          <w:b/>
          <w:color w:val="2E74B5"/>
          <w:sz w:val="32"/>
        </w:rPr>
        <w:t>Rapid-fire answers</w:t>
      </w:r>
    </w:p>
    <w:tbl>
      <w:tblPr>
        <w:tblW w:type="dxa" w:w="9360"/>
        <w:jc w:val="left"/>
        <w:tblLayout w:type="fixed"/>
        <w:tblLook w:firstColumn="1" w:firstRow="1" w:lastColumn="0" w:lastRow="0" w:noHBand="0" w:noVBand="1" w:val="04A0"/>
        <w:tblInd w:w="120" w:type="dxa"/>
      </w:tblPr>
      <w:tblGrid>
        <w:gridCol w:w="3150"/>
        <w:gridCol w:w="6210"/>
      </w:tblGrid>
      <w:tr>
        <w:trPr>
          <w:cantSplit w:val="true"/>
        </w:trPr>
        <w:tc>
          <w:tcPr>
            <w:tcW w:type="dxa" w:w="31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shd w:fill="E8EEF5"/>
            <w:vAlign w:val="center"/>
            <w:tcMar>
              <w:top w:w="30" w:type="dxa"/>
              <w:start w:w="120" w:type="dxa"/>
              <w:bottom w:w="30" w:type="dxa"/>
              <w:end w:w="120" w:type="dxa"/>
            </w:tcMar>
          </w:tcPr>
          <w:p>
            <w:r>
              <w:rPr>
                <w:rFonts w:ascii="Calibri" w:hAnsi="Calibri"/>
                <w:b/>
                <w:color w:val="0B2545"/>
                <w:sz w:val="19"/>
              </w:rPr>
              <w:t>Most consistent premium</w:t>
            </w:r>
          </w:p>
        </w:tc>
        <w:tc>
          <w:tcPr>
            <w:tcW w:type="dxa" w:w="62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30" w:type="dxa"/>
              <w:start w:w="120" w:type="dxa"/>
              <w:bottom w:w="30" w:type="dxa"/>
              <w:end w:w="120" w:type="dxa"/>
            </w:tcMar>
          </w:tcPr>
          <w:p>
            <w:r>
              <w:rPr>
                <w:rFonts w:ascii="Calibri" w:hAnsi="Calibri"/>
                <w:b w:val="0"/>
                <w:color w:val="20252B"/>
                <w:sz w:val="19"/>
              </w:rPr>
              <w:t>Hamilton</w:t>
            </w:r>
          </w:p>
        </w:tc>
      </w:tr>
      <w:tr>
        <w:trPr>
          <w:cantSplit w:val="true"/>
        </w:trPr>
        <w:tc>
          <w:tcPr>
            <w:tcW w:type="dxa" w:w="31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shd w:fill="E8EEF5"/>
            <w:vAlign w:val="center"/>
            <w:tcMar>
              <w:top w:w="30" w:type="dxa"/>
              <w:start w:w="120" w:type="dxa"/>
              <w:bottom w:w="30" w:type="dxa"/>
              <w:end w:w="120" w:type="dxa"/>
            </w:tcMar>
          </w:tcPr>
          <w:p>
            <w:r>
              <w:rPr>
                <w:rFonts w:ascii="Calibri" w:hAnsi="Calibri"/>
                <w:b/>
                <w:color w:val="0B2545"/>
                <w:sz w:val="19"/>
              </w:rPr>
              <w:t>Best overall asset</w:t>
            </w:r>
          </w:p>
        </w:tc>
        <w:tc>
          <w:tcPr>
            <w:tcW w:type="dxa" w:w="62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30" w:type="dxa"/>
              <w:start w:w="120" w:type="dxa"/>
              <w:bottom w:w="30" w:type="dxa"/>
              <w:end w:w="120" w:type="dxa"/>
            </w:tcMar>
          </w:tcPr>
          <w:p>
            <w:r>
              <w:rPr>
                <w:rFonts w:ascii="Calibri" w:hAnsi="Calibri"/>
                <w:b w:val="0"/>
                <w:color w:val="20252B"/>
                <w:sz w:val="19"/>
              </w:rPr>
              <w:t>Kimi</w:t>
            </w:r>
          </w:p>
        </w:tc>
      </w:tr>
      <w:tr>
        <w:trPr>
          <w:cantSplit w:val="true"/>
        </w:trPr>
        <w:tc>
          <w:tcPr>
            <w:tcW w:type="dxa" w:w="31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shd w:fill="E8EEF5"/>
            <w:vAlign w:val="center"/>
            <w:tcMar>
              <w:top w:w="30" w:type="dxa"/>
              <w:start w:w="120" w:type="dxa"/>
              <w:bottom w:w="30" w:type="dxa"/>
              <w:end w:w="120" w:type="dxa"/>
            </w:tcMar>
          </w:tcPr>
          <w:p>
            <w:r>
              <w:rPr>
                <w:rFonts w:ascii="Calibri" w:hAnsi="Calibri"/>
                <w:b/>
                <w:color w:val="0B2545"/>
                <w:sz w:val="19"/>
              </w:rPr>
              <w:t>Best improvement</w:t>
            </w:r>
          </w:p>
        </w:tc>
        <w:tc>
          <w:tcPr>
            <w:tcW w:type="dxa" w:w="62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30" w:type="dxa"/>
              <w:start w:w="120" w:type="dxa"/>
              <w:bottom w:w="30" w:type="dxa"/>
              <w:end w:w="120" w:type="dxa"/>
            </w:tcMar>
          </w:tcPr>
          <w:p>
            <w:r>
              <w:rPr>
                <w:rFonts w:ascii="Calibri" w:hAnsi="Calibri"/>
                <w:b w:val="0"/>
                <w:color w:val="20252B"/>
                <w:sz w:val="19"/>
              </w:rPr>
              <w:t>Hadjar</w:t>
            </w:r>
          </w:p>
        </w:tc>
      </w:tr>
      <w:tr>
        <w:trPr>
          <w:cantSplit w:val="true"/>
        </w:trPr>
        <w:tc>
          <w:tcPr>
            <w:tcW w:type="dxa" w:w="31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shd w:fill="E8EEF5"/>
            <w:vAlign w:val="center"/>
            <w:tcMar>
              <w:top w:w="30" w:type="dxa"/>
              <w:start w:w="120" w:type="dxa"/>
              <w:bottom w:w="30" w:type="dxa"/>
              <w:end w:w="120" w:type="dxa"/>
            </w:tcMar>
          </w:tcPr>
          <w:p>
            <w:r>
              <w:rPr>
                <w:rFonts w:ascii="Calibri" w:hAnsi="Calibri"/>
                <w:b/>
                <w:color w:val="0B2545"/>
                <w:sz w:val="19"/>
              </w:rPr>
              <w:t>Best premium rebound</w:t>
            </w:r>
          </w:p>
        </w:tc>
        <w:tc>
          <w:tcPr>
            <w:tcW w:type="dxa" w:w="62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30" w:type="dxa"/>
              <w:start w:w="120" w:type="dxa"/>
              <w:bottom w:w="30" w:type="dxa"/>
              <w:end w:w="120" w:type="dxa"/>
            </w:tcMar>
          </w:tcPr>
          <w:p>
            <w:r>
              <w:rPr>
                <w:rFonts w:ascii="Calibri" w:hAnsi="Calibri"/>
                <w:b w:val="0"/>
                <w:color w:val="20252B"/>
                <w:sz w:val="19"/>
              </w:rPr>
              <w:t>Norris</w:t>
            </w:r>
          </w:p>
        </w:tc>
      </w:tr>
      <w:tr>
        <w:trPr>
          <w:cantSplit w:val="true"/>
        </w:trPr>
        <w:tc>
          <w:tcPr>
            <w:tcW w:type="dxa" w:w="31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shd w:fill="E8EEF5"/>
            <w:vAlign w:val="center"/>
            <w:tcMar>
              <w:top w:w="30" w:type="dxa"/>
              <w:start w:w="120" w:type="dxa"/>
              <w:bottom w:w="30" w:type="dxa"/>
              <w:end w:w="120" w:type="dxa"/>
            </w:tcMar>
          </w:tcPr>
          <w:p>
            <w:r>
              <w:rPr>
                <w:rFonts w:ascii="Calibri" w:hAnsi="Calibri"/>
                <w:b/>
                <w:color w:val="0B2545"/>
                <w:sz w:val="19"/>
              </w:rPr>
              <w:t>Best fantasy-not-F1 player</w:t>
            </w:r>
          </w:p>
        </w:tc>
        <w:tc>
          <w:tcPr>
            <w:tcW w:type="dxa" w:w="62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30" w:type="dxa"/>
              <w:start w:w="120" w:type="dxa"/>
              <w:bottom w:w="30" w:type="dxa"/>
              <w:end w:w="120" w:type="dxa"/>
            </w:tcMar>
          </w:tcPr>
          <w:p>
            <w:r>
              <w:rPr>
                <w:rFonts w:ascii="Calibri" w:hAnsi="Calibri"/>
                <w:b w:val="0"/>
                <w:color w:val="20252B"/>
                <w:sz w:val="19"/>
              </w:rPr>
              <w:t>Ocon</w:t>
            </w:r>
          </w:p>
        </w:tc>
      </w:tr>
      <w:tr>
        <w:trPr>
          <w:cantSplit w:val="true"/>
        </w:trPr>
        <w:tc>
          <w:tcPr>
            <w:tcW w:type="dxa" w:w="31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shd w:fill="E8EEF5"/>
            <w:vAlign w:val="center"/>
            <w:tcMar>
              <w:top w:w="30" w:type="dxa"/>
              <w:start w:w="120" w:type="dxa"/>
              <w:bottom w:w="30" w:type="dxa"/>
              <w:end w:w="120" w:type="dxa"/>
            </w:tcMar>
          </w:tcPr>
          <w:p>
            <w:r>
              <w:rPr>
                <w:rFonts w:ascii="Calibri" w:hAnsi="Calibri"/>
                <w:b/>
                <w:color w:val="0B2545"/>
                <w:sz w:val="19"/>
              </w:rPr>
              <w:t>Best budget-building success</w:t>
            </w:r>
          </w:p>
        </w:tc>
        <w:tc>
          <w:tcPr>
            <w:tcW w:type="dxa" w:w="62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30" w:type="dxa"/>
              <w:start w:w="120" w:type="dxa"/>
              <w:bottom w:w="30" w:type="dxa"/>
              <w:end w:w="120" w:type="dxa"/>
            </w:tcMar>
          </w:tcPr>
          <w:p>
            <w:r>
              <w:rPr>
                <w:rFonts w:ascii="Calibri" w:hAnsi="Calibri"/>
                <w:b w:val="0"/>
                <w:color w:val="20252B"/>
                <w:sz w:val="19"/>
              </w:rPr>
              <w:t>Colapinto / Racing Bulls</w:t>
            </w:r>
          </w:p>
        </w:tc>
      </w:tr>
      <w:tr>
        <w:trPr>
          <w:cantSplit w:val="true"/>
        </w:trPr>
        <w:tc>
          <w:tcPr>
            <w:tcW w:type="dxa" w:w="31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shd w:fill="E8EEF5"/>
            <w:vAlign w:val="center"/>
            <w:tcMar>
              <w:top w:w="30" w:type="dxa"/>
              <w:start w:w="120" w:type="dxa"/>
              <w:bottom w:w="30" w:type="dxa"/>
              <w:end w:w="120" w:type="dxa"/>
            </w:tcMar>
          </w:tcPr>
          <w:p>
            <w:r>
              <w:rPr>
                <w:rFonts w:ascii="Calibri" w:hAnsi="Calibri"/>
                <w:b/>
                <w:color w:val="0B2545"/>
                <w:sz w:val="19"/>
              </w:rPr>
              <w:t>Current-price disappointment</w:t>
            </w:r>
          </w:p>
        </w:tc>
        <w:tc>
          <w:tcPr>
            <w:tcW w:type="dxa" w:w="62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30" w:type="dxa"/>
              <w:start w:w="120" w:type="dxa"/>
              <w:bottom w:w="30" w:type="dxa"/>
              <w:end w:w="120" w:type="dxa"/>
            </w:tcMar>
          </w:tcPr>
          <w:p>
            <w:r>
              <w:rPr>
                <w:rFonts w:ascii="Calibri" w:hAnsi="Calibri"/>
                <w:b w:val="0"/>
                <w:color w:val="20252B"/>
                <w:sz w:val="19"/>
              </w:rPr>
              <w:t>Piastri</w:t>
            </w:r>
          </w:p>
        </w:tc>
      </w:tr>
      <w:tr>
        <w:trPr>
          <w:cantSplit w:val="true"/>
        </w:trPr>
        <w:tc>
          <w:tcPr>
            <w:tcW w:type="dxa" w:w="31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shd w:fill="E8EEF5"/>
            <w:vAlign w:val="center"/>
            <w:tcMar>
              <w:top w:w="30" w:type="dxa"/>
              <w:start w:w="120" w:type="dxa"/>
              <w:bottom w:w="30" w:type="dxa"/>
              <w:end w:w="120" w:type="dxa"/>
            </w:tcMar>
          </w:tcPr>
          <w:p>
            <w:r>
              <w:rPr>
                <w:rFonts w:ascii="Calibri" w:hAnsi="Calibri"/>
                <w:b/>
                <w:color w:val="0B2545"/>
                <w:sz w:val="19"/>
              </w:rPr>
              <w:t>Cheap constructor watch</w:t>
            </w:r>
          </w:p>
        </w:tc>
        <w:tc>
          <w:tcPr>
            <w:tcW w:type="dxa" w:w="62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30" w:type="dxa"/>
              <w:start w:w="120" w:type="dxa"/>
              <w:bottom w:w="30" w:type="dxa"/>
              <w:end w:w="120" w:type="dxa"/>
            </w:tcMar>
          </w:tcPr>
          <w:p>
            <w:r>
              <w:rPr>
                <w:rFonts w:ascii="Calibri" w:hAnsi="Calibri"/>
                <w:b w:val="0"/>
                <w:color w:val="20252B"/>
                <w:sz w:val="19"/>
              </w:rPr>
              <w:t>Audi</w:t>
            </w:r>
          </w:p>
        </w:tc>
      </w:tr>
      <w:tr>
        <w:trPr>
          <w:cantSplit w:val="true"/>
        </w:trPr>
        <w:tc>
          <w:tcPr>
            <w:tcW w:type="dxa" w:w="31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shd w:fill="E8EEF5"/>
            <w:vAlign w:val="center"/>
            <w:tcMar>
              <w:top w:w="30" w:type="dxa"/>
              <w:start w:w="120" w:type="dxa"/>
              <w:bottom w:w="30" w:type="dxa"/>
              <w:end w:w="120" w:type="dxa"/>
            </w:tcMar>
          </w:tcPr>
          <w:p>
            <w:r>
              <w:rPr>
                <w:rFonts w:ascii="Calibri" w:hAnsi="Calibri"/>
                <w:b/>
                <w:color w:val="0B2545"/>
                <w:sz w:val="19"/>
              </w:rPr>
              <w:t>Biggest chip lesson</w:t>
            </w:r>
          </w:p>
        </w:tc>
        <w:tc>
          <w:tcPr>
            <w:tcW w:type="dxa" w:w="62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30" w:type="dxa"/>
              <w:start w:w="120" w:type="dxa"/>
              <w:bottom w:w="30" w:type="dxa"/>
              <w:end w:w="120" w:type="dxa"/>
            </w:tcMar>
          </w:tcPr>
          <w:p>
            <w:r>
              <w:rPr>
                <w:rFonts w:ascii="Calibri" w:hAnsi="Calibri"/>
                <w:b w:val="0"/>
                <w:color w:val="20252B"/>
                <w:sz w:val="19"/>
              </w:rPr>
              <w:t>Limitless needs expensive assets to dominate</w:t>
            </w:r>
          </w:p>
        </w:tc>
      </w:tr>
      <w:tr>
        <w:trPr>
          <w:cantSplit w:val="true"/>
        </w:trPr>
        <w:tc>
          <w:tcPr>
            <w:tcW w:type="dxa" w:w="315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shd w:fill="E8EEF5"/>
            <w:vAlign w:val="center"/>
            <w:tcMar>
              <w:top w:w="30" w:type="dxa"/>
              <w:start w:w="120" w:type="dxa"/>
              <w:bottom w:w="30" w:type="dxa"/>
              <w:end w:w="120" w:type="dxa"/>
            </w:tcMar>
          </w:tcPr>
          <w:p>
            <w:r>
              <w:rPr>
                <w:rFonts w:ascii="Calibri" w:hAnsi="Calibri"/>
                <w:b/>
                <w:color w:val="0B2545"/>
                <w:sz w:val="19"/>
              </w:rPr>
              <w:t>One strategic rule</w:t>
            </w:r>
          </w:p>
        </w:tc>
        <w:tc>
          <w:tcPr>
            <w:tcW w:type="dxa" w:w="621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30" w:type="dxa"/>
              <w:start w:w="120" w:type="dxa"/>
              <w:bottom w:w="30" w:type="dxa"/>
              <w:end w:w="120" w:type="dxa"/>
            </w:tcMar>
          </w:tcPr>
          <w:p>
            <w:r>
              <w:rPr>
                <w:rFonts w:ascii="Calibri" w:hAnsi="Calibri"/>
                <w:b w:val="0"/>
                <w:color w:val="20252B"/>
                <w:sz w:val="19"/>
              </w:rPr>
              <w:t>Do not spend 10 points chasing a routine £0.3M rise</w:t>
            </w:r>
          </w:p>
        </w:tc>
      </w:tr>
    </w:tbl>
    <w:p>
      <w:r>
        <w:br w:type="page"/>
      </w:r>
    </w:p>
    <w:p>
      <w:pPr>
        <w:pStyle w:val="Heading1"/>
        <w:keepNext/>
      </w:pPr>
      <w:r>
        <w:rPr>
          <w:rFonts w:ascii="Calibri" w:hAnsi="Calibri"/>
          <w:b/>
          <w:color w:val="2E74B5"/>
          <w:sz w:val="32"/>
        </w:rPr>
        <w:t>Sources and caveats</w:t>
      </w:r>
    </w:p>
    <w:tbl>
      <w:tblPr>
        <w:tblW w:type="dxa" w:w="9360"/>
        <w:jc w:val="left"/>
        <w:tblLayout w:type="fixed"/>
        <w:tblLook w:firstColumn="1" w:firstRow="1" w:lastColumn="0" w:lastRow="0" w:noHBand="0" w:noVBand="1" w:val="04A0"/>
        <w:tblInd w:w="120" w:type="dxa"/>
      </w:tblPr>
      <w:tblGrid>
        <w:gridCol w:w="2500"/>
        <w:gridCol w:w="6860"/>
      </w:tblGrid>
      <w:tr>
        <w:trPr>
          <w:tblHeader w:val="true"/>
          <w:cantSplit w:val="true"/>
        </w:trPr>
        <w:tc>
          <w:tcPr>
            <w:tcW w:type="dxa" w:w="2500"/>
            <w:shd w:fill="E8EEF5"/>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color w:val="0B2545"/>
                <w:sz w:val="19"/>
              </w:rPr>
              <w:t>Evidence</w:t>
            </w:r>
          </w:p>
        </w:tc>
        <w:tc>
          <w:tcPr>
            <w:tcW w:type="dxa" w:w="6860"/>
            <w:shd w:fill="E8EEF5"/>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color w:val="0B2545"/>
                <w:sz w:val="19"/>
              </w:rPr>
              <w:t>Source</w:t>
            </w:r>
          </w:p>
        </w:tc>
      </w:tr>
      <w:tr>
        <w:trPr>
          <w:cantSplit w:val="true"/>
        </w:trPr>
        <w:tc>
          <w:tcPr>
            <w:tcW w:type="dxa" w:w="25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color w:val="20252B"/>
                <w:sz w:val="18"/>
              </w:rPr>
              <w:t>Fantasy totals</w:t>
            </w:r>
          </w:p>
        </w:tc>
        <w:tc>
          <w:tcPr>
            <w:tcW w:type="dxa" w:w="686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val="0"/>
                <w:color w:val="20252B"/>
                <w:sz w:val="18"/>
              </w:rPr>
              <w:t>data/seed/official_fantasy_points.json</w:t>
            </w:r>
          </w:p>
        </w:tc>
      </w:tr>
      <w:tr>
        <w:trPr>
          <w:cantSplit w:val="true"/>
        </w:trPr>
        <w:tc>
          <w:tcPr>
            <w:tcW w:type="dxa" w:w="25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color w:val="20252B"/>
                <w:sz w:val="18"/>
              </w:rPr>
              <w:t>Scoring components</w:t>
            </w:r>
          </w:p>
        </w:tc>
        <w:tc>
          <w:tcPr>
            <w:tcW w:type="dxa" w:w="686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val="0"/>
                <w:color w:val="20252B"/>
                <w:sz w:val="18"/>
              </w:rPr>
              <w:t>web/public/data/actual_round*.json</w:t>
            </w:r>
          </w:p>
        </w:tc>
      </w:tr>
      <w:tr>
        <w:trPr>
          <w:cantSplit w:val="true"/>
        </w:trPr>
        <w:tc>
          <w:tcPr>
            <w:tcW w:type="dxa" w:w="25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color w:val="20252B"/>
                <w:sz w:val="18"/>
              </w:rPr>
              <w:t>Prices</w:t>
            </w:r>
          </w:p>
        </w:tc>
        <w:tc>
          <w:tcPr>
            <w:tcW w:type="dxa" w:w="686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val="0"/>
                <w:color w:val="20252B"/>
                <w:sz w:val="18"/>
              </w:rPr>
              <w:t>data/seed/fantasy_prices.json (after round 13)</w:t>
            </w:r>
          </w:p>
        </w:tc>
      </w:tr>
      <w:tr>
        <w:trPr>
          <w:cantSplit w:val="true"/>
        </w:trPr>
        <w:tc>
          <w:tcPr>
            <w:tcW w:type="dxa" w:w="25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color w:val="20252B"/>
                <w:sz w:val="18"/>
              </w:rPr>
              <w:t>Zandvoort</w:t>
            </w:r>
          </w:p>
        </w:tc>
        <w:tc>
          <w:tcPr>
            <w:tcW w:type="dxa" w:w="686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val="0"/>
                <w:color w:val="20252B"/>
                <w:sz w:val="18"/>
              </w:rPr>
              <w:t>web/public/data/predictions_round14_pre_fp.json</w:t>
            </w:r>
          </w:p>
        </w:tc>
      </w:tr>
      <w:tr>
        <w:trPr>
          <w:cantSplit w:val="true"/>
        </w:trPr>
        <w:tc>
          <w:tcPr>
            <w:tcW w:type="dxa" w:w="25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color w:val="20252B"/>
                <w:sz w:val="18"/>
              </w:rPr>
              <w:t>R15-R19 priors</w:t>
            </w:r>
          </w:p>
        </w:tc>
        <w:tc>
          <w:tcPr>
            <w:tcW w:type="dxa" w:w="686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val="0"/>
                <w:color w:val="20252B"/>
                <w:sz w:val="18"/>
              </w:rPr>
              <w:t>web/public/data/horizon_projections.json</w:t>
            </w:r>
          </w:p>
        </w:tc>
      </w:tr>
      <w:tr>
        <w:trPr>
          <w:cantSplit w:val="true"/>
        </w:trPr>
        <w:tc>
          <w:tcPr>
            <w:tcW w:type="dxa" w:w="25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color w:val="20252B"/>
                <w:sz w:val="18"/>
              </w:rPr>
              <w:t>Budget valuation</w:t>
            </w:r>
          </w:p>
        </w:tc>
        <w:tc>
          <w:tcPr>
            <w:tcW w:type="dxa" w:w="686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val="0"/>
                <w:color w:val="20252B"/>
                <w:sz w:val="18"/>
              </w:rPr>
              <w:t>data/experiments/budget_point_value_2026.md</w:t>
            </w:r>
          </w:p>
        </w:tc>
      </w:tr>
      <w:tr>
        <w:trPr>
          <w:cantSplit w:val="true"/>
        </w:trPr>
        <w:tc>
          <w:tcPr>
            <w:tcW w:type="dxa" w:w="25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color w:val="20252B"/>
                <w:sz w:val="18"/>
              </w:rPr>
              <w:t>F1 standings</w:t>
            </w:r>
          </w:p>
        </w:tc>
        <w:tc>
          <w:tcPr>
            <w:tcW w:type="dxa" w:w="686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val="0"/>
                <w:color w:val="20252B"/>
                <w:sz w:val="18"/>
              </w:rPr>
              <w:t>formula1.com/en/results/2026/drivers</w:t>
            </w:r>
          </w:p>
        </w:tc>
      </w:tr>
      <w:tr>
        <w:trPr>
          <w:cantSplit w:val="true"/>
        </w:trPr>
        <w:tc>
          <w:tcPr>
            <w:tcW w:type="dxa" w:w="25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color w:val="20252B"/>
                <w:sz w:val="18"/>
              </w:rPr>
              <w:t>Official 2026 calendar</w:t>
            </w:r>
          </w:p>
        </w:tc>
        <w:tc>
          <w:tcPr>
            <w:tcW w:type="dxa" w:w="686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val="0"/>
                <w:color w:val="20252B"/>
                <w:sz w:val="18"/>
              </w:rPr>
              <w:t>formula1.com/en/racing/2026</w:t>
            </w:r>
          </w:p>
        </w:tc>
      </w:tr>
      <w:tr>
        <w:trPr>
          <w:cantSplit w:val="true"/>
        </w:trPr>
        <w:tc>
          <w:tcPr>
            <w:tcW w:type="dxa" w:w="25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color w:val="20252B"/>
                <w:sz w:val="18"/>
              </w:rPr>
              <w:t>Malaysia confirmation</w:t>
            </w:r>
          </w:p>
        </w:tc>
        <w:tc>
          <w:tcPr>
            <w:tcW w:type="dxa" w:w="686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val="0"/>
                <w:color w:val="20252B"/>
                <w:sz w:val="18"/>
              </w:rPr>
              <w:t>formula1.com - F1/FIA confirmation, 26 July 2026</w:t>
            </w:r>
          </w:p>
        </w:tc>
      </w:tr>
      <w:tr>
        <w:trPr>
          <w:cantSplit w:val="true"/>
        </w:trPr>
        <w:tc>
          <w:tcPr>
            <w:tcW w:type="dxa" w:w="250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color w:val="20252B"/>
                <w:sz w:val="18"/>
              </w:rPr>
              <w:t>Imola contingency</w:t>
            </w:r>
          </w:p>
        </w:tc>
        <w:tc>
          <w:tcPr>
            <w:tcW w:type="dxa" w:w="6860"/>
            <w:tcBorders>
              <w:top w:val="single" w:sz="6" w:space="0" w:color="CAD3DF"/>
              <w:start w:val="single" w:sz="6" w:space="0" w:color="CAD3DF"/>
              <w:bottom w:val="single" w:sz="6" w:space="0" w:color="CAD3DF"/>
              <w:end w:val="single" w:sz="6" w:space="0" w:color="CAD3DF"/>
              <w:insideH w:val="single" w:sz="6" w:space="0" w:color="CAD3DF"/>
              <w:insideV w:val="single" w:sz="6" w:space="0" w:color="CAD3DF"/>
            </w:tcBorders>
            <w:vAlign w:val="center"/>
            <w:tcMar>
              <w:top w:w="80" w:type="dxa"/>
              <w:start w:w="120" w:type="dxa"/>
              <w:bottom w:w="80" w:type="dxa"/>
              <w:end w:w="120" w:type="dxa"/>
            </w:tcMar>
          </w:tcPr>
          <w:p>
            <w:r>
              <w:rPr>
                <w:rFonts w:ascii="Calibri" w:hAnsi="Calibri"/>
                <w:b w:val="0"/>
                <w:color w:val="20252B"/>
                <w:sz w:val="18"/>
              </w:rPr>
              <w:t>Sky Sport / The Race - 25 July 2026 reports</w:t>
            </w:r>
          </w:p>
        </w:tc>
      </w:tr>
    </w:tbl>
    <w:p>
      <w:pPr>
        <w:numPr>
          <w:ilvl w:val="0"/>
          <w:numId w:val="10"/>
        </w:numPr>
        <w:spacing w:before="0" w:after="80" w:line="300" w:lineRule="auto"/>
      </w:pPr>
      <w:r>
        <w:rPr>
          <w:rFonts w:ascii="Calibri" w:hAnsi="Calibri"/>
          <w:b w:val="0"/>
          <w:i w:val="0"/>
          <w:color w:val="20252B"/>
          <w:sz w:val="22"/>
        </w:rPr>
        <w:t>Perfect-hindsight chip numbers select the best legal £100M or uncapped lineup from realised scores. They measure opportunity, not forecast skill.</w:t>
      </w:r>
    </w:p>
    <w:p>
      <w:pPr>
        <w:numPr>
          <w:ilvl w:val="0"/>
          <w:numId w:val="10"/>
        </w:numPr>
        <w:spacing w:before="0" w:after="80" w:line="300" w:lineRule="auto"/>
      </w:pPr>
      <w:r>
        <w:rPr>
          <w:rFonts w:ascii="Calibri" w:hAnsi="Calibri"/>
          <w:b w:val="0"/>
          <w:i w:val="0"/>
          <w:color w:val="20252B"/>
          <w:sz w:val="22"/>
        </w:rPr>
        <w:t>R14-R19 values are model priors, not promises, and the current horizon file does not yet include Sepang.</w:t>
      </w:r>
    </w:p>
    <w:p>
      <w:pPr>
        <w:numPr>
          <w:ilvl w:val="0"/>
          <w:numId w:val="10"/>
        </w:numPr>
        <w:spacing w:before="0" w:after="80" w:line="300" w:lineRule="auto"/>
      </w:pPr>
      <w:r>
        <w:rPr>
          <w:rFonts w:ascii="Calibri" w:hAnsi="Calibri"/>
          <w:b w:val="0"/>
          <w:i w:val="0"/>
          <w:color w:val="20252B"/>
          <w:sz w:val="22"/>
        </w:rPr>
        <w:t>The interview outline's 'first 15 races' should be phrased as 11 completed Grands Prix. The confirmed Malaysia date makes 12 remaining on the official 23-round calendar.</w:t>
      </w:r>
    </w:p>
    <w:p>
      <w:pPr>
        <w:numPr>
          <w:ilvl w:val="0"/>
          <w:numId w:val="10"/>
        </w:numPr>
        <w:spacing w:before="0" w:after="80" w:line="300" w:lineRule="auto"/>
      </w:pPr>
      <w:r>
        <w:rPr>
          <w:rFonts w:ascii="Calibri" w:hAnsi="Calibri"/>
          <w:b w:val="0"/>
          <w:i w:val="0"/>
          <w:color w:val="20252B"/>
          <w:sz w:val="22"/>
        </w:rPr>
        <w:t>Imola is a reported contingency, not a confirmed extra race. Recalculate the budget exchange rate when the final calendar is settled.</w:t>
      </w:r>
    </w:p>
    <w:p>
      <w:pPr>
        <w:numPr>
          <w:ilvl w:val="0"/>
          <w:numId w:val="10"/>
        </w:numPr>
        <w:spacing w:before="0" w:after="80" w:line="300" w:lineRule="auto"/>
      </w:pPr>
      <w:r>
        <w:rPr>
          <w:rFonts w:ascii="Calibri" w:hAnsi="Calibri"/>
          <w:b w:val="0"/>
          <w:i w:val="0"/>
          <w:color w:val="20252B"/>
          <w:sz w:val="22"/>
        </w:rPr>
        <w:t>Personal chip success/failure examples should be used only when they match the manager's actual team history.</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085"/>
        <w:sz w:val="18"/>
      </w:rPr>
      <w:t xml:space="preserve">4 August 2026   |   Page </w:t>
    </w:r>
    <w:r>
      <w:rPr>
        <w:rFonts w:ascii="Calibri" w:hAnsi="Calibri"/>
        <w:color w:val="667085"/>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085"/>
        <w:sz w:val="18"/>
      </w:rPr>
      <w:t xml:space="preserve">4 August 2026   |   Page </w:t>
    </w:r>
    <w:r>
      <w:rPr>
        <w:rFonts w:ascii="Calibri" w:hAnsi="Calibri"/>
        <w:color w:val="667085"/>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085"/>
        <w:sz w:val="18"/>
      </w:rPr>
      <w:t xml:space="preserve">4 August 2026   |   Page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FFHub Interview Prep - BoxBox F1 Fantasy</dc:title>
  <dc:subject>2026 F1 Fantasy guest interview preparation</dc:subject>
  <dc:creator>BoxBox F1 Fantasy</dc:creator>
  <cp:keywords>F1 Fantasy, interview, 2026, BoxBox</cp:keywords>
  <dc:description>generated by python-docx</dc:description>
  <cp:lastModifiedBy/>
  <cp:revision>1</cp:revision>
  <dcterms:created xsi:type="dcterms:W3CDTF">2013-12-23T23:15:00Z</dcterms:created>
  <dcterms:modified xsi:type="dcterms:W3CDTF">2013-12-23T23:15:00Z</dcterms:modified>
  <cp:category/>
</cp:coreProperties>
</file>