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Light" w:cs="Calibri Light" w:eastAsia="Calibri Light" w:hAnsi="Calibri Light"/>
          <w:color w:val="582873"/>
          <w:sz w:val="52"/>
          <w:szCs w:val="52"/>
        </w:rPr>
        <w:t xml:space="preserve">Key Decision Document (KDD)</w:t>
      </w:r>
    </w:p>
    <w:p>
      <w:pPr>
        <w:spacing w:after="60"/>
      </w:pPr>
      <w:r>
        <w:rPr>
          <w:rFonts w:ascii="Calibri Light" w:cs="Calibri Light" w:eastAsia="Calibri Light" w:hAnsi="Calibri Light"/>
          <w:color w:val="404040"/>
          <w:sz w:val="32"/>
          <w:szCs w:val="32"/>
        </w:rPr>
        <w:t xml:space="preserve">Enterprise Platform Backup Solution</w:t>
      </w:r>
    </w:p>
    <w:p>
      <w:pPr>
        <w:pBdr>
          <w:bottom w:val="single" w:color="582873" w:sz="12" w:space="6"/>
        </w:pBdr>
        <w:spacing w:after="360"/>
      </w:pPr>
      <w:r>
        <w:rPr>
          <w:color w:val="595959"/>
          <w:sz w:val="24"/>
          <w:szCs w:val="24"/>
        </w:rPr>
        <w:t xml:space="preserve">Option evaluation: Commvault, Rubrik and Azure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Document status</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Draft for review (v0.2). Proposed decision pending approval.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Decision owner</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Head of Infrastructure / Resilience Workstream Lead</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Decision required</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Select the target enterprise backup platform strategy (Option A, B or C)</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Cost basis</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Rough Order of Magnitude (ROM), 5-year view in CAD; indicative, not vendor quotes</w:t>
            </w:r>
          </w:p>
        </w:tc>
      </w:tr>
    </w:tbl>
    <w:p>
      <w:pPr>
        <w:pStyle w:val="Heading2"/>
      </w:pPr>
      <w:bookmarkStart w:id="900" w:name="_Toc1000"/>
      <w:r>
        <w:t xml:space="preserve">Approvers</w:t>
      </w:r>
      <w:bookmarkEnd w:id="90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1200"/>
        <w:gridCol w:w="1660"/>
        <w:gridCol w:w="1000"/>
        <w:gridCol w:w="1600"/>
      </w:tblGrid>
      <w:tr>
        <w:trPr>
          <w:cantSplit/>
          <w:tblHeader/>
        </w:trPr>
        <w:tc>
          <w:tcPr>
            <w:tcW w:type="dxa" w:w="1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Name</w:t>
            </w:r>
          </w:p>
        </w:tc>
        <w:tc>
          <w:tcPr>
            <w:tcW w:type="dxa" w:w="29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12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Organisation</w:t>
            </w:r>
          </w:p>
        </w:tc>
        <w:tc>
          <w:tcPr>
            <w:tcW w:type="dxa" w:w="16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Decision (Approve / Reject / Defer)</w:t>
            </w:r>
          </w:p>
        </w:tc>
        <w:tc>
          <w:tcPr>
            <w:tcW w:type="dxa" w:w="1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Date</w:t>
            </w:r>
          </w:p>
        </w:tc>
        <w:tc>
          <w:tcPr>
            <w:tcW w:type="dxa" w:w="16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Signature</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[Name]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Head of Infrastructure / Resilience Workstream Lead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[Org]</w:t>
            </w:r>
          </w:p>
        </w:tc>
        <w:tc>
          <w:tcPr>
            <w:tcW w:type="dxa" w:w="1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[Name]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Chief Information Security Officer (or delegate)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[Org]</w:t>
            </w:r>
          </w:p>
        </w:tc>
        <w:tc>
          <w:tcPr>
            <w:tcW w:type="dxa" w:w="1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[Name]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Enterprise Architecture Lead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[Org]</w:t>
            </w:r>
          </w:p>
        </w:tc>
        <w:tc>
          <w:tcPr>
            <w:tcW w:type="dxa" w:w="1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[Name]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Business Continuity / Service Owner (RPO/RTO sign-off)</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[Org]</w:t>
            </w:r>
          </w:p>
        </w:tc>
        <w:tc>
          <w:tcPr>
            <w:tcW w:type="dxa" w:w="1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[Name]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Finance / Procurement Lead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[Org]</w:t>
            </w:r>
          </w:p>
        </w:tc>
        <w:tc>
          <w:tcPr>
            <w:tcW w:type="dxa" w:w="1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bl>
    <w:p>
      <w:pPr>
        <w:pStyle w:val="Heading2"/>
      </w:pPr>
      <w:bookmarkStart w:id="901" w:name="_Toc1001"/>
      <w:r>
        <w:t xml:space="preserve">Reviewers</w:t>
      </w:r>
      <w:bookmarkEnd w:id="90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960"/>
        <w:gridCol w:w="1200"/>
        <w:gridCol w:w="1700"/>
      </w:tblGrid>
      <w:tr>
        <w:trPr>
          <w:cantSplit/>
          <w:tblHeader/>
        </w:trPr>
        <w:tc>
          <w:tcPr>
            <w:tcW w:type="dxa" w:w="1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Name</w:t>
            </w:r>
          </w:p>
        </w:tc>
        <w:tc>
          <w:tcPr>
            <w:tcW w:type="dxa" w:w="25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29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Area of review</w:t>
            </w:r>
          </w:p>
        </w:tc>
        <w:tc>
          <w:tcPr>
            <w:tcW w:type="dxa" w:w="12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Date reviewed</w:t>
            </w:r>
          </w:p>
        </w:tc>
        <w:tc>
          <w:tcPr>
            <w:tcW w:type="dxa" w:w="17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Comments</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[Name]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Backup and Storage Lead</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HyperScale X / MediaAgent estate, replication, cloud copy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[Name]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Data Centre / Compute Lead (VMware, Cisco UCS)</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On-premises protection, bare-metal recovery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[Name]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Network Lead</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ExpressRoute, inter-site links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[Name]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Cloud Platform Lead (Azure / AWS / GCP)</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Cloud workloads, resource and configuration recovery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[Name]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Database Lead (Oracle / SQL)</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RPO/RTO, database recovery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[Name]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DevOps Platform Lead</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Azure DevOps / GitHub protection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[Name]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IAM / Privileged Access Lead</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Access layer, PAM</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[Name]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Privacy and Compliance</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Canadian data residency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bl>
    <w:p>
      <w:pPr>
        <w:pStyle w:val="Heading2"/>
      </w:pPr>
      <w:bookmarkStart w:id="902" w:name="_Toc1002"/>
      <w:r>
        <w:t xml:space="preserve">Revision</w:t>
      </w:r>
      <w:bookmarkEnd w:id="9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500"/>
        <w:gridCol w:w="5560"/>
      </w:tblGrid>
      <w:tr>
        <w:trPr>
          <w:cantSplit/>
          <w:tblHeader/>
        </w:trPr>
        <w:tc>
          <w:tcPr>
            <w:tcW w:type="dxa" w:w="1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Version</w:t>
            </w:r>
          </w:p>
        </w:tc>
        <w:tc>
          <w:tcPr>
            <w:tcW w:type="dxa" w:w="13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Date</w:t>
            </w:r>
          </w:p>
        </w:tc>
        <w:tc>
          <w:tcPr>
            <w:tcW w:type="dxa" w:w="15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Author</w:t>
            </w:r>
          </w:p>
        </w:tc>
        <w:tc>
          <w:tcPr>
            <w:tcW w:type="dxa" w:w="55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Description of change</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20 Oct 2026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Initial draft</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20 Oct 2026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Restructured to KDD outline; cost comparison restated as ROM ranges with assumptions and cost drivers; Azure Backup added to cloud-workload cost view; content consolidated</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Approved baseline</w:t>
            </w:r>
          </w:p>
        </w:tc>
      </w:tr>
    </w:tbl>
    <w:p>
      <w:r>
        <w:br w:type="page"/>
      </w:r>
    </w:p>
    <w:p>
      <w:pPr>
        <w:spacing w:after="200"/>
      </w:pPr>
      <w:r>
        <w:rPr>
          <w:rFonts w:ascii="Calibri Light" w:cs="Calibri Light" w:eastAsia="Calibri Light" w:hAnsi="Calibri Light"/>
          <w:color w:val="582873"/>
          <w:sz w:val="32"/>
          <w:szCs w:val="32"/>
        </w:rPr>
        <w:t xml:space="preserve">Table of Contents</w:t>
      </w:r>
    </w:p>
    <w:sdt>
      <w:sdtPr>
        <w:alias w:val="Table of Contents"/>
      </w:sdtPr>
      <w:sdtContent>
        <w:p>
          <w:r>
            <w:fldChar w:fldCharType="begin"/>
            <w:instrText xml:space="preserve">TOC \h \o "1-3"</w:instrText>
            <w:fldChar w:fldCharType="separate"/>
          </w:r>
        </w:p>
        <w:p>
          <w:pPr>
            <w:tabs>
              <w:tab w:val="right" w:leader="dot" w:pos="9350"/>
            </w:tabs>
            <w:spacing w:after="30"/>
            <w:ind w:left="240"/>
          </w:pPr>
          <w:hyperlink w:anchor="_Toc1000" w:history="1">
            <w:r>
              <w:rPr>
                <w:sz w:val="20"/>
              </w:rPr>
              <w:t xml:space="preserve">Approvers</w:t>
            </w:r>
            <w:r>
              <w:rPr>
                <w:sz w:val="20"/>
              </w:rPr>
              <w:tab/>
            </w:r>
            <w:r>
              <w:rPr>
                <w:sz w:val="20"/>
              </w:rPr>
              <w:fldChar w:fldCharType="begin"/>
            </w:r>
            <w:r>
              <w:rPr>
                <w:sz w:val="20"/>
              </w:rPr>
              <w:instrText xml:space="preserve"> PAGEREF _Toc1000 \h </w:instrText>
            </w:r>
            <w:r>
              <w:rPr>
                <w:sz w:val="20"/>
              </w:rPr>
              <w:fldChar w:fldCharType="separate"/>
            </w:r>
            <w:r>
              <w:rPr>
                <w:sz w:val="20"/>
              </w:rPr>
              <w:t>1</w:t>
            </w:r>
            <w:r>
              <w:rPr>
                <w:sz w:val="20"/>
              </w:rPr>
              <w:fldChar w:fldCharType="end"/>
            </w:r>
          </w:hyperlink>
        </w:p>
        <w:p>
          <w:pPr>
            <w:tabs>
              <w:tab w:val="right" w:leader="dot" w:pos="9350"/>
            </w:tabs>
            <w:spacing w:after="30"/>
            <w:ind w:left="240"/>
          </w:pPr>
          <w:hyperlink w:anchor="_Toc1001" w:history="1">
            <w:r>
              <w:rPr>
                <w:sz w:val="20"/>
              </w:rPr>
              <w:t xml:space="preserve">Reviewers</w:t>
            </w:r>
            <w:r>
              <w:rPr>
                <w:sz w:val="20"/>
              </w:rPr>
              <w:tab/>
            </w:r>
            <w:r>
              <w:rPr>
                <w:sz w:val="20"/>
              </w:rPr>
              <w:fldChar w:fldCharType="begin"/>
            </w:r>
            <w:r>
              <w:rPr>
                <w:sz w:val="20"/>
              </w:rPr>
              <w:instrText xml:space="preserve"> PAGEREF _Toc1001 \h </w:instrText>
            </w:r>
            <w:r>
              <w:rPr>
                <w:sz w:val="20"/>
              </w:rPr>
              <w:fldChar w:fldCharType="separate"/>
            </w:r>
            <w:r>
              <w:rPr>
                <w:sz w:val="20"/>
              </w:rPr>
              <w:t>1</w:t>
            </w:r>
            <w:r>
              <w:rPr>
                <w:sz w:val="20"/>
              </w:rPr>
              <w:fldChar w:fldCharType="end"/>
            </w:r>
          </w:hyperlink>
        </w:p>
        <w:p>
          <w:pPr>
            <w:tabs>
              <w:tab w:val="right" w:leader="dot" w:pos="9350"/>
            </w:tabs>
            <w:spacing w:after="30"/>
            <w:ind w:left="240"/>
          </w:pPr>
          <w:hyperlink w:anchor="_Toc1002" w:history="1">
            <w:r>
              <w:rPr>
                <w:sz w:val="20"/>
              </w:rPr>
              <w:t xml:space="preserve">Revision</w:t>
            </w:r>
            <w:r>
              <w:rPr>
                <w:sz w:val="20"/>
              </w:rPr>
              <w:tab/>
            </w:r>
            <w:r>
              <w:rPr>
                <w:sz w:val="20"/>
              </w:rPr>
              <w:fldChar w:fldCharType="begin"/>
            </w:r>
            <w:r>
              <w:rPr>
                <w:sz w:val="20"/>
              </w:rPr>
              <w:instrText xml:space="preserve"> PAGEREF _Toc1002 \h </w:instrText>
            </w:r>
            <w:r>
              <w:rPr>
                <w:sz w:val="20"/>
              </w:rPr>
              <w:fldChar w:fldCharType="separate"/>
            </w:r>
            <w:r>
              <w:rPr>
                <w:sz w:val="20"/>
              </w:rPr>
              <w:t>2</w:t>
            </w:r>
            <w:r>
              <w:rPr>
                <w:sz w:val="20"/>
              </w:rPr>
              <w:fldChar w:fldCharType="end"/>
            </w:r>
          </w:hyperlink>
        </w:p>
        <w:p>
          <w:pPr>
            <w:tabs>
              <w:tab w:val="right" w:leader="dot" w:pos="9350"/>
            </w:tabs>
            <w:spacing w:before="120" w:after="40"/>
            <w:ind w:left="0"/>
          </w:pPr>
          <w:hyperlink w:anchor="_Toc1003" w:history="1">
            <w:r>
              <w:rPr>
                <w:b/>
                <w:sz w:val="20"/>
              </w:rPr>
              <w:t xml:space="preserve">1   Decision Details</w:t>
            </w:r>
            <w:r>
              <w:rPr>
                <w:b/>
                <w:sz w:val="20"/>
              </w:rPr>
              <w:tab/>
            </w:r>
            <w:r>
              <w:rPr>
                <w:b/>
                <w:sz w:val="20"/>
              </w:rPr>
              <w:fldChar w:fldCharType="begin"/>
            </w:r>
            <w:r>
              <w:rPr>
                <w:b/>
                <w:sz w:val="20"/>
              </w:rPr>
              <w:instrText xml:space="preserve"> PAGEREF _Toc1003 \h </w:instrText>
            </w:r>
            <w:r>
              <w:rPr>
                <w:b/>
                <w:sz w:val="20"/>
              </w:rPr>
              <w:fldChar w:fldCharType="separate"/>
            </w:r>
            <w:r>
              <w:rPr>
                <w:b/>
                <w:sz w:val="20"/>
              </w:rPr>
              <w:t>4</w:t>
            </w:r>
            <w:r>
              <w:rPr>
                <w:b/>
                <w:sz w:val="20"/>
              </w:rPr>
              <w:fldChar w:fldCharType="end"/>
            </w:r>
          </w:hyperlink>
        </w:p>
        <w:p>
          <w:pPr>
            <w:tabs>
              <w:tab w:val="right" w:leader="dot" w:pos="9350"/>
            </w:tabs>
            <w:spacing w:after="30"/>
            <w:ind w:left="240"/>
          </w:pPr>
          <w:hyperlink w:anchor="_Toc1004" w:history="1">
            <w:r>
              <w:rPr>
                <w:sz w:val="20"/>
              </w:rPr>
              <w:t xml:space="preserve">1.1   Context and Purpose</w:t>
            </w:r>
            <w:r>
              <w:rPr>
                <w:sz w:val="20"/>
              </w:rPr>
              <w:tab/>
            </w:r>
            <w:r>
              <w:rPr>
                <w:sz w:val="20"/>
              </w:rPr>
              <w:fldChar w:fldCharType="begin"/>
            </w:r>
            <w:r>
              <w:rPr>
                <w:sz w:val="20"/>
              </w:rPr>
              <w:instrText xml:space="preserve"> PAGEREF _Toc1004 \h </w:instrText>
            </w:r>
            <w:r>
              <w:rPr>
                <w:sz w:val="20"/>
              </w:rPr>
              <w:fldChar w:fldCharType="separate"/>
            </w:r>
            <w:r>
              <w:rPr>
                <w:sz w:val="20"/>
              </w:rPr>
              <w:t>4</w:t>
            </w:r>
            <w:r>
              <w:rPr>
                <w:sz w:val="20"/>
              </w:rPr>
              <w:fldChar w:fldCharType="end"/>
            </w:r>
          </w:hyperlink>
        </w:p>
        <w:p>
          <w:pPr>
            <w:tabs>
              <w:tab w:val="right" w:leader="dot" w:pos="9350"/>
            </w:tabs>
            <w:spacing w:after="30"/>
            <w:ind w:left="240"/>
          </w:pPr>
          <w:hyperlink w:anchor="_Toc1005" w:history="1">
            <w:r>
              <w:rPr>
                <w:sz w:val="20"/>
              </w:rPr>
              <w:t xml:space="preserve">1.2   Assumptions</w:t>
            </w:r>
            <w:r>
              <w:rPr>
                <w:sz w:val="20"/>
              </w:rPr>
              <w:tab/>
            </w:r>
            <w:r>
              <w:rPr>
                <w:sz w:val="20"/>
              </w:rPr>
              <w:fldChar w:fldCharType="begin"/>
            </w:r>
            <w:r>
              <w:rPr>
                <w:sz w:val="20"/>
              </w:rPr>
              <w:instrText xml:space="preserve"> PAGEREF _Toc1005 \h </w:instrText>
            </w:r>
            <w:r>
              <w:rPr>
                <w:sz w:val="20"/>
              </w:rPr>
              <w:fldChar w:fldCharType="separate"/>
            </w:r>
            <w:r>
              <w:rPr>
                <w:sz w:val="20"/>
              </w:rPr>
              <w:t>5</w:t>
            </w:r>
            <w:r>
              <w:rPr>
                <w:sz w:val="20"/>
              </w:rPr>
              <w:fldChar w:fldCharType="end"/>
            </w:r>
          </w:hyperlink>
        </w:p>
        <w:p>
          <w:pPr>
            <w:tabs>
              <w:tab w:val="right" w:leader="dot" w:pos="9350"/>
            </w:tabs>
            <w:spacing w:after="30"/>
            <w:ind w:left="240"/>
          </w:pPr>
          <w:hyperlink w:anchor="_Toc1006" w:history="1">
            <w:r>
              <w:rPr>
                <w:sz w:val="20"/>
              </w:rPr>
              <w:t xml:space="preserve">1.3   Use Cases In Scope</w:t>
            </w:r>
            <w:r>
              <w:rPr>
                <w:sz w:val="20"/>
              </w:rPr>
              <w:tab/>
            </w:r>
            <w:r>
              <w:rPr>
                <w:sz w:val="20"/>
              </w:rPr>
              <w:fldChar w:fldCharType="begin"/>
            </w:r>
            <w:r>
              <w:rPr>
                <w:sz w:val="20"/>
              </w:rPr>
              <w:instrText xml:space="preserve"> PAGEREF _Toc1006 \h </w:instrText>
            </w:r>
            <w:r>
              <w:rPr>
                <w:sz w:val="20"/>
              </w:rPr>
              <w:fldChar w:fldCharType="separate"/>
            </w:r>
            <w:r>
              <w:rPr>
                <w:sz w:val="20"/>
              </w:rPr>
              <w:t>5</w:t>
            </w:r>
            <w:r>
              <w:rPr>
                <w:sz w:val="20"/>
              </w:rPr>
              <w:fldChar w:fldCharType="end"/>
            </w:r>
          </w:hyperlink>
        </w:p>
        <w:p>
          <w:pPr>
            <w:tabs>
              <w:tab w:val="right" w:leader="dot" w:pos="9350"/>
            </w:tabs>
            <w:spacing w:after="30"/>
            <w:ind w:left="240"/>
          </w:pPr>
          <w:hyperlink w:anchor="_Toc1007" w:history="1">
            <w:r>
              <w:rPr>
                <w:sz w:val="20"/>
              </w:rPr>
              <w:t xml:space="preserve">1.4   Privileged Access as the Access Layer</w:t>
            </w:r>
            <w:r>
              <w:rPr>
                <w:sz w:val="20"/>
              </w:rPr>
              <w:tab/>
            </w:r>
            <w:r>
              <w:rPr>
                <w:sz w:val="20"/>
              </w:rPr>
              <w:fldChar w:fldCharType="begin"/>
            </w:r>
            <w:r>
              <w:rPr>
                <w:sz w:val="20"/>
              </w:rPr>
              <w:instrText xml:space="preserve"> PAGEREF _Toc1007 \h </w:instrText>
            </w:r>
            <w:r>
              <w:rPr>
                <w:sz w:val="20"/>
              </w:rPr>
              <w:fldChar w:fldCharType="separate"/>
            </w:r>
            <w:r>
              <w:rPr>
                <w:sz w:val="20"/>
              </w:rPr>
              <w:t>7</w:t>
            </w:r>
            <w:r>
              <w:rPr>
                <w:sz w:val="20"/>
              </w:rPr>
              <w:fldChar w:fldCharType="end"/>
            </w:r>
          </w:hyperlink>
        </w:p>
        <w:p>
          <w:pPr>
            <w:tabs>
              <w:tab w:val="right" w:leader="dot" w:pos="9350"/>
            </w:tabs>
            <w:spacing w:before="120" w:after="40"/>
            <w:ind w:left="0"/>
          </w:pPr>
          <w:hyperlink w:anchor="_Toc1008" w:history="1">
            <w:r>
              <w:rPr>
                <w:b/>
                <w:sz w:val="20"/>
              </w:rPr>
              <w:t xml:space="preserve">2   Decision Criteria</w:t>
            </w:r>
            <w:r>
              <w:rPr>
                <w:b/>
                <w:sz w:val="20"/>
              </w:rPr>
              <w:tab/>
            </w:r>
            <w:r>
              <w:rPr>
                <w:b/>
                <w:sz w:val="20"/>
              </w:rPr>
              <w:fldChar w:fldCharType="begin"/>
            </w:r>
            <w:r>
              <w:rPr>
                <w:b/>
                <w:sz w:val="20"/>
              </w:rPr>
              <w:instrText xml:space="preserve"> PAGEREF _Toc1008 \h </w:instrText>
            </w:r>
            <w:r>
              <w:rPr>
                <w:b/>
                <w:sz w:val="20"/>
              </w:rPr>
              <w:fldChar w:fldCharType="separate"/>
            </w:r>
            <w:r>
              <w:rPr>
                <w:b/>
                <w:sz w:val="20"/>
              </w:rPr>
              <w:t>8</w:t>
            </w:r>
            <w:r>
              <w:rPr>
                <w:b/>
                <w:sz w:val="20"/>
              </w:rPr>
              <w:fldChar w:fldCharType="end"/>
            </w:r>
          </w:hyperlink>
        </w:p>
        <w:p>
          <w:pPr>
            <w:tabs>
              <w:tab w:val="right" w:leader="dot" w:pos="9350"/>
            </w:tabs>
            <w:spacing w:after="30"/>
            <w:ind w:left="240"/>
          </w:pPr>
          <w:hyperlink w:anchor="_Toc1009" w:history="1">
            <w:r>
              <w:rPr>
                <w:sz w:val="20"/>
              </w:rPr>
              <w:t xml:space="preserve">2.1   Alternatives to the Decision</w:t>
            </w:r>
            <w:r>
              <w:rPr>
                <w:sz w:val="20"/>
              </w:rPr>
              <w:tab/>
            </w:r>
            <w:r>
              <w:rPr>
                <w:sz w:val="20"/>
              </w:rPr>
              <w:fldChar w:fldCharType="begin"/>
            </w:r>
            <w:r>
              <w:rPr>
                <w:sz w:val="20"/>
              </w:rPr>
              <w:instrText xml:space="preserve"> PAGEREF _Toc1009 \h </w:instrText>
            </w:r>
            <w:r>
              <w:rPr>
                <w:sz w:val="20"/>
              </w:rPr>
              <w:fldChar w:fldCharType="separate"/>
            </w:r>
            <w:r>
              <w:rPr>
                <w:sz w:val="20"/>
              </w:rPr>
              <w:t>8</w:t>
            </w:r>
            <w:r>
              <w:rPr>
                <w:sz w:val="20"/>
              </w:rPr>
              <w:fldChar w:fldCharType="end"/>
            </w:r>
          </w:hyperlink>
        </w:p>
        <w:p>
          <w:pPr>
            <w:tabs>
              <w:tab w:val="right" w:leader="dot" w:pos="9350"/>
            </w:tabs>
            <w:spacing w:after="30"/>
            <w:ind w:left="480"/>
          </w:pPr>
          <w:hyperlink w:anchor="_Toc1010" w:history="1">
            <w:r>
              <w:rPr>
                <w:sz w:val="20"/>
              </w:rPr>
              <w:t xml:space="preserve">2.1.1   Option A: Commvault On-Premises + Commvault for Multi-Cloud Workloads</w:t>
            </w:r>
            <w:r>
              <w:rPr>
                <w:sz w:val="20"/>
              </w:rPr>
              <w:tab/>
            </w:r>
            <w:r>
              <w:rPr>
                <w:sz w:val="20"/>
              </w:rPr>
              <w:fldChar w:fldCharType="begin"/>
            </w:r>
            <w:r>
              <w:rPr>
                <w:sz w:val="20"/>
              </w:rPr>
              <w:instrText xml:space="preserve"> PAGEREF _Toc1010 \h </w:instrText>
            </w:r>
            <w:r>
              <w:rPr>
                <w:sz w:val="20"/>
              </w:rPr>
              <w:fldChar w:fldCharType="separate"/>
            </w:r>
            <w:r>
              <w:rPr>
                <w:sz w:val="20"/>
              </w:rPr>
              <w:t>9</w:t>
            </w:r>
            <w:r>
              <w:rPr>
                <w:sz w:val="20"/>
              </w:rPr>
              <w:fldChar w:fldCharType="end"/>
            </w:r>
          </w:hyperlink>
        </w:p>
        <w:p>
          <w:pPr>
            <w:tabs>
              <w:tab w:val="right" w:leader="dot" w:pos="9350"/>
            </w:tabs>
            <w:spacing w:after="30"/>
            <w:ind w:left="480"/>
          </w:pPr>
          <w:hyperlink w:anchor="_Toc1011" w:history="1">
            <w:r>
              <w:rPr>
                <w:sz w:val="20"/>
              </w:rPr>
              <w:t xml:space="preserve">2.1.2   Option B: Commvault On-Premises + Rubrik for Multi-Cloud Workloads</w:t>
            </w:r>
            <w:r>
              <w:rPr>
                <w:sz w:val="20"/>
              </w:rPr>
              <w:tab/>
            </w:r>
            <w:r>
              <w:rPr>
                <w:sz w:val="20"/>
              </w:rPr>
              <w:fldChar w:fldCharType="begin"/>
            </w:r>
            <w:r>
              <w:rPr>
                <w:sz w:val="20"/>
              </w:rPr>
              <w:instrText xml:space="preserve"> PAGEREF _Toc1011 \h </w:instrText>
            </w:r>
            <w:r>
              <w:rPr>
                <w:sz w:val="20"/>
              </w:rPr>
              <w:fldChar w:fldCharType="separate"/>
            </w:r>
            <w:r>
              <w:rPr>
                <w:sz w:val="20"/>
              </w:rPr>
              <w:t>9</w:t>
            </w:r>
            <w:r>
              <w:rPr>
                <w:sz w:val="20"/>
              </w:rPr>
              <w:fldChar w:fldCharType="end"/>
            </w:r>
          </w:hyperlink>
        </w:p>
        <w:p>
          <w:pPr>
            <w:tabs>
              <w:tab w:val="right" w:leader="dot" w:pos="9350"/>
            </w:tabs>
            <w:spacing w:after="30"/>
            <w:ind w:left="480"/>
          </w:pPr>
          <w:hyperlink w:anchor="_Toc1012" w:history="1">
            <w:r>
              <w:rPr>
                <w:sz w:val="20"/>
              </w:rPr>
              <w:t xml:space="preserve">2.1.3   Option C: Rubrik On-Premises + Multi-Cloud Workloads (Replace Commvault)</w:t>
            </w:r>
            <w:r>
              <w:rPr>
                <w:sz w:val="20"/>
              </w:rPr>
              <w:tab/>
            </w:r>
            <w:r>
              <w:rPr>
                <w:sz w:val="20"/>
              </w:rPr>
              <w:fldChar w:fldCharType="begin"/>
            </w:r>
            <w:r>
              <w:rPr>
                <w:sz w:val="20"/>
              </w:rPr>
              <w:instrText xml:space="preserve"> PAGEREF _Toc1012 \h </w:instrText>
            </w:r>
            <w:r>
              <w:rPr>
                <w:sz w:val="20"/>
              </w:rPr>
              <w:fldChar w:fldCharType="separate"/>
            </w:r>
            <w:r>
              <w:rPr>
                <w:sz w:val="20"/>
              </w:rPr>
              <w:t>9</w:t>
            </w:r>
            <w:r>
              <w:rPr>
                <w:sz w:val="20"/>
              </w:rPr>
              <w:fldChar w:fldCharType="end"/>
            </w:r>
          </w:hyperlink>
        </w:p>
        <w:p>
          <w:pPr>
            <w:tabs>
              <w:tab w:val="right" w:leader="dot" w:pos="9350"/>
            </w:tabs>
            <w:spacing w:after="30"/>
            <w:ind w:left="480"/>
          </w:pPr>
          <w:hyperlink w:anchor="_Toc1013" w:history="1">
            <w:r>
              <w:rPr>
                <w:sz w:val="20"/>
              </w:rPr>
              <w:t xml:space="preserve">2.1.4   Summary Comparison</w:t>
            </w:r>
            <w:r>
              <w:rPr>
                <w:sz w:val="20"/>
              </w:rPr>
              <w:tab/>
            </w:r>
            <w:r>
              <w:rPr>
                <w:sz w:val="20"/>
              </w:rPr>
              <w:fldChar w:fldCharType="begin"/>
            </w:r>
            <w:r>
              <w:rPr>
                <w:sz w:val="20"/>
              </w:rPr>
              <w:instrText xml:space="preserve"> PAGEREF _Toc1013 \h </w:instrText>
            </w:r>
            <w:r>
              <w:rPr>
                <w:sz w:val="20"/>
              </w:rPr>
              <w:fldChar w:fldCharType="separate"/>
            </w:r>
            <w:r>
              <w:rPr>
                <w:sz w:val="20"/>
              </w:rPr>
              <w:t>10</w:t>
            </w:r>
            <w:r>
              <w:rPr>
                <w:sz w:val="20"/>
              </w:rPr>
              <w:fldChar w:fldCharType="end"/>
            </w:r>
          </w:hyperlink>
        </w:p>
        <w:p>
          <w:pPr>
            <w:tabs>
              <w:tab w:val="right" w:leader="dot" w:pos="9350"/>
            </w:tabs>
            <w:spacing w:after="30"/>
            <w:ind w:left="240"/>
          </w:pPr>
          <w:hyperlink w:anchor="_Toc1014" w:history="1">
            <w:r>
              <w:rPr>
                <w:sz w:val="20"/>
              </w:rPr>
              <w:t xml:space="preserve">2.2   Management Comparison: Commvault, Rubrik and Azure Backup</w:t>
            </w:r>
            <w:r>
              <w:rPr>
                <w:sz w:val="20"/>
              </w:rPr>
              <w:tab/>
            </w:r>
            <w:r>
              <w:rPr>
                <w:sz w:val="20"/>
              </w:rPr>
              <w:fldChar w:fldCharType="begin"/>
            </w:r>
            <w:r>
              <w:rPr>
                <w:sz w:val="20"/>
              </w:rPr>
              <w:instrText xml:space="preserve"> PAGEREF _Toc1014 \h </w:instrText>
            </w:r>
            <w:r>
              <w:rPr>
                <w:sz w:val="20"/>
              </w:rPr>
              <w:fldChar w:fldCharType="separate"/>
            </w:r>
            <w:r>
              <w:rPr>
                <w:sz w:val="20"/>
              </w:rPr>
              <w:t>10</w:t>
            </w:r>
            <w:r>
              <w:rPr>
                <w:sz w:val="20"/>
              </w:rPr>
              <w:fldChar w:fldCharType="end"/>
            </w:r>
          </w:hyperlink>
        </w:p>
        <w:p>
          <w:pPr>
            <w:tabs>
              <w:tab w:val="right" w:leader="dot" w:pos="9350"/>
            </w:tabs>
            <w:spacing w:after="30"/>
            <w:ind w:left="480"/>
          </w:pPr>
          <w:hyperlink w:anchor="_Toc1015" w:history="1">
            <w:r>
              <w:rPr>
                <w:sz w:val="20"/>
              </w:rPr>
              <w:t xml:space="preserve">2.2.1   Features and Limitations</w:t>
            </w:r>
            <w:r>
              <w:rPr>
                <w:sz w:val="20"/>
              </w:rPr>
              <w:tab/>
            </w:r>
            <w:r>
              <w:rPr>
                <w:sz w:val="20"/>
              </w:rPr>
              <w:fldChar w:fldCharType="begin"/>
            </w:r>
            <w:r>
              <w:rPr>
                <w:sz w:val="20"/>
              </w:rPr>
              <w:instrText xml:space="preserve"> PAGEREF _Toc1015 \h </w:instrText>
            </w:r>
            <w:r>
              <w:rPr>
                <w:sz w:val="20"/>
              </w:rPr>
              <w:fldChar w:fldCharType="separate"/>
            </w:r>
            <w:r>
              <w:rPr>
                <w:sz w:val="20"/>
              </w:rPr>
              <w:t>10</w:t>
            </w:r>
            <w:r>
              <w:rPr>
                <w:sz w:val="20"/>
              </w:rPr>
              <w:fldChar w:fldCharType="end"/>
            </w:r>
          </w:hyperlink>
        </w:p>
        <w:p>
          <w:pPr>
            <w:tabs>
              <w:tab w:val="right" w:leader="dot" w:pos="9350"/>
            </w:tabs>
            <w:spacing w:after="30"/>
            <w:ind w:left="480"/>
          </w:pPr>
          <w:hyperlink w:anchor="_Toc1016" w:history="1">
            <w:r>
              <w:rPr>
                <w:sz w:val="20"/>
              </w:rPr>
              <w:t xml:space="preserve">2.2.2   Commvault as the Common Management Plane</w:t>
            </w:r>
            <w:r>
              <w:rPr>
                <w:sz w:val="20"/>
              </w:rPr>
              <w:tab/>
            </w:r>
            <w:r>
              <w:rPr>
                <w:sz w:val="20"/>
              </w:rPr>
              <w:fldChar w:fldCharType="begin"/>
            </w:r>
            <w:r>
              <w:rPr>
                <w:sz w:val="20"/>
              </w:rPr>
              <w:instrText xml:space="preserve"> PAGEREF _Toc1016 \h </w:instrText>
            </w:r>
            <w:r>
              <w:rPr>
                <w:sz w:val="20"/>
              </w:rPr>
              <w:fldChar w:fldCharType="separate"/>
            </w:r>
            <w:r>
              <w:rPr>
                <w:sz w:val="20"/>
              </w:rPr>
              <w:t>11</w:t>
            </w:r>
            <w:r>
              <w:rPr>
                <w:sz w:val="20"/>
              </w:rPr>
              <w:fldChar w:fldCharType="end"/>
            </w:r>
          </w:hyperlink>
        </w:p>
        <w:p>
          <w:pPr>
            <w:tabs>
              <w:tab w:val="right" w:leader="dot" w:pos="9350"/>
            </w:tabs>
            <w:spacing w:after="30"/>
            <w:ind w:left="480"/>
          </w:pPr>
          <w:hyperlink w:anchor="_Toc1017" w:history="1">
            <w:r>
              <w:rPr>
                <w:sz w:val="20"/>
              </w:rPr>
              <w:t xml:space="preserve">2.2.3   Day 2 Operations, Side by Side</w:t>
            </w:r>
            <w:r>
              <w:rPr>
                <w:sz w:val="20"/>
              </w:rPr>
              <w:tab/>
            </w:r>
            <w:r>
              <w:rPr>
                <w:sz w:val="20"/>
              </w:rPr>
              <w:fldChar w:fldCharType="begin"/>
            </w:r>
            <w:r>
              <w:rPr>
                <w:sz w:val="20"/>
              </w:rPr>
              <w:instrText xml:space="preserve"> PAGEREF _Toc1017 \h </w:instrText>
            </w:r>
            <w:r>
              <w:rPr>
                <w:sz w:val="20"/>
              </w:rPr>
              <w:fldChar w:fldCharType="separate"/>
            </w:r>
            <w:r>
              <w:rPr>
                <w:sz w:val="20"/>
              </w:rPr>
              <w:t>12</w:t>
            </w:r>
            <w:r>
              <w:rPr>
                <w:sz w:val="20"/>
              </w:rPr>
              <w:fldChar w:fldCharType="end"/>
            </w:r>
          </w:hyperlink>
        </w:p>
        <w:p>
          <w:pPr>
            <w:tabs>
              <w:tab w:val="right" w:leader="dot" w:pos="9350"/>
            </w:tabs>
            <w:spacing w:after="30"/>
            <w:ind w:left="240"/>
          </w:pPr>
          <w:hyperlink w:anchor="_Toc1018" w:history="1">
            <w:r>
              <w:rPr>
                <w:sz w:val="20"/>
              </w:rPr>
              <w:t xml:space="preserve">2.3   Implementation Effort</w:t>
            </w:r>
            <w:r>
              <w:rPr>
                <w:sz w:val="20"/>
              </w:rPr>
              <w:tab/>
            </w:r>
            <w:r>
              <w:rPr>
                <w:sz w:val="20"/>
              </w:rPr>
              <w:fldChar w:fldCharType="begin"/>
            </w:r>
            <w:r>
              <w:rPr>
                <w:sz w:val="20"/>
              </w:rPr>
              <w:instrText xml:space="preserve"> PAGEREF _Toc1018 \h </w:instrText>
            </w:r>
            <w:r>
              <w:rPr>
                <w:sz w:val="20"/>
              </w:rPr>
              <w:fldChar w:fldCharType="separate"/>
            </w:r>
            <w:r>
              <w:rPr>
                <w:sz w:val="20"/>
              </w:rPr>
              <w:t>12</w:t>
            </w:r>
            <w:r>
              <w:rPr>
                <w:sz w:val="20"/>
              </w:rPr>
              <w:fldChar w:fldCharType="end"/>
            </w:r>
          </w:hyperlink>
        </w:p>
        <w:p>
          <w:pPr>
            <w:tabs>
              <w:tab w:val="right" w:leader="dot" w:pos="9350"/>
            </w:tabs>
            <w:spacing w:after="30"/>
            <w:ind w:left="480"/>
          </w:pPr>
          <w:hyperlink w:anchor="_Toc1019" w:history="1">
            <w:r>
              <w:rPr>
                <w:sz w:val="20"/>
              </w:rPr>
              <w:t xml:space="preserve">2.3.1   Annual Run Cost</w:t>
            </w:r>
            <w:r>
              <w:rPr>
                <w:sz w:val="20"/>
              </w:rPr>
              <w:tab/>
            </w:r>
            <w:r>
              <w:rPr>
                <w:sz w:val="20"/>
              </w:rPr>
              <w:fldChar w:fldCharType="begin"/>
            </w:r>
            <w:r>
              <w:rPr>
                <w:sz w:val="20"/>
              </w:rPr>
              <w:instrText xml:space="preserve"> PAGEREF _Toc1019 \h </w:instrText>
            </w:r>
            <w:r>
              <w:rPr>
                <w:sz w:val="20"/>
              </w:rPr>
              <w:fldChar w:fldCharType="separate"/>
            </w:r>
            <w:r>
              <w:rPr>
                <w:sz w:val="20"/>
              </w:rPr>
              <w:t>13</w:t>
            </w:r>
            <w:r>
              <w:rPr>
                <w:sz w:val="20"/>
              </w:rPr>
              <w:fldChar w:fldCharType="end"/>
            </w:r>
          </w:hyperlink>
        </w:p>
        <w:p>
          <w:pPr>
            <w:tabs>
              <w:tab w:val="right" w:leader="dot" w:pos="9350"/>
            </w:tabs>
            <w:spacing w:after="30"/>
            <w:ind w:left="240"/>
          </w:pPr>
          <w:hyperlink w:anchor="_Toc1020" w:history="1">
            <w:r>
              <w:rPr>
                <w:sz w:val="20"/>
              </w:rPr>
              <w:t xml:space="preserve">2.4   Commvault and Rubrik Access Patterns</w:t>
            </w:r>
            <w:r>
              <w:rPr>
                <w:sz w:val="20"/>
              </w:rPr>
              <w:tab/>
            </w:r>
            <w:r>
              <w:rPr>
                <w:sz w:val="20"/>
              </w:rPr>
              <w:fldChar w:fldCharType="begin"/>
            </w:r>
            <w:r>
              <w:rPr>
                <w:sz w:val="20"/>
              </w:rPr>
              <w:instrText xml:space="preserve"> PAGEREF _Toc1020 \h </w:instrText>
            </w:r>
            <w:r>
              <w:rPr>
                <w:sz w:val="20"/>
              </w:rPr>
              <w:fldChar w:fldCharType="separate"/>
            </w:r>
            <w:r>
              <w:rPr>
                <w:sz w:val="20"/>
              </w:rPr>
              <w:t>13</w:t>
            </w:r>
            <w:r>
              <w:rPr>
                <w:sz w:val="20"/>
              </w:rPr>
              <w:fldChar w:fldCharType="end"/>
            </w:r>
          </w:hyperlink>
        </w:p>
        <w:p>
          <w:pPr>
            <w:tabs>
              <w:tab w:val="right" w:leader="dot" w:pos="9350"/>
            </w:tabs>
            <w:spacing w:after="30"/>
            <w:ind w:left="480"/>
          </w:pPr>
          <w:hyperlink w:anchor="_Toc1021" w:history="1">
            <w:r>
              <w:rPr>
                <w:sz w:val="20"/>
              </w:rPr>
              <w:t xml:space="preserve">2.4.1   Common Pattern Across All Workspaces</w:t>
            </w:r>
            <w:r>
              <w:rPr>
                <w:sz w:val="20"/>
              </w:rPr>
              <w:tab/>
            </w:r>
            <w:r>
              <w:rPr>
                <w:sz w:val="20"/>
              </w:rPr>
              <w:fldChar w:fldCharType="begin"/>
            </w:r>
            <w:r>
              <w:rPr>
                <w:sz w:val="20"/>
              </w:rPr>
              <w:instrText xml:space="preserve"> PAGEREF _Toc1021 \h </w:instrText>
            </w:r>
            <w:r>
              <w:rPr>
                <w:sz w:val="20"/>
              </w:rPr>
              <w:fldChar w:fldCharType="separate"/>
            </w:r>
            <w:r>
              <w:rPr>
                <w:sz w:val="20"/>
              </w:rPr>
              <w:t>13</w:t>
            </w:r>
            <w:r>
              <w:rPr>
                <w:sz w:val="20"/>
              </w:rPr>
              <w:fldChar w:fldCharType="end"/>
            </w:r>
          </w:hyperlink>
        </w:p>
        <w:p>
          <w:pPr>
            <w:tabs>
              <w:tab w:val="right" w:leader="dot" w:pos="9350"/>
            </w:tabs>
            <w:spacing w:after="30"/>
            <w:ind w:left="240"/>
          </w:pPr>
          <w:hyperlink w:anchor="_Toc1022" w:history="1">
            <w:r>
              <w:rPr>
                <w:sz w:val="20"/>
              </w:rPr>
              <w:t xml:space="preserve">2.5   Cost Comparison (Rough Order of Magnitude)</w:t>
            </w:r>
            <w:r>
              <w:rPr>
                <w:sz w:val="20"/>
              </w:rPr>
              <w:tab/>
            </w:r>
            <w:r>
              <w:rPr>
                <w:sz w:val="20"/>
              </w:rPr>
              <w:fldChar w:fldCharType="begin"/>
            </w:r>
            <w:r>
              <w:rPr>
                <w:sz w:val="20"/>
              </w:rPr>
              <w:instrText xml:space="preserve"> PAGEREF _Toc1022 \h </w:instrText>
            </w:r>
            <w:r>
              <w:rPr>
                <w:sz w:val="20"/>
              </w:rPr>
              <w:fldChar w:fldCharType="separate"/>
            </w:r>
            <w:r>
              <w:rPr>
                <w:sz w:val="20"/>
              </w:rPr>
              <w:t>14</w:t>
            </w:r>
            <w:r>
              <w:rPr>
                <w:sz w:val="20"/>
              </w:rPr>
              <w:fldChar w:fldCharType="end"/>
            </w:r>
          </w:hyperlink>
        </w:p>
        <w:p>
          <w:pPr>
            <w:tabs>
              <w:tab w:val="right" w:leader="dot" w:pos="9350"/>
            </w:tabs>
            <w:spacing w:after="30"/>
            <w:ind w:left="480"/>
          </w:pPr>
          <w:hyperlink w:anchor="_Toc1023" w:history="1">
            <w:r>
              <w:rPr>
                <w:sz w:val="20"/>
              </w:rPr>
              <w:t xml:space="preserve">2.5.1   Use Case: Commvault, Rubrik and Azure Backup for Cloud Workloads</w:t>
            </w:r>
            <w:r>
              <w:rPr>
                <w:sz w:val="20"/>
              </w:rPr>
              <w:tab/>
            </w:r>
            <w:r>
              <w:rPr>
                <w:sz w:val="20"/>
              </w:rPr>
              <w:fldChar w:fldCharType="begin"/>
            </w:r>
            <w:r>
              <w:rPr>
                <w:sz w:val="20"/>
              </w:rPr>
              <w:instrText xml:space="preserve"> PAGEREF _Toc1023 \h </w:instrText>
            </w:r>
            <w:r>
              <w:rPr>
                <w:sz w:val="20"/>
              </w:rPr>
              <w:fldChar w:fldCharType="separate"/>
            </w:r>
            <w:r>
              <w:rPr>
                <w:sz w:val="20"/>
              </w:rPr>
              <w:t>16</w:t>
            </w:r>
            <w:r>
              <w:rPr>
                <w:sz w:val="20"/>
              </w:rPr>
              <w:fldChar w:fldCharType="end"/>
            </w:r>
          </w:hyperlink>
        </w:p>
        <w:p>
          <w:pPr>
            <w:tabs>
              <w:tab w:val="right" w:leader="dot" w:pos="9350"/>
            </w:tabs>
            <w:spacing w:after="30"/>
            <w:ind w:left="240"/>
          </w:pPr>
          <w:hyperlink w:anchor="_Toc1024" w:history="1">
            <w:r>
              <w:rPr>
                <w:sz w:val="20"/>
              </w:rPr>
              <w:t xml:space="preserve">2.6   Decision Rationale</w:t>
            </w:r>
            <w:r>
              <w:rPr>
                <w:sz w:val="20"/>
              </w:rPr>
              <w:tab/>
            </w:r>
            <w:r>
              <w:rPr>
                <w:sz w:val="20"/>
              </w:rPr>
              <w:fldChar w:fldCharType="begin"/>
            </w:r>
            <w:r>
              <w:rPr>
                <w:sz w:val="20"/>
              </w:rPr>
              <w:instrText xml:space="preserve"> PAGEREF _Toc1024 \h </w:instrText>
            </w:r>
            <w:r>
              <w:rPr>
                <w:sz w:val="20"/>
              </w:rPr>
              <w:fldChar w:fldCharType="separate"/>
            </w:r>
            <w:r>
              <w:rPr>
                <w:sz w:val="20"/>
              </w:rPr>
              <w:t>16</w:t>
            </w:r>
            <w:r>
              <w:rPr>
                <w:sz w:val="20"/>
              </w:rPr>
              <w:fldChar w:fldCharType="end"/>
            </w:r>
          </w:hyperlink>
        </w:p>
        <w:p>
          <w:pPr>
            <w:tabs>
              <w:tab w:val="right" w:leader="dot" w:pos="9350"/>
            </w:tabs>
            <w:spacing w:after="30"/>
            <w:ind w:left="480"/>
          </w:pPr>
          <w:hyperlink w:anchor="_Toc1025" w:history="1">
            <w:r>
              <w:rPr>
                <w:sz w:val="20"/>
              </w:rPr>
              <w:t xml:space="preserve">2.6.1   Cost</w:t>
            </w:r>
            <w:r>
              <w:rPr>
                <w:sz w:val="20"/>
              </w:rPr>
              <w:tab/>
            </w:r>
            <w:r>
              <w:rPr>
                <w:sz w:val="20"/>
              </w:rPr>
              <w:fldChar w:fldCharType="begin"/>
            </w:r>
            <w:r>
              <w:rPr>
                <w:sz w:val="20"/>
              </w:rPr>
              <w:instrText xml:space="preserve"> PAGEREF _Toc1025 \h </w:instrText>
            </w:r>
            <w:r>
              <w:rPr>
                <w:sz w:val="20"/>
              </w:rPr>
              <w:fldChar w:fldCharType="separate"/>
            </w:r>
            <w:r>
              <w:rPr>
                <w:sz w:val="20"/>
              </w:rPr>
              <w:t>16</w:t>
            </w:r>
            <w:r>
              <w:rPr>
                <w:sz w:val="20"/>
              </w:rPr>
              <w:fldChar w:fldCharType="end"/>
            </w:r>
          </w:hyperlink>
        </w:p>
        <w:p>
          <w:pPr>
            <w:tabs>
              <w:tab w:val="right" w:leader="dot" w:pos="9350"/>
            </w:tabs>
            <w:spacing w:after="30"/>
            <w:ind w:left="480"/>
          </w:pPr>
          <w:hyperlink w:anchor="_Toc1026" w:history="1">
            <w:r>
              <w:rPr>
                <w:sz w:val="20"/>
              </w:rPr>
              <w:t xml:space="preserve">2.6.2   Functional Fit</w:t>
            </w:r>
            <w:r>
              <w:rPr>
                <w:sz w:val="20"/>
              </w:rPr>
              <w:tab/>
            </w:r>
            <w:r>
              <w:rPr>
                <w:sz w:val="20"/>
              </w:rPr>
              <w:fldChar w:fldCharType="begin"/>
            </w:r>
            <w:r>
              <w:rPr>
                <w:sz w:val="20"/>
              </w:rPr>
              <w:instrText xml:space="preserve"> PAGEREF _Toc1026 \h </w:instrText>
            </w:r>
            <w:r>
              <w:rPr>
                <w:sz w:val="20"/>
              </w:rPr>
              <w:fldChar w:fldCharType="separate"/>
            </w:r>
            <w:r>
              <w:rPr>
                <w:sz w:val="20"/>
              </w:rPr>
              <w:t>17</w:t>
            </w:r>
            <w:r>
              <w:rPr>
                <w:sz w:val="20"/>
              </w:rPr>
              <w:fldChar w:fldCharType="end"/>
            </w:r>
          </w:hyperlink>
        </w:p>
        <w:p>
          <w:pPr>
            <w:tabs>
              <w:tab w:val="right" w:leader="dot" w:pos="9350"/>
            </w:tabs>
            <w:spacing w:after="30"/>
            <w:ind w:left="480"/>
          </w:pPr>
          <w:hyperlink w:anchor="_Toc1027" w:history="1">
            <w:r>
              <w:rPr>
                <w:sz w:val="20"/>
              </w:rPr>
              <w:t xml:space="preserve">2.6.3   Management Complexity</w:t>
            </w:r>
            <w:r>
              <w:rPr>
                <w:sz w:val="20"/>
              </w:rPr>
              <w:tab/>
            </w:r>
            <w:r>
              <w:rPr>
                <w:sz w:val="20"/>
              </w:rPr>
              <w:fldChar w:fldCharType="begin"/>
            </w:r>
            <w:r>
              <w:rPr>
                <w:sz w:val="20"/>
              </w:rPr>
              <w:instrText xml:space="preserve"> PAGEREF _Toc1027 \h </w:instrText>
            </w:r>
            <w:r>
              <w:rPr>
                <w:sz w:val="20"/>
              </w:rPr>
              <w:fldChar w:fldCharType="separate"/>
            </w:r>
            <w:r>
              <w:rPr>
                <w:sz w:val="20"/>
              </w:rPr>
              <w:t>17</w:t>
            </w:r>
            <w:r>
              <w:rPr>
                <w:sz w:val="20"/>
              </w:rPr>
              <w:fldChar w:fldCharType="end"/>
            </w:r>
          </w:hyperlink>
        </w:p>
        <w:p>
          <w:pPr>
            <w:tabs>
              <w:tab w:val="right" w:leader="dot" w:pos="9350"/>
            </w:tabs>
            <w:spacing w:after="30"/>
            <w:ind w:left="480"/>
          </w:pPr>
          <w:hyperlink w:anchor="_Toc1028" w:history="1">
            <w:r>
              <w:rPr>
                <w:sz w:val="20"/>
              </w:rPr>
              <w:t xml:space="preserve">2.6.4   Future Equivalent Capability</w:t>
            </w:r>
            <w:r>
              <w:rPr>
                <w:sz w:val="20"/>
              </w:rPr>
              <w:tab/>
            </w:r>
            <w:r>
              <w:rPr>
                <w:sz w:val="20"/>
              </w:rPr>
              <w:fldChar w:fldCharType="begin"/>
            </w:r>
            <w:r>
              <w:rPr>
                <w:sz w:val="20"/>
              </w:rPr>
              <w:instrText xml:space="preserve"> PAGEREF _Toc1028 \h </w:instrText>
            </w:r>
            <w:r>
              <w:rPr>
                <w:sz w:val="20"/>
              </w:rPr>
              <w:fldChar w:fldCharType="separate"/>
            </w:r>
            <w:r>
              <w:rPr>
                <w:sz w:val="20"/>
              </w:rPr>
              <w:t>17</w:t>
            </w:r>
            <w:r>
              <w:rPr>
                <w:sz w:val="20"/>
              </w:rPr>
              <w:fldChar w:fldCharType="end"/>
            </w:r>
          </w:hyperlink>
        </w:p>
        <w:p>
          <w:pPr>
            <w:tabs>
              <w:tab w:val="right" w:leader="dot" w:pos="9350"/>
            </w:tabs>
            <w:spacing w:after="30"/>
            <w:ind w:left="480"/>
          </w:pPr>
          <w:hyperlink w:anchor="_Toc1029" w:history="1">
            <w:r>
              <w:rPr>
                <w:sz w:val="20"/>
              </w:rPr>
              <w:t xml:space="preserve">2.6.5   Security</w:t>
            </w:r>
            <w:r>
              <w:rPr>
                <w:sz w:val="20"/>
              </w:rPr>
              <w:tab/>
            </w:r>
            <w:r>
              <w:rPr>
                <w:sz w:val="20"/>
              </w:rPr>
              <w:fldChar w:fldCharType="begin"/>
            </w:r>
            <w:r>
              <w:rPr>
                <w:sz w:val="20"/>
              </w:rPr>
              <w:instrText xml:space="preserve"> PAGEREF _Toc1029 \h </w:instrText>
            </w:r>
            <w:r>
              <w:rPr>
                <w:sz w:val="20"/>
              </w:rPr>
              <w:fldChar w:fldCharType="separate"/>
            </w:r>
            <w:r>
              <w:rPr>
                <w:sz w:val="20"/>
              </w:rPr>
              <w:t>17</w:t>
            </w:r>
            <w:r>
              <w:rPr>
                <w:sz w:val="20"/>
              </w:rPr>
              <w:fldChar w:fldCharType="end"/>
            </w:r>
          </w:hyperlink>
        </w:p>
        <w:p>
          <w:pPr>
            <w:tabs>
              <w:tab w:val="right" w:leader="dot" w:pos="9350"/>
            </w:tabs>
            <w:spacing w:after="30"/>
            <w:ind w:left="480"/>
          </w:pPr>
          <w:hyperlink w:anchor="_Toc1030" w:history="1">
            <w:r>
              <w:rPr>
                <w:sz w:val="20"/>
              </w:rPr>
              <w:t xml:space="preserve">2.6.6   Comparison Heat Map</w:t>
            </w:r>
            <w:r>
              <w:rPr>
                <w:sz w:val="20"/>
              </w:rPr>
              <w:tab/>
            </w:r>
            <w:r>
              <w:rPr>
                <w:sz w:val="20"/>
              </w:rPr>
              <w:fldChar w:fldCharType="begin"/>
            </w:r>
            <w:r>
              <w:rPr>
                <w:sz w:val="20"/>
              </w:rPr>
              <w:instrText xml:space="preserve"> PAGEREF _Toc1030 \h </w:instrText>
            </w:r>
            <w:r>
              <w:rPr>
                <w:sz w:val="20"/>
              </w:rPr>
              <w:fldChar w:fldCharType="separate"/>
            </w:r>
            <w:r>
              <w:rPr>
                <w:sz w:val="20"/>
              </w:rPr>
              <w:t>18</w:t>
            </w:r>
            <w:r>
              <w:rPr>
                <w:sz w:val="20"/>
              </w:rPr>
              <w:fldChar w:fldCharType="end"/>
            </w:r>
          </w:hyperlink>
        </w:p>
        <w:p>
          <w:pPr>
            <w:tabs>
              <w:tab w:val="right" w:leader="dot" w:pos="9350"/>
            </w:tabs>
            <w:spacing w:before="120" w:after="40"/>
            <w:ind w:left="0"/>
          </w:pPr>
          <w:hyperlink w:anchor="_Toc1031" w:history="1">
            <w:r>
              <w:rPr>
                <w:b/>
                <w:sz w:val="20"/>
              </w:rPr>
              <w:t xml:space="preserve">3   Final Decision Outcome</w:t>
            </w:r>
            <w:r>
              <w:rPr>
                <w:b/>
                <w:sz w:val="20"/>
              </w:rPr>
              <w:tab/>
            </w:r>
            <w:r>
              <w:rPr>
                <w:b/>
                <w:sz w:val="20"/>
              </w:rPr>
              <w:fldChar w:fldCharType="begin"/>
            </w:r>
            <w:r>
              <w:rPr>
                <w:b/>
                <w:sz w:val="20"/>
              </w:rPr>
              <w:instrText xml:space="preserve"> PAGEREF _Toc1031 \h </w:instrText>
            </w:r>
            <w:r>
              <w:rPr>
                <w:b/>
                <w:sz w:val="20"/>
              </w:rPr>
              <w:fldChar w:fldCharType="separate"/>
            </w:r>
            <w:r>
              <w:rPr>
                <w:b/>
                <w:sz w:val="20"/>
              </w:rPr>
              <w:t>19</w:t>
            </w:r>
            <w:r>
              <w:rPr>
                <w:b/>
                <w:sz w:val="20"/>
              </w:rPr>
              <w:fldChar w:fldCharType="end"/>
            </w:r>
          </w:hyperlink>
        </w:p>
        <w:p>
          <w:pPr>
            <w:tabs>
              <w:tab w:val="right" w:leader="dot" w:pos="9350"/>
            </w:tabs>
            <w:spacing w:after="30"/>
            <w:ind w:left="240"/>
          </w:pPr>
          <w:hyperlink w:anchor="_Toc1032" w:history="1">
            <w:r>
              <w:rPr>
                <w:sz w:val="20"/>
              </w:rPr>
              <w:t xml:space="preserve">3.1   Decision Statement</w:t>
            </w:r>
            <w:r>
              <w:rPr>
                <w:sz w:val="20"/>
              </w:rPr>
              <w:tab/>
            </w:r>
            <w:r>
              <w:rPr>
                <w:sz w:val="20"/>
              </w:rPr>
              <w:fldChar w:fldCharType="begin"/>
            </w:r>
            <w:r>
              <w:rPr>
                <w:sz w:val="20"/>
              </w:rPr>
              <w:instrText xml:space="preserve"> PAGEREF _Toc1032 \h </w:instrText>
            </w:r>
            <w:r>
              <w:rPr>
                <w:sz w:val="20"/>
              </w:rPr>
              <w:fldChar w:fldCharType="separate"/>
            </w:r>
            <w:r>
              <w:rPr>
                <w:sz w:val="20"/>
              </w:rPr>
              <w:t>19</w:t>
            </w:r>
            <w:r>
              <w:rPr>
                <w:sz w:val="20"/>
              </w:rPr>
              <w:fldChar w:fldCharType="end"/>
            </w:r>
          </w:hyperlink>
        </w:p>
        <w:p>
          <w:pPr>
            <w:tabs>
              <w:tab w:val="right" w:leader="dot" w:pos="9350"/>
            </w:tabs>
            <w:spacing w:after="30"/>
            <w:ind w:left="240"/>
          </w:pPr>
          <w:hyperlink w:anchor="_Toc1033" w:history="1">
            <w:r>
              <w:rPr>
                <w:sz w:val="20"/>
              </w:rPr>
              <w:t xml:space="preserve">3.2   Conditions of Approval</w:t>
            </w:r>
            <w:r>
              <w:rPr>
                <w:sz w:val="20"/>
              </w:rPr>
              <w:tab/>
            </w:r>
            <w:r>
              <w:rPr>
                <w:sz w:val="20"/>
              </w:rPr>
              <w:fldChar w:fldCharType="begin"/>
            </w:r>
            <w:r>
              <w:rPr>
                <w:sz w:val="20"/>
              </w:rPr>
              <w:instrText xml:space="preserve"> PAGEREF _Toc1033 \h </w:instrText>
            </w:r>
            <w:r>
              <w:rPr>
                <w:sz w:val="20"/>
              </w:rPr>
              <w:fldChar w:fldCharType="separate"/>
            </w:r>
            <w:r>
              <w:rPr>
                <w:sz w:val="20"/>
              </w:rPr>
              <w:t>20</w:t>
            </w:r>
            <w:r>
              <w:rPr>
                <w:sz w:val="20"/>
              </w:rPr>
              <w:fldChar w:fldCharType="end"/>
            </w:r>
          </w:hyperlink>
        </w:p>
        <w:p>
          <w:pPr>
            <w:tabs>
              <w:tab w:val="right" w:leader="dot" w:pos="9350"/>
            </w:tabs>
            <w:spacing w:after="30"/>
            <w:ind w:left="240"/>
          </w:pPr>
          <w:hyperlink w:anchor="_Toc1034" w:history="1">
            <w:r>
              <w:rPr>
                <w:sz w:val="20"/>
              </w:rPr>
              <w:t xml:space="preserve">3.3   Key Risks and Mitigations</w:t>
            </w:r>
            <w:r>
              <w:rPr>
                <w:sz w:val="20"/>
              </w:rPr>
              <w:tab/>
            </w:r>
            <w:r>
              <w:rPr>
                <w:sz w:val="20"/>
              </w:rPr>
              <w:fldChar w:fldCharType="begin"/>
            </w:r>
            <w:r>
              <w:rPr>
                <w:sz w:val="20"/>
              </w:rPr>
              <w:instrText xml:space="preserve"> PAGEREF _Toc1034 \h </w:instrText>
            </w:r>
            <w:r>
              <w:rPr>
                <w:sz w:val="20"/>
              </w:rPr>
              <w:fldChar w:fldCharType="separate"/>
            </w:r>
            <w:r>
              <w:rPr>
                <w:sz w:val="20"/>
              </w:rPr>
              <w:t>20</w:t>
            </w:r>
            <w:r>
              <w:rPr>
                <w:sz w:val="20"/>
              </w:rPr>
              <w:fldChar w:fldCharType="end"/>
            </w:r>
          </w:hyperlink>
        </w:p>
        <w:p>
          <w:pPr>
            <w:tabs>
              <w:tab w:val="right" w:leader="dot" w:pos="9350"/>
            </w:tabs>
            <w:spacing w:after="30"/>
            <w:ind w:left="240"/>
          </w:pPr>
          <w:hyperlink w:anchor="_Toc1035" w:history="1">
            <w:r>
              <w:rPr>
                <w:sz w:val="20"/>
              </w:rPr>
              <w:t xml:space="preserve">3.4   Next Steps and Roadmap</w:t>
            </w:r>
            <w:r>
              <w:rPr>
                <w:sz w:val="20"/>
              </w:rPr>
              <w:tab/>
            </w:r>
            <w:r>
              <w:rPr>
                <w:sz w:val="20"/>
              </w:rPr>
              <w:fldChar w:fldCharType="begin"/>
            </w:r>
            <w:r>
              <w:rPr>
                <w:sz w:val="20"/>
              </w:rPr>
              <w:instrText xml:space="preserve"> PAGEREF _Toc1035 \h </w:instrText>
            </w:r>
            <w:r>
              <w:rPr>
                <w:sz w:val="20"/>
              </w:rPr>
              <w:fldChar w:fldCharType="separate"/>
            </w:r>
            <w:r>
              <w:rPr>
                <w:sz w:val="20"/>
              </w:rPr>
              <w:t>21</w:t>
            </w:r>
            <w:r>
              <w:rPr>
                <w:sz w:val="20"/>
              </w:rPr>
              <w:fldChar w:fldCharType="end"/>
            </w:r>
          </w:hyperlink>
        </w:p>
        <w:p>
          <w:pPr>
            <w:tabs>
              <w:tab w:val="right" w:leader="dot" w:pos="9350"/>
            </w:tabs>
            <w:spacing w:before="120" w:after="40"/>
            <w:ind w:left="0"/>
          </w:pPr>
          <w:hyperlink w:anchor="_Toc1036" w:history="1">
            <w:r>
              <w:rPr>
                <w:b/>
                <w:sz w:val="20"/>
              </w:rPr>
              <w:t xml:space="preserve">Appendix A: Glossary</w:t>
            </w:r>
            <w:r>
              <w:rPr>
                <w:b/>
                <w:sz w:val="20"/>
              </w:rPr>
              <w:tab/>
            </w:r>
            <w:r>
              <w:rPr>
                <w:b/>
                <w:sz w:val="20"/>
              </w:rPr>
              <w:fldChar w:fldCharType="begin"/>
            </w:r>
            <w:r>
              <w:rPr>
                <w:b/>
                <w:sz w:val="20"/>
              </w:rPr>
              <w:instrText xml:space="preserve"> PAGEREF _Toc1036 \h </w:instrText>
            </w:r>
            <w:r>
              <w:rPr>
                <w:b/>
                <w:sz w:val="20"/>
              </w:rPr>
              <w:fldChar w:fldCharType="separate"/>
            </w:r>
            <w:r>
              <w:rPr>
                <w:b/>
                <w:sz w:val="20"/>
              </w:rPr>
              <w:t>22</w:t>
            </w:r>
            <w:r>
              <w:rPr>
                <w:b/>
                <w:sz w:val="20"/>
              </w:rPr>
              <w:fldChar w:fldCharType="end"/>
            </w:r>
          </w:hyperlink>
        </w:p>
        <w:p>
          <w:pPr>
            <w:tabs>
              <w:tab w:val="right" w:leader="dot" w:pos="9350"/>
            </w:tabs>
            <w:spacing w:before="120" w:after="40"/>
            <w:ind w:left="0"/>
          </w:pPr>
          <w:hyperlink w:anchor="_Toc1037" w:history="1">
            <w:r>
              <w:rPr>
                <w:b/>
                <w:sz w:val="20"/>
              </w:rPr>
              <w:t xml:space="preserve">Appendix B: Requirements Traceability</w:t>
            </w:r>
            <w:r>
              <w:rPr>
                <w:b/>
                <w:sz w:val="20"/>
              </w:rPr>
              <w:tab/>
            </w:r>
            <w:r>
              <w:rPr>
                <w:b/>
                <w:sz w:val="20"/>
              </w:rPr>
              <w:fldChar w:fldCharType="begin"/>
            </w:r>
            <w:r>
              <w:rPr>
                <w:b/>
                <w:sz w:val="20"/>
              </w:rPr>
              <w:instrText xml:space="preserve"> PAGEREF _Toc1037 \h </w:instrText>
            </w:r>
            <w:r>
              <w:rPr>
                <w:b/>
                <w:sz w:val="20"/>
              </w:rPr>
              <w:fldChar w:fldCharType="separate"/>
            </w:r>
            <w:r>
              <w:rPr>
                <w:b/>
                <w:sz w:val="20"/>
              </w:rPr>
              <w:t>23</w:t>
            </w:r>
            <w:r>
              <w:rPr>
                <w:b/>
                <w:sz w:val="20"/>
              </w:rPr>
              <w:fldChar w:fldCharType="end"/>
            </w:r>
          </w:hyperlink>
        </w:p>
        <w:p>
          <w:pPr>
            <w:tabs>
              <w:tab w:val="right" w:leader="dot" w:pos="9350"/>
            </w:tabs>
            <w:spacing w:before="120" w:after="40"/>
            <w:ind w:left="0"/>
          </w:pPr>
          <w:hyperlink w:anchor="_Toc1038" w:history="1">
            <w:r>
              <w:rPr>
                <w:b/>
                <w:sz w:val="20"/>
              </w:rPr>
              <w:t xml:space="preserve">Appendix C: References</w:t>
            </w:r>
            <w:r>
              <w:rPr>
                <w:b/>
                <w:sz w:val="20"/>
              </w:rPr>
              <w:tab/>
            </w:r>
            <w:r>
              <w:rPr>
                <w:b/>
                <w:sz w:val="20"/>
              </w:rPr>
              <w:fldChar w:fldCharType="begin"/>
            </w:r>
            <w:r>
              <w:rPr>
                <w:b/>
                <w:sz w:val="20"/>
              </w:rPr>
              <w:instrText xml:space="preserve"> PAGEREF _Toc1038 \h </w:instrText>
            </w:r>
            <w:r>
              <w:rPr>
                <w:b/>
                <w:sz w:val="20"/>
              </w:rPr>
              <w:fldChar w:fldCharType="separate"/>
            </w:r>
            <w:r>
              <w:rPr>
                <w:b/>
                <w:sz w:val="20"/>
              </w:rPr>
              <w:t>24</w:t>
            </w:r>
            <w:r>
              <w:rPr>
                <w:b/>
                <w:sz w:val="20"/>
              </w:rPr>
              <w:fldChar w:fldCharType="end"/>
            </w:r>
          </w:hyperlink>
        </w:p>
        <w:p>
          <w:r>
            <w:fldChar w:fldCharType="end"/>
          </w:r>
        </w:p>
      </w:sdtContent>
    </w:sdt>
    <w:p>
      <w:pPr>
        <w:pStyle w:val="Heading1"/>
        <w:pageBreakBefore/>
      </w:pPr>
      <w:bookmarkStart w:id="903" w:name="_Toc1003"/>
      <w:r>
        <w:t xml:space="preserve">1   Decision Details</w:t>
      </w:r>
      <w:bookmarkEnd w:id="903"/>
    </w:p>
    <w:p>
      <w:pPr>
        <w:pStyle w:val="Heading2"/>
      </w:pPr>
      <w:bookmarkStart w:id="904" w:name="_Toc1004"/>
      <w:r>
        <w:t xml:space="preserve">1.1   Context and Purpose</w:t>
      </w:r>
      <w:bookmarkEnd w:id="904"/>
    </w:p>
    <w:p>
      <w:pPr>
        <w:spacing w:after="120" w:line="264"/>
      </w:pPr>
      <w:r>
        <w:t xml:space="preserve">The organisation runs four on-premises data centres (DCs). Backups are written at the active DC and replicated to the three other DCs. Three DCs run Commvault HyperScale X clusters and one runs a standalone Commvault MediaAgent with a disk library. About 2 PB of backup data is protected. On-premises workloads run on VMware vSphere and Cisco UCS (including bare-metal hosts) and comprise Windows, Linux, IBM AIX and Oracle Database servers. Microsoft 365 is already protected by Commvault.</w:t>
      </w:r>
    </w:p>
    <w:p>
      <w:pPr>
        <w:spacing w:after="120" w:line="264"/>
      </w:pPr>
      <w:r>
        <w:t xml:space="preserve">The current-state discovery workshop confirmed that the on-premises Commvault platform meets the RPO/RTO objectives signed off by the business. The gaps are in the cloud: there is no backup copy outside the on-premises estate, Azure DevOps and GitHub are not backed up, Azure workloads are protected by a separate tool (Azure Backup), and deleted cloud resources and their configuration cannot be recovered. The Azure estate is growing with modernised workloads (Logic Apps, Function Apps, Synapse, AKS, PaaS databases), and AWS, GCP and other clouds are planned.</w:t>
      </w:r>
    </w:p>
    <w:p>
      <w:pPr>
        <w:spacing w:after="120" w:line="264"/>
      </w:pPr>
      <w:r>
        <w:t xml:space="preserve">This KDD evaluates three platform options against the </w:t>
      </w:r>
      <w:r>
        <w:rPr>
          <w:b/>
          <w:bCs/>
        </w:rPr>
        <w:t xml:space="preserve">Multi-site and Hybrid Cloud Backup Resilience</w:t>
      </w:r>
      <w:r>
        <w:t xml:space="preserve"> principle, compares Commvault, Rubrik and Azure Backup capabilities, and records the recommended decision.</w:t>
      </w:r>
    </w:p>
    <w:p>
      <w:pPr>
        <w:keepNext/>
        <w:spacing w:after="80" w:before="160"/>
      </w:pPr>
      <w:r>
        <w:rPr>
          <w:b/>
          <w:bCs/>
          <w:color w:val="582873"/>
        </w:rPr>
        <w:t xml:space="preserve">Current state and target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560"/>
        <w:gridCol w:w="2700"/>
      </w:tblGrid>
      <w:tr>
        <w:trPr>
          <w:cantSplit/>
          <w:tblHeader/>
        </w:trPr>
        <w:tc>
          <w:tcPr>
            <w:tcW w:type="dxa" w:w="17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Area</w:t>
            </w:r>
          </w:p>
        </w:tc>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Current state</w:t>
            </w:r>
          </w:p>
        </w:tc>
        <w:tc>
          <w:tcPr>
            <w:tcW w:type="dxa" w:w="25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Gap / risk</w:t>
            </w:r>
          </w:p>
        </w:tc>
        <w:tc>
          <w:tcPr>
            <w:tcW w:type="dxa" w:w="27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Target state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On-premises platform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Commvault: HyperScale X at 3 DCs, MediaAgent at 1 DC; ~2 PB back-end, growing ~15%/yr</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MediaAgent site differs in design and immutability capability</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Retained; WORM/locked storage at all sites; capacity planned per site and cloud tier</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On-premises RPO/RTO</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Meets business-signed RPO/RTO</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Must not regress during any change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Preserved; re-proven only for new tiers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Multi-site replication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Active DC to 3 DCs (DASH copy)</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All copies on-premises, same administrative domain</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Retained, with per-copy retention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Cloud off-site copy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None</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No copy outside the on-premises estate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Immutable cloud copy in Canada Central, geo copy in Canada East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Microsoft 365</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Commvault</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None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Retained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Azure DevOps / GitHub</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Not backed up (self-hosted on Azure VMs and/or SaaS)</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Critical: repos, PRs, pipelines and work items unrecoverable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Repo and metadata backup for both hosting models, pre-merge triggered, immutable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Azure workloads (data)</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Azure Backup (separate tool)</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Separate console; no multi-cloud path; Oracle VMs not RMAN-aware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Covered by the selected platform; native SQL PITR retained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Cloud resources and configuration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Not protected</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Deleted RG, VNet, Logic App, Synapse or AKS needs manual rebuild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Discover, version and rebuild resources and configuration with data</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Cross-subscription restore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Mostly to source subscription only</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Cannot reliably recover into a clean or alternate subscription</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Restore to any approved subscription in the same Entra tenant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AWS / GCP / other clouds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Not yet adopted</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Risk of one tool per cloud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Same data and configuration-recovery policies from day one</w:t>
            </w:r>
          </w:p>
        </w:tc>
      </w:tr>
    </w:tbl>
    <w:p>
      <w:pPr>
        <w:keepNext/>
        <w:spacing w:after="80" w:before="160"/>
      </w:pPr>
      <w:r>
        <w:rPr>
          <w:b/>
          <w:bCs/>
          <w:color w:val="582873"/>
        </w:rPr>
        <w:t xml:space="preserve">Specifically, this KDD aims to solve the following:</w:t>
      </w:r>
    </w:p>
    <w:p>
      <w:pPr>
        <w:pStyle w:val="ListParagraph"/>
        <w:numPr>
          <w:ilvl w:val="0"/>
          <w:numId w:val="2"/>
        </w:numPr>
        <w:spacing w:after="60" w:line="252"/>
      </w:pPr>
      <w:r>
        <w:t xml:space="preserve">Select one of three platform strategies: </w:t>
      </w:r>
      <w:r>
        <w:rPr>
          <w:b/>
          <w:bCs/>
        </w:rPr>
        <w:t xml:space="preserve">A</w:t>
      </w:r>
      <w:r>
        <w:t xml:space="preserve"> (Commvault everywhere), </w:t>
      </w:r>
      <w:r>
        <w:rPr>
          <w:b/>
          <w:bCs/>
        </w:rPr>
        <w:t xml:space="preserve">B</w:t>
      </w:r>
      <w:r>
        <w:t xml:space="preserve"> (Commvault on-premises + Rubrik for cloud) or </w:t>
      </w:r>
      <w:r>
        <w:rPr>
          <w:b/>
          <w:bCs/>
        </w:rPr>
        <w:t xml:space="preserve">C</w:t>
      </w:r>
      <w:r>
        <w:t xml:space="preserve"> (Rubrik replaces Commvault everywhere), with Azure Backup assessed as the native baseline.</w:t>
      </w:r>
    </w:p>
    <w:p>
      <w:pPr>
        <w:pStyle w:val="ListParagraph"/>
        <w:numPr>
          <w:ilvl w:val="0"/>
          <w:numId w:val="2"/>
        </w:numPr>
        <w:spacing w:after="60" w:line="252"/>
      </w:pPr>
      <w:r>
        <w:t xml:space="preserve">Preserve the business-signed RPO/RTO already achieved on-premises.</w:t>
      </w:r>
    </w:p>
    <w:p>
      <w:pPr>
        <w:pStyle w:val="ListParagraph"/>
        <w:numPr>
          <w:ilvl w:val="0"/>
          <w:numId w:val="2"/>
        </w:numPr>
        <w:spacing w:after="60" w:line="252"/>
      </w:pPr>
      <w:r>
        <w:t xml:space="preserve">Close the confirmed gaps: no cloud off-site copy, no DevOps/GitHub backup, no cloud resource and configuration recovery, limited cross-subscription restore.</w:t>
      </w:r>
    </w:p>
    <w:p>
      <w:pPr>
        <w:pStyle w:val="ListParagraph"/>
        <w:numPr>
          <w:ilvl w:val="0"/>
          <w:numId w:val="2"/>
        </w:numPr>
        <w:spacing w:after="60" w:line="252"/>
      </w:pPr>
      <w:r>
        <w:t xml:space="preserve">Protect the full on-premises and Azure workload list, including modernised PaaS and serverless, and extend to AWS, GCP and other clouds without re-platforming.</w:t>
      </w:r>
    </w:p>
    <w:p>
      <w:pPr>
        <w:pStyle w:val="ListParagraph"/>
        <w:numPr>
          <w:ilvl w:val="0"/>
          <w:numId w:val="2"/>
        </w:numPr>
        <w:spacing w:after="60" w:line="252"/>
      </w:pPr>
      <w:r>
        <w:t xml:space="preserve">Keep all copies, metadata and management services in Canadian regions.</w:t>
      </w:r>
    </w:p>
    <w:p>
      <w:pPr>
        <w:pStyle w:val="ListParagraph"/>
        <w:numPr>
          <w:ilvl w:val="0"/>
          <w:numId w:val="2"/>
        </w:numPr>
        <w:spacing w:after="60" w:line="252"/>
      </w:pPr>
      <w:r>
        <w:t xml:space="preserve">Apply one governed security and privileged-access model, and give Finance a comparable 5-year ROM cost view.</w:t>
      </w:r>
    </w:p>
    <w:p>
      <w:pPr>
        <w:pStyle w:val="Heading2"/>
      </w:pPr>
      <w:bookmarkStart w:id="905" w:name="_Toc1005"/>
      <w:r>
        <w:t xml:space="preserve">1.2   Assumptions</w:t>
      </w:r>
      <w:bookmarkEnd w:id="90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2300"/>
        <w:gridCol w:w="1500"/>
      </w:tblGrid>
      <w:tr>
        <w:trPr>
          <w:cantSplit/>
          <w:tblHeader/>
        </w:trPr>
        <w:tc>
          <w:tcPr>
            <w:tcW w:type="dxa" w:w="6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ID</w:t>
            </w:r>
          </w:p>
        </w:tc>
        <w:tc>
          <w:tcPr>
            <w:tcW w:type="dxa" w:w="49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Assumption</w:t>
            </w:r>
          </w:p>
        </w:tc>
        <w:tc>
          <w:tcPr>
            <w:tcW w:type="dxa" w:w="23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Impact if wrong</w:t>
            </w:r>
          </w:p>
        </w:tc>
        <w:tc>
          <w:tcPr>
            <w:tcW w:type="dxa" w:w="15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Owner</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A1</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Four on-premises DCs: active DC + 3 replica DCs. HyperScale X at 3 DCs (assumed to include the active DC); standalone MediaAgent with disk library at 1 DC.</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Copy placement and immutability design per site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Backup Lead</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A2</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2 PB is back-end data across all on-premises copies; front-end protected data (FETB) is ~500 TB, growing 15%/yr.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Licence and cloud-copy quantities scale ~4× if 2 PB is front-end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Backup Lead</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A3</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On-premises RPO/RTO meets business sign-off; evidence from recent restore tests is available.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Scoring for "proven RPO/RTO" changes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Business / Service Owner</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A4</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Cloud off-site copy: Tier-0/1 (~30% of FETB) to an immutable managed vault; Tier-2/3 (~70%) to customer immutable Blob; Canada Central + Canada East.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Cloud storage cost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Backup Lead</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A5</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10 Gbps ExpressRoute (new or shared) for backup traffic; Azure Data Box for the initial seed (~750 TB back-end).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Seeding time and cost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Network Lead</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A6</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Azure FETB ~100 TB (+25%/yr); AWS + GCP 40 / 80 / 120 TB in Years 3–5; ~600 DevOps users.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Cloud-scope cost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Cloud / DevOps Leads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A7</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Cloud resource and configuration recovery licensed per cloud environment at ~USD 60k/yr per cloud (indicative).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Cloud-scope cost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Procurement</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A8</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Option C: Rubrik on-premises metered on FETB (requires negotiation; vendor default is BETB); new Rubrik clusters at 4 sites; Commvault kept restore-only until legacy retention expires (up to 7 years).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Option C cost and risk</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Procurement / Backup Lead</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A9</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All copies must stay in Canadian regions; Entra ID (PIM, Conditional Access) and enterprise PAM are available.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Region and access design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Compliance / IAM</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A10</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Prices are indicative list prices at 1.37 CAD/USD, not quotes. Costs are ROM estimates (−25% / +40%).</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Final cost may move materially after negotiation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Procurement</w:t>
            </w:r>
          </w:p>
        </w:tc>
      </w:tr>
    </w:tbl>
    <w:p>
      <w:pPr>
        <w:pStyle w:val="Heading2"/>
      </w:pPr>
      <w:bookmarkStart w:id="906" w:name="_Toc1006"/>
      <w:r>
        <w:t xml:space="preserve">1.3   Use Cases In Scope</w:t>
      </w:r>
      <w:bookmarkEnd w:id="906"/>
    </w:p>
    <w:p>
      <w:pPr>
        <w:spacing w:after="120" w:line="264"/>
      </w:pPr>
      <w:r>
        <w:t xml:space="preserve">The table shows which platform delivers each use case under each option. "Validate" means the capability must be proven in the proof of concept (PoC) or confirmed in writing by the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900"/>
        <w:gridCol w:w="1900"/>
        <w:gridCol w:w="1900"/>
        <w:gridCol w:w="1900"/>
      </w:tblGrid>
      <w:tr>
        <w:trPr>
          <w:cantSplit/>
          <w:tblHeader/>
        </w:trPr>
        <w:tc>
          <w:tcPr>
            <w:tcW w:type="dxa" w:w="7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ID</w:t>
            </w:r>
          </w:p>
        </w:tc>
        <w:tc>
          <w:tcPr>
            <w:tcW w:type="dxa" w:w="29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Use case</w:t>
            </w:r>
          </w:p>
        </w:tc>
        <w:tc>
          <w:tcPr>
            <w:tcW w:type="dxa" w:w="19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Option A</w:t>
            </w:r>
          </w:p>
        </w:tc>
        <w:tc>
          <w:tcPr>
            <w:tcW w:type="dxa" w:w="19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Option B</w:t>
            </w:r>
          </w:p>
        </w:tc>
        <w:tc>
          <w:tcPr>
            <w:tcW w:type="dxa" w:w="19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Option C</w:t>
            </w:r>
          </w:p>
        </w:tc>
      </w:tr>
      <w:tr>
        <w:trPr>
          <w:cantSplit/>
        </w:trPr>
        <w:tc>
          <w:tcPr>
            <w:tcW w:type="dxa" w:w="9360"/>
            <w:gridSpan w:val="5"/>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sz w:val="16"/>
                <w:szCs w:val="16"/>
              </w:rPr>
              <w:t xml:space="preserve">On-premises</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UC-01</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VMware on Cisco UCS (agentless, instant recovery)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 (existing)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 (existing)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(new)</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UC-02</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Physical UCS Windows/Linux, bare-metal recovery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(Linux BMR: validate)</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UC-03</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IBM AIX</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(AIX 7.3: validate)</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UC-04</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Oracle on-premises (RMAN, RAC/ASM)</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UC-05</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Multi-site replication (active DC to 3 DCs)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 DASH</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 DASH</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replication (new clusters)</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UC-06</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Immutable cloud off-site copy of on-premises backups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 AirGap + Blob</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 AirGap + Blob</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Cloud Vault</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UC-07</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Legacy backup retention (up to 7 years)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Same platform</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Same platform</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 restore-only tail</w:t>
            </w:r>
          </w:p>
        </w:tc>
      </w:tr>
      <w:tr>
        <w:trPr>
          <w:cantSplit/>
        </w:trPr>
        <w:tc>
          <w:tcPr>
            <w:tcW w:type="dxa" w:w="9360"/>
            <w:gridSpan w:val="5"/>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sz w:val="16"/>
                <w:szCs w:val="16"/>
              </w:rPr>
              <w:t xml:space="preserve">SaaS and DevOps</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UC-08</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Microsoft 365 (incl. Teams)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 (existing)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 (existing)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(migrate)</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UC-09</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Azure DevOps Services / GitHub Enterprise Cloud (SaaS)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 or Rubrik</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(validate)</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UC-10</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Azure DevOps Server / GitHub Enterprise Server on Azure VMs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 SQL agent + backup-utils host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SQL + VM (validate)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SQL + VM (validate)</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UC-11</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Pre-merge triggered backup of protected branches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Pipeline gate + Commvault API</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Pipeline gate + Rubrik API (validate)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Pipeline gate + Rubrik API (validate)</w:t>
            </w:r>
          </w:p>
        </w:tc>
      </w:tr>
      <w:tr>
        <w:trPr>
          <w:cantSplit/>
        </w:trPr>
        <w:tc>
          <w:tcPr>
            <w:tcW w:type="dxa" w:w="9360"/>
            <w:gridSpan w:val="5"/>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sz w:val="16"/>
                <w:szCs w:val="16"/>
              </w:rPr>
              <w:t xml:space="preserve">Azure data</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UC-12</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Windows/Linux VMs; SQL Server and Oracle on VMs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UC-13</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Azure SQL Database / SQL Managed Instance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Native PITR/LTR + Commvault copy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Native PITR/LTR + Rubrik copy (validate)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Native PITR/LTR + Rubrik copy (validate)</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UC-14</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Blob / ADLS / Azure Files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(Files, ADLS: validate)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(Files, ADLS: validate)</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UC-15</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AKS persistent data and Kubernetes objects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(validate)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(validate)</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UC-16</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PaaS databases (PostgreSQL, MySQL, Cosmos DB)</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 (validate)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Validate; else Azure Backup</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Validate; else Azure Backup</w:t>
            </w:r>
          </w:p>
        </w:tc>
      </w:tr>
      <w:tr>
        <w:trPr>
          <w:cantSplit/>
        </w:trPr>
        <w:tc>
          <w:tcPr>
            <w:tcW w:type="dxa" w:w="9360"/>
            <w:gridSpan w:val="5"/>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sz w:val="16"/>
                <w:szCs w:val="16"/>
              </w:rPr>
              <w:t xml:space="preserve">Cloud resources and configuration</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UC-17</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Rebuild deleted resource group, VNet, Logic App, Function App, Synapse workspace or AKS cluster, then restore data</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 Cloud Rewind (validate service list)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Separate tool + IaC</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Separate tool + IaC</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UC-18</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Same capability for AWS (VPC, Lambda, EKS, RDS) and GCP (VPC, Cloud Functions, GKE)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Cloud Rewind (AWS, Azure, GCP)</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Separate tool per cloud</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Separate tool per cloud</w:t>
            </w:r>
          </w:p>
        </w:tc>
      </w:tr>
      <w:tr>
        <w:trPr>
          <w:cantSplit/>
        </w:trPr>
        <w:tc>
          <w:tcPr>
            <w:tcW w:type="dxa" w:w="9360"/>
            <w:gridSpan w:val="5"/>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sz w:val="16"/>
                <w:szCs w:val="16"/>
              </w:rPr>
              <w:t xml:space="preserve">Multi-cloud, restore and cyber recovery</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UC-19</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AWS / GCP / OCI data protection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(OCI: validate)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(OCI: validate)</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UC-20</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Restore VMs, PaaS and environments to another subscription (same tenant)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 out-of-place + Cloud Rewind</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export + separate tool (validate)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export + separate tool (validate)</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UC-21</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Cyber recovery: threat scan, clean-room recovery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Commvault Threat Scan + Cleanroom</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Split across platforms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Threat Hunting + Cyber Recovery</w:t>
            </w:r>
          </w:p>
        </w:tc>
      </w:tr>
    </w:tbl>
    <w:p>
      <w:pPr>
        <w:spacing w:after="160" w:before="60"/>
      </w:pPr>
      <w:r>
        <w:rPr>
          <w:b/>
          <w:bCs/>
          <w:i/>
          <w:iCs/>
          <w:color w:val="404040"/>
          <w:sz w:val="18"/>
          <w:szCs w:val="18"/>
        </w:rPr>
        <w:t xml:space="preserve">Out of scope:</w:t>
      </w:r>
      <w:r>
        <w:rPr>
          <w:i/>
          <w:iCs/>
          <w:color w:val="404040"/>
          <w:sz w:val="18"/>
          <w:szCs w:val="18"/>
        </w:rPr>
        <w:t xml:space="preserve"> endpoint/laptop, Salesforce and Dynamics protection; application high availability (SQL Always On, Oracle Data Guard) and primary storage replication; commercial negotiation outcomes.</w:t>
      </w:r>
    </w:p>
    <w:p>
      <w:pPr>
        <w:pStyle w:val="Heading2"/>
      </w:pPr>
      <w:bookmarkStart w:id="907" w:name="_Toc1007"/>
      <w:r>
        <w:t xml:space="preserve">1.4   Privileged Access as the Access Layer</w:t>
      </w:r>
      <w:bookmarkEnd w:id="907"/>
    </w:p>
    <w:p>
      <w:pPr>
        <w:spacing w:after="120" w:line="264"/>
      </w:pPr>
      <w:r>
        <w:t xml:space="preserve">All options sit behind one privileged-access layer. The cloud off-site copy and the cloud configuration-recovery service must not be deletable with the credentials that manage on-premises backups or production cloud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Control</w:t>
            </w:r>
          </w:p>
        </w:tc>
        <w:tc>
          <w:tcPr>
            <w:tcW w:type="dxa" w:w="68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Requirement (all options)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Identity</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Entra ID SSO for every console; local accounts limited to vaulted break-glass.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Separate admin identities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Dedicated backup admin accounts; backup infrastructure (CommServe, HyperScale X, MediaAgent) isolated from production AD where possible.</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MFA</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Phishing-resistant MFA (FIDO2 / Windows Hello for Business) via Conditional Access.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Just-in-time elevation</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Entra PIM for Azure roles; PAM checkout for console admin roles.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Session control</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PAM jump hosts with session recording for on-premises consoles and HyperScale X nodes.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Cloud discovery vs. rebuild identities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Discovery uses read-only roles. Rebuild/restore roles (Contributor in a target scope) are separate and granted just-in-time with approval.</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Separation of the cloud copy</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Managed vault in a vendor-managed tenant + customer Blob in a dedicated backup subscription with its own Owner group, Resource Guard/MUA and locked retention.</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Multi-person approval</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Commvault Multi-Person Authorization, Rubrik Quorum Authorization or Azure Backup MUA for deletion, retention reduction and lock changes.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Preventive cloud guardrails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Resource locks on critical RGs/VNets, Azure Policy deny rules, Key Vault soft-delete and purge protection.</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Logging</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All audit logs to Microsoft Sentinel; alerts on retention changes, mass deletion, lock removal, RG/VNet deletion and break-glass use.</w:t>
            </w:r>
          </w:p>
        </w:tc>
      </w:tr>
    </w:tbl>
    <w:p>
      <w:pPr>
        <w:pStyle w:val="Heading1"/>
        <w:pageBreakBefore/>
      </w:pPr>
      <w:bookmarkStart w:id="908" w:name="_Toc1008"/>
      <w:r>
        <w:t xml:space="preserve">2   Decision Criteria</w:t>
      </w:r>
      <w:bookmarkEnd w:id="908"/>
    </w:p>
    <w:p>
      <w:pPr>
        <w:spacing w:after="120" w:line="264"/>
      </w:pPr>
      <w:r>
        <w:t xml:space="preserve">The options are evaluated against six criteria: </w:t>
      </w:r>
      <w:r>
        <w:rPr>
          <w:b/>
          <w:bCs/>
        </w:rPr>
        <w:t xml:space="preserve">cost</w:t>
      </w:r>
      <w:r>
        <w:t xml:space="preserve"> (5-year ROM), </w:t>
      </w:r>
      <w:r>
        <w:rPr>
          <w:b/>
          <w:bCs/>
        </w:rPr>
        <w:t xml:space="preserve">functional fit</w:t>
      </w:r>
      <w:r>
        <w:t xml:space="preserve"> (on-premises, cloud off-site copy, DevOps, modernised cloud workloads, cloud resource and configuration recovery, cross-subscription restore), </w:t>
      </w:r>
      <w:r>
        <w:rPr>
          <w:b/>
          <w:bCs/>
        </w:rPr>
        <w:t xml:space="preserve">preservation of business-signed RPO/RTO</w:t>
      </w:r>
      <w:r>
        <w:t xml:space="preserve">, </w:t>
      </w:r>
      <w:r>
        <w:rPr>
          <w:b/>
          <w:bCs/>
        </w:rPr>
        <w:t xml:space="preserve">management complexity</w:t>
      </w:r>
      <w:r>
        <w:t xml:space="preserve">, </w:t>
      </w:r>
      <w:r>
        <w:rPr>
          <w:b/>
          <w:bCs/>
        </w:rPr>
        <w:t xml:space="preserve">future equivalent capability</w:t>
      </w:r>
      <w:r>
        <w:t xml:space="preserve"> (any cloud without re-platforming) and </w:t>
      </w:r>
      <w:r>
        <w:rPr>
          <w:b/>
          <w:bCs/>
        </w:rPr>
        <w:t xml:space="preserve">security</w:t>
      </w:r>
      <w:r>
        <w:t xml:space="preserve">. Scores use a 1–5 scale (5 = most favourable). The requirements below are the basis for the functional-fit assessment; Appendix B traces each requirement to the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260"/>
        <w:gridCol w:w="1400"/>
      </w:tblGrid>
      <w:tr>
        <w:trPr>
          <w:cantSplit/>
          <w:tblHeader/>
        </w:trPr>
        <w:tc>
          <w:tcPr>
            <w:tcW w:type="dxa" w:w="7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ID</w:t>
            </w:r>
          </w:p>
        </w:tc>
        <w:tc>
          <w:tcPr>
            <w:tcW w:type="dxa" w:w="72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Requirement</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Priority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R1</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All copies, metadata and management services remain in Canadian regions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Constraint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R2</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Preserve the business-signed on-premises RPO/RTO; no regression during transition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R3</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3-2-1-1-0 copy model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R4</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Multi-site replication from the active DC to three DCs retained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R5</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Immutable cloud off-site copy of on-premises Tier-0/1 (and Tier-2/3 long retention)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R6</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Azure DevOps and GitHub protected (self-hosted and SaaS) with immutable retention, including metadata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R7</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All listed Azure workloads and modernised PaaS, serverless and containers covered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R8</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Recovery of deleted cloud resources and configuration in Azure, AWS, GCP and other clouds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R9</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AWS, GCP and other clouds supported without re-platforming</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R10</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Single pane for policy, monitoring and reporting; Entra ID, PAM, Sentinel and ITSM integration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R11</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Predictable licensing; protect existing HyperScale X investment where possible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Should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R12</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Event-driven backup of protected branches before pull-request merge (plus post-merge and daily)</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R13</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Restore VMs, PaaS and SaaS-backed data to another subscription in the same Entra tenant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Must</w:t>
            </w:r>
          </w:p>
        </w:tc>
      </w:tr>
    </w:tbl>
    <w:p>
      <w:pPr>
        <w:pStyle w:val="Heading2"/>
      </w:pPr>
      <w:bookmarkStart w:id="909" w:name="_Toc1009"/>
      <w:r>
        <w:t xml:space="preserve">2.1   Alternatives to the Decision</w:t>
      </w:r>
      <w:bookmarkEnd w:id="909"/>
    </w:p>
    <w:p>
      <w:pPr>
        <w:keepNext/>
        <w:spacing w:after="40" w:before="120"/>
        <w:jc w:val="center"/>
      </w:pPr>
      <w:r>
        <w:drawing>
          <wp:inline distT="0" distB="0" distL="0" distR="0">
            <wp:extent cx="5943600" cy="2593571"/>
            <wp:effectExtent t="0" r="0" b="0" l="0"/>
            <wp:docPr id="1" name="options.png" descr="options.png" titl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93571"/>
                    </a:xfrm>
                    <a:prstGeom prst="rect">
                      <a:avLst/>
                    </a:prstGeom>
                  </pic:spPr>
                </pic:pic>
              </a:graphicData>
            </a:graphic>
          </wp:inline>
        </w:drawing>
      </w:r>
    </w:p>
    <w:p>
      <w:pPr>
        <w:spacing w:after="200" w:before="60"/>
      </w:pPr>
      <w:r>
        <w:rPr>
          <w:i/>
          <w:iCs/>
          <w:color w:val="595959"/>
          <w:sz w:val="18"/>
          <w:szCs w:val="18"/>
        </w:rPr>
        <w:t xml:space="preserve">Figure 1: Options A, B and C at a glance.</w:t>
      </w:r>
    </w:p>
    <w:p>
      <w:pPr>
        <w:pStyle w:val="Heading3"/>
      </w:pPr>
      <w:bookmarkStart w:id="910" w:name="_Toc1010"/>
      <w:r>
        <w:t xml:space="preserve">2.1.1   Option A: Commvault On-Premises + Commvault for Multi-Cloud Workloads</w:t>
      </w:r>
      <w:bookmarkEnd w:id="910"/>
    </w:p>
    <w:p>
      <w:pPr>
        <w:spacing w:after="120" w:line="264"/>
      </w:pPr>
      <w:r>
        <w:t xml:space="preserve">Commvault continues on the existing HyperScale X clusters (3 DCs) and MediaAgent (1 DC), and extends to the immutable cloud off-site copy, Azure DevOps and GitHub, all Azure workloads, cloud resource and configuration recovery (Cloud Rewind), and AWS, GCP and OCI.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Pros</w:t>
            </w:r>
          </w:p>
        </w:tc>
        <w:tc>
          <w:tcPr>
            <w:tcW w:type="dxa" w:w="46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Cons</w:t>
            </w:r>
          </w:p>
        </w:tc>
      </w:tr>
      <w:tr>
        <w:trPr>
          <w:cantSplit/>
        </w:trP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3"/>
              </w:numPr>
              <w:spacing w:after="30"/>
            </w:pPr>
            <w:r>
              <w:rPr>
                <w:sz w:val="17"/>
                <w:szCs w:val="17"/>
              </w:rPr>
              <w:t xml:space="preserve">Keeps the platform that already meets business-signed RPO/RTO: no regression risk.</w:t>
            </w:r>
          </w:p>
          <w:p>
            <w:pPr>
              <w:pStyle w:val="ListParagraph"/>
              <w:numPr>
                <w:ilvl w:val="0"/>
                <w:numId w:val="3"/>
              </w:numPr>
              <w:spacing w:after="30"/>
            </w:pPr>
            <w:r>
              <w:rPr>
                <w:sz w:val="17"/>
                <w:szCs w:val="17"/>
              </w:rPr>
              <w:t xml:space="preserve">Reuses the HyperScale X and MediaAgent investment, skills and runbooks.</w:t>
            </w:r>
          </w:p>
          <w:p>
            <w:pPr>
              <w:pStyle w:val="ListParagraph"/>
              <w:numPr>
                <w:ilvl w:val="0"/>
                <w:numId w:val="3"/>
              </w:numPr>
              <w:spacing w:after="30"/>
            </w:pPr>
            <w:r>
              <w:rPr>
                <w:sz w:val="17"/>
                <w:szCs w:val="17"/>
              </w:rPr>
              <w:t xml:space="preserve">One control plane, catalogue and policy model across 4 sites, cloud copy, SaaS, DevOps, data and cloud configuration.</w:t>
            </w:r>
          </w:p>
          <w:p>
            <w:pPr>
              <w:pStyle w:val="ListParagraph"/>
              <w:numPr>
                <w:ilvl w:val="0"/>
                <w:numId w:val="3"/>
              </w:numPr>
              <w:spacing w:after="30"/>
            </w:pPr>
            <w:r>
              <w:rPr>
                <w:sz w:val="17"/>
                <w:szCs w:val="17"/>
              </w:rPr>
              <w:t xml:space="preserve">Cloud Rewind adds multi-cloud resource and configuration rebuild from the same vendor.</w:t>
            </w:r>
          </w:p>
          <w:p>
            <w:pPr>
              <w:pStyle w:val="ListParagraph"/>
              <w:numPr>
                <w:ilvl w:val="0"/>
                <w:numId w:val="3"/>
              </w:numPr>
              <w:spacing w:after="30"/>
            </w:pPr>
            <w:r>
              <w:rPr>
                <w:sz w:val="17"/>
                <w:szCs w:val="17"/>
              </w:rPr>
              <w:t xml:space="preserve">Lowest ROM cost and implementation effort.</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3"/>
              </w:numPr>
              <w:spacing w:after="30"/>
            </w:pPr>
            <w:r>
              <w:rPr>
                <w:sz w:val="17"/>
                <w:szCs w:val="17"/>
              </w:rPr>
              <w:t xml:space="preserve">Single-vendor concentration.</w:t>
            </w:r>
          </w:p>
          <w:p>
            <w:pPr>
              <w:pStyle w:val="ListParagraph"/>
              <w:numPr>
                <w:ilvl w:val="0"/>
                <w:numId w:val="3"/>
              </w:numPr>
              <w:spacing w:after="30"/>
            </w:pPr>
            <w:r>
              <w:rPr>
                <w:sz w:val="17"/>
                <w:szCs w:val="17"/>
              </w:rPr>
              <w:t xml:space="preserve">Security baseline must be enforced; not all defaults are secure.</w:t>
            </w:r>
          </w:p>
          <w:p>
            <w:pPr>
              <w:pStyle w:val="ListParagraph"/>
              <w:numPr>
                <w:ilvl w:val="0"/>
                <w:numId w:val="3"/>
              </w:numPr>
              <w:spacing w:after="30"/>
            </w:pPr>
            <w:r>
              <w:rPr>
                <w:sz w:val="17"/>
                <w:szCs w:val="17"/>
              </w:rPr>
              <w:t xml:space="preserve">Cloud Rewind coverage for Logic Apps, Synapse and Function App plans to validate.</w:t>
            </w:r>
          </w:p>
          <w:p>
            <w:pPr>
              <w:pStyle w:val="ListParagraph"/>
              <w:numPr>
                <w:ilvl w:val="0"/>
                <w:numId w:val="3"/>
              </w:numPr>
              <w:spacing w:after="30"/>
            </w:pPr>
            <w:r>
              <w:rPr>
                <w:sz w:val="17"/>
                <w:szCs w:val="17"/>
              </w:rPr>
              <w:t xml:space="preserve">GitHub metadata gaps need compensating exports.</w:t>
            </w:r>
          </w:p>
          <w:p>
            <w:pPr>
              <w:pStyle w:val="ListParagraph"/>
              <w:numPr>
                <w:ilvl w:val="0"/>
                <w:numId w:val="3"/>
              </w:numPr>
              <w:spacing w:after="30"/>
            </w:pPr>
            <w:r>
              <w:rPr>
                <w:sz w:val="17"/>
                <w:szCs w:val="17"/>
              </w:rPr>
              <w:t xml:space="preserve">MediaAgent site may need a refresh for WORM capability.</w:t>
            </w:r>
          </w:p>
        </w:tc>
      </w:tr>
    </w:tbl>
    <w:p>
      <w:pPr>
        <w:pStyle w:val="Heading3"/>
      </w:pPr>
      <w:bookmarkStart w:id="911" w:name="_Toc1011"/>
      <w:r>
        <w:t xml:space="preserve">2.1.2   Option B: Commvault On-Premises + Rubrik for Multi-Cloud Workloads</w:t>
      </w:r>
      <w:bookmarkEnd w:id="911"/>
    </w:p>
    <w:p>
      <w:pPr>
        <w:spacing w:after="120" w:line="264"/>
      </w:pPr>
      <w:r>
        <w:t xml:space="preserve">Commvault remains on-premises (HyperScale X and MediaAgent), for the cloud off-site copy of on-premises data and for Microsoft 365. Rubrik Security Cloud protects Azure, AWS and GCP workloads. A separate tool or IaC-only approach provides cloud resource and configuration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Pros</w:t>
            </w:r>
          </w:p>
        </w:tc>
        <w:tc>
          <w:tcPr>
            <w:tcW w:type="dxa" w:w="46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Cons</w:t>
            </w:r>
          </w:p>
        </w:tc>
      </w:tr>
      <w:tr>
        <w:trPr>
          <w:cantSplit/>
        </w:trP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3"/>
              </w:numPr>
              <w:spacing w:after="30"/>
            </w:pPr>
            <w:r>
              <w:rPr>
                <w:sz w:val="17"/>
                <w:szCs w:val="17"/>
              </w:rPr>
              <w:t xml:space="preserve">On-premises RPO/RTO preserved (no on-premises change).</w:t>
            </w:r>
          </w:p>
          <w:p>
            <w:pPr>
              <w:pStyle w:val="ListParagraph"/>
              <w:numPr>
                <w:ilvl w:val="0"/>
                <w:numId w:val="3"/>
              </w:numPr>
              <w:spacing w:after="30"/>
            </w:pPr>
            <w:r>
              <w:rPr>
                <w:sz w:val="17"/>
                <w:szCs w:val="17"/>
              </w:rPr>
              <w:t xml:space="preserve">Strong default cyber posture for the cloud data tier.</w:t>
            </w:r>
          </w:p>
          <w:p>
            <w:pPr>
              <w:pStyle w:val="ListParagraph"/>
              <w:numPr>
                <w:ilvl w:val="0"/>
                <w:numId w:val="3"/>
              </w:numPr>
              <w:spacing w:after="30"/>
            </w:pPr>
            <w:r>
              <w:rPr>
                <w:sz w:val="17"/>
                <w:szCs w:val="17"/>
              </w:rPr>
              <w:t xml:space="preserve">Platform diversity between tiers.</w:t>
            </w:r>
          </w:p>
          <w:p>
            <w:pPr>
              <w:pStyle w:val="ListParagraph"/>
              <w:numPr>
                <w:ilvl w:val="0"/>
                <w:numId w:val="3"/>
              </w:numPr>
              <w:spacing w:after="30"/>
            </w:pPr>
            <w:r>
              <w:rPr>
                <w:sz w:val="17"/>
                <w:szCs w:val="17"/>
              </w:rPr>
              <w:t xml:space="preserve">HyperScale X investment retained.</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3"/>
              </w:numPr>
              <w:spacing w:after="30"/>
            </w:pPr>
            <w:r>
              <w:rPr>
                <w:sz w:val="17"/>
                <w:szCs w:val="17"/>
              </w:rPr>
              <w:t xml:space="preserve">Two to three control planes (Commvault, Rubrik, configuration-recovery tool) and two vault estates.</w:t>
            </w:r>
          </w:p>
          <w:p>
            <w:pPr>
              <w:pStyle w:val="ListParagraph"/>
              <w:numPr>
                <w:ilvl w:val="0"/>
                <w:numId w:val="3"/>
              </w:numPr>
              <w:spacing w:after="30"/>
            </w:pPr>
            <w:r>
              <w:rPr>
                <w:sz w:val="17"/>
                <w:szCs w:val="17"/>
              </w:rPr>
              <w:t xml:space="preserve">No single catalogue or clean-room path during a cyber event.</w:t>
            </w:r>
          </w:p>
          <w:p>
            <w:pPr>
              <w:pStyle w:val="ListParagraph"/>
              <w:numPr>
                <w:ilvl w:val="0"/>
                <w:numId w:val="3"/>
              </w:numPr>
              <w:spacing w:after="30"/>
            </w:pPr>
            <w:r>
              <w:rPr>
                <w:sz w:val="17"/>
                <w:szCs w:val="17"/>
              </w:rPr>
              <w:t xml:space="preserve">Configuration recovery not covered by Rubrik; extra tool per cloud.</w:t>
            </w:r>
          </w:p>
          <w:p>
            <w:pPr>
              <w:pStyle w:val="ListParagraph"/>
              <w:numPr>
                <w:ilvl w:val="0"/>
                <w:numId w:val="3"/>
              </w:numPr>
              <w:spacing w:after="30"/>
            </w:pPr>
            <w:r>
              <w:rPr>
                <w:sz w:val="17"/>
                <w:szCs w:val="17"/>
              </w:rPr>
              <w:t xml:space="preserve">Higher cost and ~1.0–1.2 FTE additional operations effort.</w:t>
            </w:r>
          </w:p>
          <w:p>
            <w:pPr>
              <w:pStyle w:val="ListParagraph"/>
              <w:numPr>
                <w:ilvl w:val="0"/>
                <w:numId w:val="3"/>
              </w:numPr>
              <w:spacing w:after="30"/>
            </w:pPr>
            <w:r>
              <w:rPr>
                <w:sz w:val="17"/>
                <w:szCs w:val="17"/>
              </w:rPr>
              <w:t xml:space="preserve">Rubrik Security Cloud metadata residency to confirm.</w:t>
            </w:r>
          </w:p>
        </w:tc>
      </w:tr>
    </w:tbl>
    <w:p>
      <w:pPr>
        <w:pStyle w:val="Heading3"/>
      </w:pPr>
      <w:bookmarkStart w:id="912" w:name="_Toc1012"/>
      <w:r>
        <w:t xml:space="preserve">2.1.3   Option C: Rubrik On-Premises + Multi-Cloud Workloads (Replace Commvault)</w:t>
      </w:r>
      <w:bookmarkEnd w:id="912"/>
    </w:p>
    <w:p>
      <w:pPr>
        <w:spacing w:after="120" w:line="264"/>
      </w:pPr>
      <w:r>
        <w:t xml:space="preserve">Rubrik replaces Commvault across all four DCs (new Rubrik clusters or certified hardware in place of HyperScale X and the MediaAgent), Microsoft 365, DevOps, the cloud off-site copy (Rubrik Cloud Vault) and all cloud workloads. Commvault remains restore-only until legacy retention expires.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Pros</w:t>
            </w:r>
          </w:p>
        </w:tc>
        <w:tc>
          <w:tcPr>
            <w:tcW w:type="dxa" w:w="46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Cons</w:t>
            </w:r>
          </w:p>
        </w:tc>
      </w:tr>
      <w:tr>
        <w:trPr>
          <w:cantSplit/>
        </w:trP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3"/>
              </w:numPr>
              <w:spacing w:after="30"/>
            </w:pPr>
            <w:r>
              <w:rPr>
                <w:sz w:val="17"/>
                <w:szCs w:val="17"/>
              </w:rPr>
              <w:t xml:space="preserve">Single modern platform after migration; simplest day-to-day administration.</w:t>
            </w:r>
          </w:p>
          <w:p>
            <w:pPr>
              <w:pStyle w:val="ListParagraph"/>
              <w:numPr>
                <w:ilvl w:val="0"/>
                <w:numId w:val="3"/>
              </w:numPr>
              <w:spacing w:after="30"/>
            </w:pPr>
            <w:r>
              <w:rPr>
                <w:sz w:val="17"/>
                <w:szCs w:val="17"/>
              </w:rPr>
              <w:t xml:space="preserve">Strongest default security: always-on immutability, Quorum Authorization, Retention Lock, Threat Hunting.</w:t>
            </w:r>
          </w:p>
          <w:p>
            <w:pPr>
              <w:pStyle w:val="ListParagraph"/>
              <w:numPr>
                <w:ilvl w:val="0"/>
                <w:numId w:val="3"/>
              </w:numPr>
              <w:spacing w:after="30"/>
            </w:pPr>
            <w:r>
              <w:rPr>
                <w:sz w:val="17"/>
                <w:szCs w:val="17"/>
              </w:rPr>
              <w:t xml:space="preserve">Ransomware Recovery Warranty (Enterprise Edition, conditions apply).</w:t>
            </w:r>
          </w:p>
          <w:p>
            <w:pPr>
              <w:pStyle w:val="ListParagraph"/>
              <w:numPr>
                <w:ilvl w:val="0"/>
                <w:numId w:val="3"/>
              </w:numPr>
              <w:spacing w:after="30"/>
            </w:pPr>
            <w:r>
              <w:rPr>
                <w:sz w:val="17"/>
                <w:szCs w:val="17"/>
              </w:rPr>
              <w:t xml:space="preserve">Lower steady-state core staffing (~2.3 vs. 3.0 FTE).</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numPr>
                <w:ilvl w:val="0"/>
                <w:numId w:val="3"/>
              </w:numPr>
              <w:spacing w:after="30"/>
            </w:pPr>
            <w:r>
              <w:rPr>
                <w:sz w:val="17"/>
                <w:szCs w:val="17"/>
              </w:rPr>
              <w:t xml:space="preserve">Replaces a platform that already meets business-signed RPO/RTO; RPO/RTO must be re-proven for every tier.</w:t>
            </w:r>
          </w:p>
          <w:p>
            <w:pPr>
              <w:pStyle w:val="ListParagraph"/>
              <w:numPr>
                <w:ilvl w:val="0"/>
                <w:numId w:val="3"/>
              </w:numPr>
              <w:spacing w:after="30"/>
            </w:pPr>
            <w:r>
              <w:rPr>
                <w:sz w:val="17"/>
                <w:szCs w:val="17"/>
              </w:rPr>
              <w:t xml:space="preserve">HyperScale X and MediaAgent investment stranded unless hardware is Rubrik-certified.</w:t>
            </w:r>
          </w:p>
          <w:p>
            <w:pPr>
              <w:pStyle w:val="ListParagraph"/>
              <w:numPr>
                <w:ilvl w:val="0"/>
                <w:numId w:val="3"/>
              </w:numPr>
              <w:spacing w:after="30"/>
            </w:pPr>
            <w:r>
              <w:rPr>
                <w:sz w:val="17"/>
                <w:szCs w:val="17"/>
              </w:rPr>
              <w:t xml:space="preserve">Full re-protection of ~500 TB FETB at 4 sites plus M365 migration; 12–18 months of dual-running.</w:t>
            </w:r>
          </w:p>
          <w:p>
            <w:pPr>
              <w:pStyle w:val="ListParagraph"/>
              <w:numPr>
                <w:ilvl w:val="0"/>
                <w:numId w:val="3"/>
              </w:numPr>
              <w:spacing w:after="30"/>
            </w:pPr>
            <w:r>
              <w:rPr>
                <w:sz w:val="17"/>
                <w:szCs w:val="17"/>
              </w:rPr>
              <w:t xml:space="preserve">Commvault restore-only tail for up to 7 years.</w:t>
            </w:r>
          </w:p>
          <w:p>
            <w:pPr>
              <w:pStyle w:val="ListParagraph"/>
              <w:numPr>
                <w:ilvl w:val="0"/>
                <w:numId w:val="3"/>
              </w:numPr>
              <w:spacing w:after="30"/>
            </w:pPr>
            <w:r>
              <w:rPr>
                <w:sz w:val="17"/>
                <w:szCs w:val="17"/>
              </w:rPr>
              <w:t xml:space="preserve">Highest ROM cost and effort; on-premises BETB metering must be renegotiated to FETB.</w:t>
            </w:r>
          </w:p>
          <w:p>
            <w:pPr>
              <w:pStyle w:val="ListParagraph"/>
              <w:numPr>
                <w:ilvl w:val="0"/>
                <w:numId w:val="3"/>
              </w:numPr>
              <w:spacing w:after="30"/>
            </w:pPr>
            <w:r>
              <w:rPr>
                <w:sz w:val="17"/>
                <w:szCs w:val="17"/>
              </w:rPr>
              <w:t xml:space="preserve">AIX 7.3, DevOps and PaaS coverage to validate; no documented multi-cloud configuration rebuild.</w:t>
            </w:r>
          </w:p>
        </w:tc>
      </w:tr>
    </w:tbl>
    <w:p>
      <w:pPr>
        <w:pStyle w:val="Heading3"/>
      </w:pPr>
      <w:bookmarkStart w:id="913" w:name="_Toc1013"/>
      <w:r>
        <w:t xml:space="preserve">2.1.4   Summary Comparison</w:t>
      </w:r>
      <w:bookmarkEnd w:id="9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260"/>
        <w:gridCol w:w="2270"/>
        <w:gridCol w:w="2270"/>
      </w:tblGrid>
      <w:tr>
        <w:trPr>
          <w:cantSplit/>
          <w:tblHeader/>
        </w:trPr>
        <w:tc>
          <w:tcPr>
            <w:tcW w:type="dxa" w:w="25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Dimension</w:t>
            </w:r>
          </w:p>
        </w:tc>
        <w:tc>
          <w:tcPr>
            <w:tcW w:type="dxa" w:w="22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A</w:t>
            </w:r>
          </w:p>
        </w:tc>
        <w:tc>
          <w:tcPr>
            <w:tcW w:type="dxa" w:w="227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B</w:t>
            </w:r>
          </w:p>
        </w:tc>
        <w:tc>
          <w:tcPr>
            <w:tcW w:type="dxa" w:w="227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C</w:t>
            </w:r>
          </w:p>
        </w:tc>
      </w:tr>
      <w:tr>
        <w:trPr>
          <w:cantSplit/>
        </w:trP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On-premises platform</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Commvault (existing)</w:t>
            </w:r>
          </w:p>
        </w:tc>
        <w:tc>
          <w:tcPr>
            <w:tcW w:type="dxa" w:w="22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Commvault (existing)</w:t>
            </w:r>
          </w:p>
        </w:tc>
        <w:tc>
          <w:tcPr>
            <w:tcW w:type="dxa" w:w="22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Rubrik (new; replaces HSX + MA)</w:t>
            </w:r>
          </w:p>
        </w:tc>
      </w:tr>
      <w:tr>
        <w:trPr>
          <w:cantSplit/>
        </w:trP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Cloud data platform</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Commvault</w:t>
            </w:r>
          </w:p>
        </w:tc>
        <w:tc>
          <w:tcPr>
            <w:tcW w:type="dxa" w:w="22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Rubrik</w:t>
            </w:r>
          </w:p>
        </w:tc>
        <w:tc>
          <w:tcPr>
            <w:tcW w:type="dxa" w:w="22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Rubrik</w:t>
            </w:r>
          </w:p>
        </w:tc>
      </w:tr>
      <w:tr>
        <w:trPr>
          <w:cantSplit/>
        </w:trP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Cloud configuration recovery</w:t>
            </w:r>
          </w:p>
        </w:tc>
        <w:tc>
          <w:tcPr>
            <w:tcW w:type="dxa" w:w="226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Commvault Cloud Rewind</w:t>
            </w:r>
          </w:p>
        </w:tc>
        <w:tc>
          <w:tcPr>
            <w:tcW w:type="dxa" w:w="227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Separate tool / IaC</w:t>
            </w:r>
          </w:p>
        </w:tc>
        <w:tc>
          <w:tcPr>
            <w:tcW w:type="dxa" w:w="227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Separate tool / IaC</w:t>
            </w:r>
          </w:p>
        </w:tc>
      </w:tr>
      <w:tr>
        <w:trPr>
          <w:cantSplit/>
        </w:trP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Control planes (steady state)</w:t>
            </w:r>
          </w:p>
        </w:tc>
        <w:tc>
          <w:tcPr>
            <w:tcW w:type="dxa" w:w="226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1</w:t>
            </w:r>
          </w:p>
        </w:tc>
        <w:tc>
          <w:tcPr>
            <w:tcW w:type="dxa" w:w="227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2–3</w:t>
            </w:r>
          </w:p>
        </w:tc>
        <w:tc>
          <w:tcPr>
            <w:tcW w:type="dxa" w:w="227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2 + legacy Commvault tail</w:t>
            </w:r>
          </w:p>
        </w:tc>
      </w:tr>
      <w:tr>
        <w:trPr>
          <w:cantSplit/>
        </w:trP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Business-signed on-premises RPO/RTO</w:t>
            </w:r>
          </w:p>
        </w:tc>
        <w:tc>
          <w:tcPr>
            <w:tcW w:type="dxa" w:w="226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Met (preserved)</w:t>
            </w:r>
          </w:p>
        </w:tc>
        <w:tc>
          <w:tcPr>
            <w:tcW w:type="dxa" w:w="227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Met (preserved)</w:t>
            </w:r>
          </w:p>
        </w:tc>
        <w:tc>
          <w:tcPr>
            <w:tcW w:type="dxa" w:w="227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7"/>
                <w:szCs w:val="17"/>
              </w:rPr>
              <w:t xml:space="preserve">Re-prove after migration</w:t>
            </w:r>
          </w:p>
        </w:tc>
      </w:tr>
      <w:tr>
        <w:trPr>
          <w:cantSplit/>
        </w:trP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HyperScale X investment</w:t>
            </w:r>
          </w:p>
        </w:tc>
        <w:tc>
          <w:tcPr>
            <w:tcW w:type="dxa" w:w="226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Retained</w:t>
            </w:r>
          </w:p>
        </w:tc>
        <w:tc>
          <w:tcPr>
            <w:tcW w:type="dxa" w:w="227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Retained</w:t>
            </w:r>
          </w:p>
        </w:tc>
        <w:tc>
          <w:tcPr>
            <w:tcW w:type="dxa" w:w="227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7"/>
                <w:szCs w:val="17"/>
              </w:rPr>
              <w:t xml:space="preserve">Not retained</w:t>
            </w:r>
          </w:p>
        </w:tc>
      </w:tr>
      <w:tr>
        <w:trPr>
          <w:cantSplit/>
        </w:trP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Migration risk</w:t>
            </w:r>
          </w:p>
        </w:tc>
        <w:tc>
          <w:tcPr>
            <w:tcW w:type="dxa" w:w="226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Low</w:t>
            </w:r>
          </w:p>
        </w:tc>
        <w:tc>
          <w:tcPr>
            <w:tcW w:type="dxa" w:w="227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Medium (cloud only)</w:t>
            </w:r>
          </w:p>
        </w:tc>
        <w:tc>
          <w:tcPr>
            <w:tcW w:type="dxa" w:w="227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7"/>
                <w:szCs w:val="17"/>
              </w:rPr>
              <w:t xml:space="preserve">High (2 PB, M365, 4 sites)</w:t>
            </w:r>
          </w:p>
        </w:tc>
      </w:tr>
      <w:tr>
        <w:trPr>
          <w:cantSplit/>
        </w:trP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5-year ROM cost (CAD)</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$18.6M ($13.9M–$26.0M)</w:t>
            </w:r>
          </w:p>
        </w:tc>
        <w:tc>
          <w:tcPr>
            <w:tcW w:type="dxa" w:w="22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$20.3M ($15.2M–$28.5M)</w:t>
            </w:r>
          </w:p>
        </w:tc>
        <w:tc>
          <w:tcPr>
            <w:tcW w:type="dxa" w:w="22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$22.7M ($17.0M–$31.7M)</w:t>
            </w:r>
          </w:p>
        </w:tc>
      </w:tr>
      <w:tr>
        <w:trPr>
          <w:cantSplit/>
        </w:trP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Implementation effort</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~207 person-days; 6–9 months</w:t>
            </w:r>
          </w:p>
        </w:tc>
        <w:tc>
          <w:tcPr>
            <w:tcW w:type="dxa" w:w="22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~318 person-days; 9–12 months</w:t>
            </w:r>
          </w:p>
        </w:tc>
        <w:tc>
          <w:tcPr>
            <w:tcW w:type="dxa" w:w="22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~568 person-days; 18–24 months</w:t>
            </w:r>
          </w:p>
        </w:tc>
      </w:tr>
      <w:tr>
        <w:trPr>
          <w:cantSplit/>
        </w:trP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Canadian residency</w:t>
            </w:r>
          </w:p>
        </w:tc>
        <w:tc>
          <w:tcPr>
            <w:tcW w:type="dxa" w:w="226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Strong (confirm SaaS)</w:t>
            </w:r>
          </w:p>
        </w:tc>
        <w:tc>
          <w:tcPr>
            <w:tcW w:type="dxa" w:w="227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Conditional</w:t>
            </w:r>
          </w:p>
        </w:tc>
        <w:tc>
          <w:tcPr>
            <w:tcW w:type="dxa" w:w="227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Conditional</w:t>
            </w:r>
          </w:p>
        </w:tc>
      </w:tr>
      <w:tr>
        <w:trPr>
          <w:cantSplit/>
        </w:trP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Default security posture</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Good once hardened</w:t>
            </w:r>
          </w:p>
        </w:tc>
        <w:tc>
          <w:tcPr>
            <w:tcW w:type="dxa" w:w="22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Strong (cloud tier)</w:t>
            </w:r>
          </w:p>
        </w:tc>
        <w:tc>
          <w:tcPr>
            <w:tcW w:type="dxa" w:w="227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Strong</w:t>
            </w:r>
          </w:p>
        </w:tc>
      </w:tr>
      <w:tr>
        <w:trPr>
          <w:cantSplit/>
        </w:trPr>
        <w:tc>
          <w:tcPr>
            <w:tcW w:type="dxa" w:w="256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b/>
                <w:bCs/>
                <w:sz w:val="17"/>
                <w:szCs w:val="17"/>
              </w:rPr>
              <w:t xml:space="preserve">Overall</w:t>
            </w:r>
          </w:p>
        </w:tc>
        <w:tc>
          <w:tcPr>
            <w:tcW w:type="dxa" w:w="226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b/>
                <w:bCs/>
                <w:sz w:val="17"/>
                <w:szCs w:val="17"/>
              </w:rPr>
              <w:t xml:space="preserve">Recommended</w:t>
            </w:r>
          </w:p>
        </w:tc>
        <w:tc>
          <w:tcPr>
            <w:tcW w:type="dxa" w:w="227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b/>
                <w:bCs/>
                <w:sz w:val="17"/>
                <w:szCs w:val="17"/>
              </w:rPr>
              <w:t xml:space="preserve">Not recommended</w:t>
            </w:r>
          </w:p>
        </w:tc>
        <w:tc>
          <w:tcPr>
            <w:tcW w:type="dxa" w:w="227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b/>
                <w:bCs/>
                <w:sz w:val="17"/>
                <w:szCs w:val="17"/>
              </w:rPr>
              <w:t xml:space="preserve">Not recommended</w:t>
            </w:r>
          </w:p>
        </w:tc>
      </w:tr>
    </w:tbl>
    <w:p>
      <w:pPr>
        <w:pStyle w:val="Heading2"/>
      </w:pPr>
      <w:bookmarkStart w:id="914" w:name="_Toc1014"/>
      <w:r>
        <w:t xml:space="preserve">2.2   Management Comparison: Commvault, Rubrik and Azure Backup</w:t>
      </w:r>
      <w:bookmarkEnd w:id="914"/>
    </w:p>
    <w:p>
      <w:pPr>
        <w:pStyle w:val="Heading3"/>
      </w:pPr>
      <w:bookmarkStart w:id="915" w:name="_Toc1015"/>
      <w:r>
        <w:t xml:space="preserve">2.2.1   Features and Limitations</w:t>
      </w:r>
      <w:bookmarkEnd w:id="915"/>
    </w:p>
    <w:p>
      <w:pPr>
        <w:spacing w:after="120" w:line="264"/>
      </w:pPr>
      <w:r>
        <w:t xml:space="preserve">Colour key: green = native or supported; amber = partial or to be validated; red = not supported or not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rPr>
          <w:cantSplit/>
          <w:tblHeader/>
        </w:trPr>
        <w:tc>
          <w:tcPr>
            <w:tcW w:type="dxa" w:w="27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Workload / capability</w:t>
            </w:r>
          </w:p>
        </w:tc>
        <w:tc>
          <w:tcPr>
            <w:tcW w:type="dxa" w:w="222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Commvault</w:t>
            </w:r>
          </w:p>
        </w:tc>
        <w:tc>
          <w:tcPr>
            <w:tcW w:type="dxa" w:w="222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Rubrik</w:t>
            </w:r>
          </w:p>
        </w:tc>
        <w:tc>
          <w:tcPr>
            <w:tcW w:type="dxa" w:w="222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Azure Backup / native</w:t>
            </w:r>
          </w:p>
        </w:tc>
      </w:tr>
      <w:tr>
        <w:trPr>
          <w:cantSplit/>
        </w:trPr>
        <w:tc>
          <w:tcPr>
            <w:tcW w:type="dxa" w:w="9360"/>
            <w:gridSpan w:val="4"/>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sz w:val="16"/>
                <w:szCs w:val="16"/>
              </w:rPr>
              <w:t xml:space="preserve">On-premises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VMware on Cisco UCS</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 (in production)</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Partial (MABS)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Physical Windows/Linux + BMR</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 (Linux BMR: validate)</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Partial</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IBM AIX</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Supported (AIX 7.3: validate)</w:t>
            </w:r>
          </w:p>
        </w:tc>
        <w:tc>
          <w:tcPr>
            <w:tcW w:type="dxa" w:w="222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6"/>
                <w:szCs w:val="16"/>
              </w:rPr>
              <w:t xml:space="preserve">Not supported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Oracle (RMAN, RAC/ASM)</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w:t>
            </w:r>
          </w:p>
        </w:tc>
        <w:tc>
          <w:tcPr>
            <w:tcW w:type="dxa" w:w="222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6"/>
                <w:szCs w:val="16"/>
              </w:rPr>
              <w:t xml:space="preserve">Not supported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Multi-site replication (4 DCs)</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 (DASH copy)</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 (cluster replication)</w:t>
            </w:r>
          </w:p>
        </w:tc>
        <w:tc>
          <w:tcPr>
            <w:tcW w:type="dxa" w:w="222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6"/>
                <w:szCs w:val="16"/>
              </w:rPr>
              <w:t xml:space="preserve">Not supported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Immutable cloud copy of on-premises</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 (AirGap / Blob)</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 (Rubrik Cloud Vault)</w:t>
            </w:r>
          </w:p>
        </w:tc>
        <w:tc>
          <w:tcPr>
            <w:tcW w:type="dxa" w:w="222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6"/>
                <w:szCs w:val="16"/>
              </w:rPr>
              <w:t xml:space="preserve">Not supported</w:t>
            </w:r>
          </w:p>
        </w:tc>
      </w:tr>
      <w:tr>
        <w:trPr>
          <w:cantSplit/>
        </w:trPr>
        <w:tc>
          <w:tcPr>
            <w:tcW w:type="dxa" w:w="9360"/>
            <w:gridSpan w:val="4"/>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sz w:val="16"/>
                <w:szCs w:val="16"/>
              </w:rPr>
              <w:t xml:space="preserve">SaaS and DevOps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Microsoft 365 (incl. Teams)</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 (in production)</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Partial (no Teams; ≤ 2 years retention)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Azure DevOps / GitHub (SaaS)</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 (some objects excluded; GitHub metadata via exports)</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Validate</w:t>
            </w:r>
          </w:p>
        </w:tc>
        <w:tc>
          <w:tcPr>
            <w:tcW w:type="dxa" w:w="222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6"/>
                <w:szCs w:val="16"/>
              </w:rPr>
              <w:t xml:space="preserve">Not supported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ADO Server / GHES on Azure VMs</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Supported (SQL agent + backup-utils host)</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Supported (validate consistency)</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Partial (product tooling only)</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Pre-merge triggered backup</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Supported via pipeline gate + API (validate)</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Validate (pipeline gate + API)</w:t>
            </w:r>
          </w:p>
        </w:tc>
        <w:tc>
          <w:tcPr>
            <w:tcW w:type="dxa" w:w="222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6"/>
                <w:szCs w:val="16"/>
              </w:rPr>
              <w:t xml:space="preserve">Not supported (gate only)</w:t>
            </w:r>
          </w:p>
        </w:tc>
      </w:tr>
      <w:tr>
        <w:trPr>
          <w:cantSplit/>
        </w:trPr>
        <w:tc>
          <w:tcPr>
            <w:tcW w:type="dxa" w:w="9360"/>
            <w:gridSpan w:val="4"/>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sz w:val="16"/>
                <w:szCs w:val="16"/>
              </w:rPr>
              <w:t xml:space="preserve">Azure data</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VMs; SQL and Oracle on VMs</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 (validate log frequency)</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 partial for Oracle (not RMAN-aware)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Azure SQL DB / SQL MI</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Supported (validate)</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Supported (validate)</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 PITR/LTR (LTR not immutable)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Blob / ADLS / Azure Files</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Supported (Files, ADLS: validate)</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AKS workloads and PVs</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Supported (validate)</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PaaS DBs (PostgreSQL, MySQL, Cosmos DB)</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Supported (validate)</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Validate</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w:t>
            </w:r>
          </w:p>
        </w:tc>
      </w:tr>
      <w:tr>
        <w:trPr>
          <w:cantSplit/>
        </w:trPr>
        <w:tc>
          <w:tcPr>
            <w:tcW w:type="dxa" w:w="9360"/>
            <w:gridSpan w:val="4"/>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sz w:val="16"/>
                <w:szCs w:val="16"/>
              </w:rPr>
              <w:t xml:space="preserve">Cloud resources and configuration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Resource group / VNet / NSG / private endpoint rebuild</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Supported (Cloud Rewind; validate scope)</w:t>
            </w:r>
          </w:p>
        </w:tc>
        <w:tc>
          <w:tcPr>
            <w:tcW w:type="dxa" w:w="222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6"/>
                <w:szCs w:val="16"/>
              </w:rPr>
              <w:t xml:space="preserve">Not documented</w:t>
            </w:r>
          </w:p>
        </w:tc>
        <w:tc>
          <w:tcPr>
            <w:tcW w:type="dxa" w:w="222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6"/>
                <w:szCs w:val="16"/>
              </w:rPr>
              <w:t xml:space="preserve">Not supported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Logic Apps / Function Apps / Synapse</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Validate (Cloud Rewind) + repo backup</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Partial (data only)</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Partial (App Service undelete window; SQL pool restore points)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AKS cluster rebuild</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Supported (Cloud Rewind + Kubernetes)</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Partial (workloads/PVs)</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Partial (into existing cluster)</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Configuration rebuild for AWS / GCP</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Supported (Cloud Rewind)</w:t>
            </w:r>
          </w:p>
        </w:tc>
        <w:tc>
          <w:tcPr>
            <w:tcW w:type="dxa" w:w="222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6"/>
                <w:szCs w:val="16"/>
              </w:rPr>
              <w:t xml:space="preserve">Not documented</w:t>
            </w:r>
          </w:p>
        </w:tc>
        <w:tc>
          <w:tcPr>
            <w:tcW w:type="dxa" w:w="222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6"/>
                <w:szCs w:val="16"/>
              </w:rPr>
              <w:t xml:space="preserve">Not supported</w:t>
            </w:r>
          </w:p>
        </w:tc>
      </w:tr>
      <w:tr>
        <w:trPr>
          <w:cantSplit/>
        </w:trPr>
        <w:tc>
          <w:tcPr>
            <w:tcW w:type="dxa" w:w="9360"/>
            <w:gridSpan w:val="4"/>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sz w:val="16"/>
                <w:szCs w:val="16"/>
              </w:rPr>
              <w:t xml:space="preserve">Multi-cloud and restore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AWS / GCP data protection</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w:t>
            </w:r>
          </w:p>
        </w:tc>
        <w:tc>
          <w:tcPr>
            <w:tcW w:type="dxa" w:w="222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6"/>
                <w:szCs w:val="16"/>
              </w:rPr>
              <w:t xml:space="preserve">Not supported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OCI</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 (Canadian regions)</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Validate</w:t>
            </w:r>
          </w:p>
        </w:tc>
        <w:tc>
          <w:tcPr>
            <w:tcW w:type="dxa" w:w="222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6"/>
                <w:szCs w:val="16"/>
              </w:rPr>
              <w:t xml:space="preserve">Not supported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Cross-subscription restore: VMs</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Supported</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Supported (validate)</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Supported (Cross Subscription Restore)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Cross-subscription restore: PaaS</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Supported (validate per service)</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Validate</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Partial (SQL MI PITR yes; LTR no)</w:t>
            </w:r>
          </w:p>
        </w:tc>
      </w:tr>
      <w:tr>
        <w:trPr>
          <w:cantSplit/>
        </w:trPr>
        <w:tc>
          <w:tcPr>
            <w:tcW w:type="dxa" w:w="9360"/>
            <w:gridSpan w:val="4"/>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sz w:val="16"/>
                <w:szCs w:val="16"/>
              </w:rPr>
              <w:t xml:space="preserve">Management and security</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Single console across on-premises, SaaS and clouds</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Yes</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Partial (Rubrik-protected data only)</w:t>
            </w:r>
          </w:p>
        </w:tc>
        <w:tc>
          <w:tcPr>
            <w:tcW w:type="dxa" w:w="222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6"/>
                <w:szCs w:val="16"/>
              </w:rPr>
              <w:t xml:space="preserve">No (Azure only)</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Immutability and multi-person approval</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Configurable: Compliance Lock, Multi-Person Authorization (must be hardened)</w:t>
            </w:r>
          </w:p>
        </w:tc>
        <w:tc>
          <w:tcPr>
            <w:tcW w:type="dxa" w:w="22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6"/>
                <w:szCs w:val="16"/>
              </w:rPr>
              <w:t xml:space="preserve">Native: always-on immutability, Quorum Authorization</w:t>
            </w:r>
          </w:p>
        </w:tc>
        <w:tc>
          <w:tcPr>
            <w:tcW w:type="dxa" w:w="22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6"/>
                <w:szCs w:val="16"/>
              </w:rPr>
              <w:t xml:space="preserve">Partial: immutable vault + MUA (opt-in)</w:t>
            </w:r>
          </w:p>
        </w:tc>
      </w:tr>
    </w:tbl>
    <w:p>
      <w:pPr>
        <w:pStyle w:val="Heading3"/>
      </w:pPr>
      <w:bookmarkStart w:id="916" w:name="_Toc1016"/>
      <w:r>
        <w:t xml:space="preserve">2.2.2   Commvault as the Common Management Plane</w:t>
      </w:r>
      <w:bookmarkEnd w:id="916"/>
    </w:p>
    <w:p>
      <w:pPr>
        <w:pStyle w:val="ListParagraph"/>
        <w:numPr>
          <w:ilvl w:val="0"/>
          <w:numId w:val="2"/>
        </w:numPr>
        <w:spacing w:after="60" w:line="252"/>
      </w:pPr>
      <w:r>
        <w:rPr>
          <w:b/>
          <w:bCs/>
        </w:rPr>
        <w:t xml:space="preserve">One policy across copies:</w:t>
      </w:r>
      <w:r>
        <w:t xml:space="preserve"> plans define every copy (primary, replicas, cloud and geo) once for on-premises, SaaS, DevOps and cloud workloads.</w:t>
      </w:r>
    </w:p>
    <w:p>
      <w:pPr>
        <w:pStyle w:val="ListParagraph"/>
        <w:numPr>
          <w:ilvl w:val="0"/>
          <w:numId w:val="2"/>
        </w:numPr>
        <w:spacing w:after="60" w:line="252"/>
      </w:pPr>
      <w:r>
        <w:rPr>
          <w:b/>
          <w:bCs/>
        </w:rPr>
        <w:t xml:space="preserve">One catalogue and one recovery path:</w:t>
      </w:r>
      <w:r>
        <w:t xml:space="preserve"> search and restore across four sites, cloud copies and clouds; Cleanroom restores on-premises and cloud workloads from the same immutable copy.</w:t>
      </w:r>
    </w:p>
    <w:p>
      <w:pPr>
        <w:pStyle w:val="ListParagraph"/>
        <w:numPr>
          <w:ilvl w:val="0"/>
          <w:numId w:val="2"/>
        </w:numPr>
        <w:spacing w:after="60" w:line="252"/>
      </w:pPr>
      <w:r>
        <w:rPr>
          <w:b/>
          <w:bCs/>
        </w:rPr>
        <w:t xml:space="preserve">Data and configuration together:</w:t>
      </w:r>
      <w:r>
        <w:t xml:space="preserve"> Cloud Rewind rebuilds the deleted environment (RG, VNet, compute, PaaS) and Commvault restores the data into it.</w:t>
      </w:r>
    </w:p>
    <w:p>
      <w:pPr>
        <w:pStyle w:val="ListParagraph"/>
        <w:numPr>
          <w:ilvl w:val="0"/>
          <w:numId w:val="2"/>
        </w:numPr>
        <w:spacing w:after="60" w:line="252"/>
      </w:pPr>
      <w:r>
        <w:rPr>
          <w:b/>
          <w:bCs/>
        </w:rPr>
        <w:t xml:space="preserve">One immutability and approval scheme:</w:t>
      </w:r>
      <w:r>
        <w:t xml:space="preserve"> Compliance Lock, WORM storage pools on HyperScale X and Multi-Person Authorization.</w:t>
      </w:r>
    </w:p>
    <w:p>
      <w:pPr>
        <w:pStyle w:val="ListParagraph"/>
        <w:numPr>
          <w:ilvl w:val="0"/>
          <w:numId w:val="2"/>
        </w:numPr>
        <w:spacing w:after="60" w:line="252"/>
      </w:pPr>
      <w:r>
        <w:rPr>
          <w:b/>
          <w:bCs/>
        </w:rPr>
        <w:t xml:space="preserve">Native services in view:</w:t>
      </w:r>
      <w:r>
        <w:t xml:space="preserve"> SQL DB/MI PITR, ASR and residual Azure Backup items surfaced in Azure Business Continuity Center and Sentinel.</w:t>
      </w:r>
    </w:p>
    <w:p>
      <w:pPr>
        <w:pStyle w:val="Heading3"/>
      </w:pPr>
      <w:bookmarkStart w:id="917" w:name="_Toc1017"/>
      <w:r>
        <w:t xml:space="preserve">2.2.3   Day 2 Operations, Side by Side</w:t>
      </w:r>
      <w:bookmarkEnd w:id="9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cantSplit/>
          <w:tblHeader/>
        </w:trPr>
        <w:tc>
          <w:tcPr>
            <w:tcW w:type="dxa" w:w="21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Activity</w:t>
            </w:r>
          </w:p>
        </w:tc>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A</w:t>
            </w:r>
          </w:p>
        </w:tc>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B</w:t>
            </w:r>
          </w:p>
        </w:tc>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C</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Policy management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One plan set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Commvault plans + Rubrik SLA Domains + configuration-tool policies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Rubrik SLA Domains + configuration-tool policies; Commvault legacy</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Replication / cloud-copy monitoring</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One job monitor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Two consoles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One console (+ legacy restores)</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Configuration-recovery operations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Same console and vendor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Separate tool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Separate tool</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Immutability and lock audits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One scheme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Two schemes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One scheme (+ legacy)</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Upgrades / patching</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HyperScale X / MediaAgent + access nodes; SaaS auto-updated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As A, plus Rubrik Exocompute and configuration tool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New Rubrik clusters; legacy CommServe/HSX maintained</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Licence management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One model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Two to three models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Rubrik + legacy Commvault</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DR / cyber-recovery exercises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One Cleanroom across tiers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Two coordinated exercises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One (after migration)</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Indicative staffing</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3.0 + 0.3 FTE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3.0 + 1.0–1.2 FTE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2.3 + 0.3 FTE (+1.0 Y1, +0.5 Y2 dual-running)</w:t>
            </w:r>
          </w:p>
        </w:tc>
      </w:tr>
    </w:tbl>
    <w:p>
      <w:pPr>
        <w:pStyle w:val="Heading2"/>
      </w:pPr>
      <w:bookmarkStart w:id="918" w:name="_Toc1018"/>
      <w:r>
        <w:t xml:space="preserve">2.3   Implementation Effort</w:t>
      </w:r>
      <w:bookmarkEnd w:id="918"/>
    </w:p>
    <w:p>
      <w:pPr>
        <w:spacing w:after="120" w:line="264"/>
      </w:pPr>
      <w:r>
        <w:t xml:space="preserve">Effort is shown in person-days by workstream. Effort estimates carry the same ROM accuracy as cost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400"/>
        <w:gridCol w:w="1400"/>
        <w:gridCol w:w="1400"/>
      </w:tblGrid>
      <w:tr>
        <w:trPr>
          <w:cantSplit/>
          <w:tblHeader/>
        </w:trPr>
        <w:tc>
          <w:tcPr>
            <w:tcW w:type="dxa" w:w="51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Workstream</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A</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B</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C</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Security and access (hardening baseline, PAM/SSO/RBAC, SIEM/ITSM/reporting)</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50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45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On-premises design and migration (site roles; Option C: Rubrik at 4 sites, agents, re-protection, M365 migration, legacy restore-only set-up)</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10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10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230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Cloud off-site copy (ExpressRoute, backup subscription, vaults, locks, Data Box seeding)</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Cloud workload protection (design, landing-zone integration, Azure onboarding, Azure Backup retirement)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55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86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78</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Cloud resource and configuration recovery; cross-subscription restore enablement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18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DevOps protection (SaaS onboarding, self-hosted server design, pre-merge gates)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28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Procurement and vendor onboarding</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20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25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Testing (incl. RPO/RTO re-proof and cyber-recovery exercise)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22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50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Runbooks, training and handover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25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40</w:t>
            </w:r>
          </w:p>
        </w:tc>
      </w:tr>
      <w:tr>
        <w:trPr>
          <w:cantSplit/>
        </w:trPr>
        <w:tc>
          <w:tcPr>
            <w:tcW w:type="dxa" w:w="516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b/>
                <w:bCs/>
                <w:sz w:val="17"/>
                <w:szCs w:val="17"/>
              </w:rPr>
              <w:t xml:space="preserve">Total (person-days)</w:t>
            </w:r>
          </w:p>
        </w:tc>
        <w:tc>
          <w:tcPr>
            <w:tcW w:type="dxa" w:w="14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jc w:val="center"/>
            </w:pPr>
            <w:r>
              <w:rPr>
                <w:b/>
                <w:bCs/>
                <w:sz w:val="17"/>
                <w:szCs w:val="17"/>
              </w:rPr>
              <w:t xml:space="preserve">207</w:t>
            </w:r>
          </w:p>
        </w:tc>
        <w:tc>
          <w:tcPr>
            <w:tcW w:type="dxa" w:w="14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jc w:val="center"/>
            </w:pPr>
            <w:r>
              <w:rPr>
                <w:b/>
                <w:bCs/>
                <w:sz w:val="17"/>
                <w:szCs w:val="17"/>
              </w:rPr>
              <w:t xml:space="preserve">318</w:t>
            </w:r>
          </w:p>
        </w:tc>
        <w:tc>
          <w:tcPr>
            <w:tcW w:type="dxa" w:w="14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jc w:val="center"/>
            </w:pPr>
            <w:r>
              <w:rPr>
                <w:b/>
                <w:bCs/>
                <w:sz w:val="17"/>
                <w:szCs w:val="17"/>
              </w:rPr>
              <w:t xml:space="preserve">568</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ROM range (±25%)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155–260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240–400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425–710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Indicative duration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6–9 months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9–12 months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18–24 months (incl. dual-running)</w:t>
            </w:r>
          </w:p>
        </w:tc>
      </w:tr>
    </w:tbl>
    <w:p>
      <w:pPr>
        <w:pStyle w:val="Heading3"/>
      </w:pPr>
      <w:bookmarkStart w:id="919" w:name="_Toc1019"/>
      <w:r>
        <w:t xml:space="preserve">2.3.1   Annual Run Cost</w:t>
      </w:r>
      <w:bookmarkEnd w:id="919"/>
    </w:p>
    <w:p>
      <w:pPr>
        <w:spacing w:after="120" w:line="264"/>
      </w:pPr>
      <w:r>
        <w:t xml:space="preserve">Annual run cost is the recurring cost of operating each option (licensing, storage, infrastructure support, network and staffing), excluding one-time implementation and migration costs. It is derived from the same ROM model as Section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cantSplit/>
          <w:tblHeader/>
        </w:trPr>
        <w:tc>
          <w:tcPr>
            <w:tcW w:type="dxa" w:w="39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Recurring run cost (CAD, ROM)</w:t>
            </w:r>
          </w:p>
        </w:tc>
        <w:tc>
          <w:tcPr>
            <w:tcW w:type="dxa" w:w="1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A</w:t>
            </w:r>
          </w:p>
        </w:tc>
        <w:tc>
          <w:tcPr>
            <w:tcW w:type="dxa" w:w="1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B</w:t>
            </w:r>
          </w:p>
        </w:tc>
        <w:tc>
          <w:tcPr>
            <w:tcW w:type="dxa" w:w="1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C</w:t>
            </w:r>
          </w:p>
        </w:tc>
      </w:tr>
      <w:tr>
        <w:trPr>
          <w:cantSplit/>
        </w:trP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Year 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$2.7M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$3.0M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$3.4M</w:t>
            </w:r>
          </w:p>
        </w:tc>
      </w:tr>
      <w:tr>
        <w:trPr>
          <w:cantSplit/>
        </w:trP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Year 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$3.0M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$3.3M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$3.7M</w:t>
            </w:r>
          </w:p>
        </w:tc>
      </w:tr>
      <w:tr>
        <w:trPr>
          <w:cantSplit/>
        </w:trP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Year 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$3.6M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$3.9M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$4.3M</w:t>
            </w:r>
          </w:p>
        </w:tc>
      </w:tr>
      <w:tr>
        <w:trPr>
          <w:cantSplit/>
        </w:trP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Year 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$4.1M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$4.5M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$4.8M</w:t>
            </w:r>
          </w:p>
        </w:tc>
      </w:tr>
      <w:tr>
        <w:trPr>
          <w:cantSplit/>
        </w:trP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Year 5 (run-rate)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$4.6M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$5.1M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$5.5M</w:t>
            </w:r>
          </w:p>
        </w:tc>
      </w:tr>
      <w:tr>
        <w:trPr>
          <w:cantSplit/>
        </w:trPr>
        <w:tc>
          <w:tcPr>
            <w:tcW w:type="dxa" w:w="396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b/>
                <w:bCs/>
                <w:sz w:val="17"/>
                <w:szCs w:val="17"/>
              </w:rPr>
              <w:t xml:space="preserve">5-year average annual run cost</w:t>
            </w:r>
          </w:p>
        </w:tc>
        <w:tc>
          <w:tcPr>
            <w:tcW w:type="dxa" w:w="18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jc w:val="center"/>
            </w:pPr>
            <w:r>
              <w:rPr>
                <w:b/>
                <w:bCs/>
                <w:sz w:val="17"/>
                <w:szCs w:val="17"/>
              </w:rPr>
              <w:t xml:space="preserve">$3.6M</w:t>
            </w:r>
          </w:p>
        </w:tc>
        <w:tc>
          <w:tcPr>
            <w:tcW w:type="dxa" w:w="18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jc w:val="center"/>
            </w:pPr>
            <w:r>
              <w:rPr>
                <w:b/>
                <w:bCs/>
                <w:sz w:val="17"/>
                <w:szCs w:val="17"/>
              </w:rPr>
              <w:t xml:space="preserve">$3.9M</w:t>
            </w:r>
          </w:p>
        </w:tc>
        <w:tc>
          <w:tcPr>
            <w:tcW w:type="dxa" w:w="18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jc w:val="center"/>
            </w:pPr>
            <w:r>
              <w:rPr>
                <w:b/>
                <w:bCs/>
                <w:sz w:val="17"/>
                <w:szCs w:val="17"/>
              </w:rPr>
              <w:t xml:space="preserve">$4.3M</w:t>
            </w:r>
          </w:p>
        </w:tc>
      </w:tr>
      <w:tr>
        <w:trPr>
          <w:cantSplit/>
        </w:trP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ROM range of average (−25% / +40%)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$2.7M–$5.1M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$3.0M–$5.5M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$3.3M–$6.1M</w:t>
            </w:r>
          </w:p>
        </w:tc>
      </w:tr>
    </w:tbl>
    <w:p>
      <w:pPr>
        <w:spacing w:after="160" w:before="60"/>
      </w:pPr>
      <w:r>
        <w:rPr>
          <w:i/>
          <w:iCs/>
          <w:color w:val="404040"/>
          <w:sz w:val="18"/>
          <w:szCs w:val="18"/>
        </w:rPr>
        <w:t xml:space="preserve">Run cost grows each year with data growth (on-premises +15%/yr, Azure +25%/yr) and with AWS/GCP adoption from Year 3. Option C’s Years 1–3 include dual-running staff and the Commvault restore-only tail; its lower steady-state staffing does not close the gap to Option A within five years.</w:t>
      </w:r>
    </w:p>
    <w:p>
      <w:pPr>
        <w:pStyle w:val="Heading2"/>
      </w:pPr>
      <w:bookmarkStart w:id="920" w:name="_Toc1020"/>
      <w:r>
        <w:t xml:space="preserve">2.4   Commvault and Rubrik Access Patterns</w:t>
      </w:r>
      <w:bookmarkEnd w:id="9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Access path</w:t>
            </w:r>
          </w:p>
        </w:tc>
        <w:tc>
          <w:tcPr>
            <w:tcW w:type="dxa" w:w="35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Commvault (Option A; on-premises in B)</w:t>
            </w:r>
          </w:p>
        </w:tc>
        <w:tc>
          <w:tcPr>
            <w:tcW w:type="dxa" w:w="35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Rubrik (cloud tier in B; all of C)</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Admin console</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Command Center on self-hosted CommServe (Canada) + Commvault Cloud tenant; Entra SAML SSO</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Rubrik Security Cloud (SaaS) console; Entra SAML SSO; IP allow-list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Network (admin)</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PAM jump hosts; no internet exposure</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Internet (TLS 1.2+) restricted by IP allow-list and compliant-device Conditional Access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Network (data)</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HSX/MA between sites over 10 Gbps; on-premises to Azure over ExpressRoute private peering</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Clusters between sites; Exocompute / Cloud Vault over Azure backbone; on-premises to Cloud Vault over ExpressRoute or internet (validate private connectivity)</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Cloud identity (data)</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Access nodes with managed identity / IAM roles</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App registration / cross-account IAM roles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Cloud identity (configuration recovery)</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Cloud Rewind read-only discovery role; separate just-in-time rebuild role</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Separate tool identities (additional)</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Destructive-action control</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Multi-Person / Delete Authorization; Compliance Lock</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Quorum Authorization; Retention Lock</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Audit</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Command Center / Cloud Rewind audit to Sentinel</w:t>
            </w:r>
          </w:p>
        </w:tc>
        <w:tc>
          <w:tcPr>
            <w:tcW w:type="dxa" w:w="35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Rubrik webhooks to Sentinel</w:t>
            </w:r>
          </w:p>
        </w:tc>
      </w:tr>
    </w:tbl>
    <w:p>
      <w:pPr>
        <w:pStyle w:val="Heading3"/>
      </w:pPr>
      <w:bookmarkStart w:id="921" w:name="_Toc1021"/>
      <w:r>
        <w:t xml:space="preserve">2.4.1   Common Pattern Across All Workspaces</w:t>
      </w:r>
      <w:bookmarkEnd w:id="921"/>
    </w:p>
    <w:p>
      <w:pPr>
        <w:pStyle w:val="ListParagraph"/>
        <w:numPr>
          <w:ilvl w:val="0"/>
          <w:numId w:val="2"/>
        </w:numPr>
        <w:spacing w:after="60" w:line="252"/>
      </w:pPr>
      <w:r>
        <w:t xml:space="preserve">Entra ID authentication with phishing-resistant MFA from a privileged-access workstation.</w:t>
      </w:r>
    </w:p>
    <w:p>
      <w:pPr>
        <w:pStyle w:val="ListParagraph"/>
        <w:numPr>
          <w:ilvl w:val="0"/>
          <w:numId w:val="2"/>
        </w:numPr>
        <w:spacing w:after="60" w:line="252"/>
      </w:pPr>
      <w:r>
        <w:t xml:space="preserve">Just-in-time elevation through PIM (Azure) or PAM checkout (consoles), approved and time-bound.</w:t>
      </w:r>
    </w:p>
    <w:p>
      <w:pPr>
        <w:pStyle w:val="ListParagraph"/>
        <w:numPr>
          <w:ilvl w:val="0"/>
          <w:numId w:val="2"/>
        </w:numPr>
        <w:spacing w:after="60" w:line="252"/>
      </w:pPr>
      <w:r>
        <w:t xml:space="preserve">Recorded sessions through PAM jump hosts (on-premises, HyperScale X) or IP/device-restricted access (SaaS).</w:t>
      </w:r>
    </w:p>
    <w:p>
      <w:pPr>
        <w:pStyle w:val="ListParagraph"/>
        <w:numPr>
          <w:ilvl w:val="0"/>
          <w:numId w:val="2"/>
        </w:numPr>
        <w:spacing w:after="60" w:line="252"/>
      </w:pPr>
      <w:r>
        <w:t xml:space="preserve">Least-privilege roles mapped from Entra groups; no single role can change policy and reduce retention.</w:t>
      </w:r>
    </w:p>
    <w:p>
      <w:pPr>
        <w:pStyle w:val="ListParagraph"/>
        <w:numPr>
          <w:ilvl w:val="0"/>
          <w:numId w:val="2"/>
        </w:numPr>
        <w:spacing w:after="60" w:line="252"/>
      </w:pPr>
      <w:r>
        <w:t xml:space="preserve">Read-only discovery identities kept separate from rebuild/restore identities in each cloud.</w:t>
      </w:r>
    </w:p>
    <w:p>
      <w:pPr>
        <w:pStyle w:val="ListParagraph"/>
        <w:numPr>
          <w:ilvl w:val="0"/>
          <w:numId w:val="2"/>
        </w:numPr>
        <w:spacing w:after="60" w:line="252"/>
      </w:pPr>
      <w:r>
        <w:t xml:space="preserve">Multi-person/quorum approval for deletion, retention reduction and lock changes.</w:t>
      </w:r>
    </w:p>
    <w:p>
      <w:pPr>
        <w:pStyle w:val="ListParagraph"/>
        <w:numPr>
          <w:ilvl w:val="0"/>
          <w:numId w:val="2"/>
        </w:numPr>
        <w:spacing w:after="60" w:line="252"/>
      </w:pPr>
      <w:r>
        <w:t xml:space="preserve">Separate custodian group for the cloud off-site copy.</w:t>
      </w:r>
    </w:p>
    <w:p>
      <w:pPr>
        <w:pStyle w:val="ListParagraph"/>
        <w:numPr>
          <w:ilvl w:val="0"/>
          <w:numId w:val="2"/>
        </w:numPr>
        <w:spacing w:after="60" w:line="252"/>
      </w:pPr>
      <w:r>
        <w:t xml:space="preserve">All events to Sentinel; quarterly access reviews and break-glass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360"/>
        <w:gridCol w:w="1800"/>
      </w:tblGrid>
      <w:tr>
        <w:trPr>
          <w:cantSplit/>
          <w:tblHeader/>
        </w:trPr>
        <w:tc>
          <w:tcPr>
            <w:tcW w:type="dxa" w:w="21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21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Holder</w:t>
            </w:r>
          </w:p>
        </w:tc>
        <w:tc>
          <w:tcPr>
            <w:tcW w:type="dxa" w:w="33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Permissions</w:t>
            </w:r>
          </w:p>
        </w:tc>
        <w:tc>
          <w:tcPr>
            <w:tcW w:type="dxa" w:w="1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Approval</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Backup Operator</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Service desk / NOC</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Monitor, ad-hoc backups, out-of-place restores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None</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Restore Approver</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Application / repo owner</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Approve in-place restores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n/a</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Backup Administrator</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Backup team</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Plans, storage, replication; cannot reduce retention or delete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PIM/PAM</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Cloud Rebuild Operator</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Cloud platform team</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Run configuration rebuild into an approved scope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PIM + approval</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Cloud Copy Custodian</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Security (separate team)</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Backup subscription, Blob locks, Resource Guard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PIM + quorum</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Security Administrator</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Security team</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Locks, quorum groups, MFA, KMS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PIM/PAM + quorum</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Break-glass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Vaulted, dual control</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Full</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Two-person checkout + alert</w:t>
            </w:r>
          </w:p>
        </w:tc>
      </w:tr>
    </w:tbl>
    <w:p>
      <w:pPr>
        <w:pStyle w:val="Heading2"/>
      </w:pPr>
      <w:bookmarkStart w:id="922" w:name="_Toc1022"/>
      <w:r>
        <w:t xml:space="preserve">2.5   Cost Comparison (Rough Order of Magnitude)</w:t>
      </w:r>
      <w:bookmarkEnd w:id="922"/>
    </w:p>
    <w:p>
      <w:pPr>
        <w:spacing w:after="120" w:line="264"/>
      </w:pPr>
      <w:r>
        <w:t xml:space="preserve">Costs are </w:t>
      </w:r>
      <w:r>
        <w:rPr>
          <w:b/>
          <w:bCs/>
        </w:rPr>
        <w:t xml:space="preserve">Rough Order of Magnitude (ROM)</w:t>
      </w:r>
      <w:r>
        <w:t xml:space="preserve"> estimates for a 5-year programme in CAD. They are built from indicative list prices and the volumes in Section 1.2, and are intended to compare options, not to set a budget. Each point estimate carries an accuracy band of </w:t>
      </w:r>
      <w:r>
        <w:rPr>
          <w:b/>
          <w:bCs/>
        </w:rPr>
        <w:t xml:space="preserve">−25% / +40%</w:t>
      </w:r>
      <w:r>
        <w:t xml:space="preserve">. The final cost will be set by vendor quotes and negotiation.</w:t>
      </w:r>
    </w:p>
    <w:p>
      <w:pPr>
        <w:keepNext/>
        <w:spacing w:after="80" w:before="160"/>
      </w:pPr>
      <w:r>
        <w:rPr>
          <w:b/>
          <w:bCs/>
          <w:color w:val="582873"/>
        </w:rPr>
        <w:t xml:space="preserve">Estimating basis and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Item</w:t>
            </w:r>
          </w:p>
        </w:tc>
        <w:tc>
          <w:tcPr>
            <w:tcW w:type="dxa" w:w="73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Assumption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Scope</w:t>
            </w:r>
          </w:p>
        </w:tc>
        <w:tc>
          <w:tcPr>
            <w:tcW w:type="dxa" w:w="7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All options include the new cloud off-site copy, ExpressRoute, DevOps protection, Microsoft 365 and cloud resource/configuration recovery, so totals are like-for-like.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Currency and pricing</w:t>
            </w:r>
          </w:p>
        </w:tc>
        <w:tc>
          <w:tcPr>
            <w:tcW w:type="dxa" w:w="7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CAD at 1.37 CAD/USD; indicative list prices; no negotiated discounts; taxes excluded.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Horizon</w:t>
            </w:r>
          </w:p>
        </w:tc>
        <w:tc>
          <w:tcPr>
            <w:tcW w:type="dxa" w:w="7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5 years; Year 1 includes one-time implementation and migration costs.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Volumes</w:t>
            </w:r>
          </w:p>
        </w:tc>
        <w:tc>
          <w:tcPr>
            <w:tcW w:type="dxa" w:w="7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On-premises ~500 TB FETB (~2 PB BETB), +15%/yr; Azure ~100 TB FETB, +25%/yr; AWS + GCP 40 / 80 / 120 TB in Years 3–5; ~600 DevOps users; current M365 seat count.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Unit rates (USD)</w:t>
            </w:r>
          </w:p>
        </w:tc>
        <w:tc>
          <w:tcPr>
            <w:tcW w:type="dxa" w:w="7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Commvault ~$1,300/FETB-yr; Rubrik on-premises ~$1,600/FETB-yr (FETB metering negotiated); Rubrik cloud (UCL) ~$1,500/FETB-yr; Rubrik Cloud Vault ~$360/BETB-yr at 1.5× FETB; Commvault AirGap ~$25/TB-month; immutable Blob ~$16/TB-month; configuration recovery ~$60k per cloud per year; ExpressRoute ~$8k/month.</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Infrastructure</w:t>
            </w:r>
          </w:p>
        </w:tc>
        <w:tc>
          <w:tcPr>
            <w:tcW w:type="dxa" w:w="7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Options A/B: HyperScale X and MediaAgent support and refresh. Option C: new Rubrik clusters at 4 sites (~$150/BETB-yr annualised) plus a Commvault restore-only tail.</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Staffing</w:t>
            </w:r>
          </w:p>
        </w:tc>
        <w:tc>
          <w:tcPr>
            <w:tcW w:type="dxa" w:w="7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~CAD 150k per loaded FTE. Core team 3.0 FTE (A, B) or 2.3 FTE (C); incremental 0.3 FTE (A, C) or 1.0 FTE (B); Option C dual-running +1.0 FTE in Year 1 and +0.5 FTE in Year 2.</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Excluded</w:t>
            </w:r>
          </w:p>
        </w:tc>
        <w:tc>
          <w:tcPr>
            <w:tcW w:type="dxa" w:w="7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Internal project management, Azure-native SQL PITR (part of Azure consumption), CI minutes and pre-merge Blob storage (&lt; CAD 20k/yr in every option), exit costs at end of term.</w:t>
            </w:r>
          </w:p>
        </w:tc>
      </w:tr>
    </w:tbl>
    <w:p>
      <w:pPr>
        <w:keepNext/>
        <w:spacing w:after="80" w:before="160"/>
      </w:pPr>
      <w:r>
        <w:rPr>
          <w:b/>
          <w:bCs/>
          <w:color w:val="582873"/>
        </w:rPr>
        <w:t xml:space="preserve">ROM estimate by option (5-year, CAD)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cantSplit/>
          <w:tblHeader/>
        </w:trPr>
        <w:tc>
          <w:tcPr>
            <w:tcW w:type="dxa" w:w="45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Cost category (5-year)</w:t>
            </w:r>
          </w:p>
        </w:tc>
        <w:tc>
          <w:tcPr>
            <w:tcW w:type="dxa" w:w="16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A</w:t>
            </w:r>
          </w:p>
        </w:tc>
        <w:tc>
          <w:tcPr>
            <w:tcW w:type="dxa" w:w="16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B</w:t>
            </w:r>
          </w:p>
        </w:tc>
        <w:tc>
          <w:tcPr>
            <w:tcW w:type="dxa" w:w="16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C</w:t>
            </w:r>
          </w:p>
        </w:tc>
      </w:tr>
      <w:tr>
        <w:trPr>
          <w:cantSplit/>
        </w:trPr>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Software and SaaS licensing (on-premises, M365, DevOps, cloud workloads, configuration recovery)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$10.8M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$11.2M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$12.8M</w:t>
            </w:r>
          </w:p>
        </w:tc>
      </w:tr>
      <w:tr>
        <w:trPr>
          <w:cantSplit/>
        </w:trPr>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Cloud off-site copy and cloud backup storage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$1.9M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$2.3M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$2.3M</w:t>
            </w:r>
          </w:p>
        </w:tc>
      </w:tr>
      <w:tr>
        <w:trPr>
          <w:cantSplit/>
        </w:trPr>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On-premises infrastructure, ExpressRoute and cloud compute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$3.1M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$3.1M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$3.7M</w:t>
            </w:r>
          </w:p>
        </w:tc>
      </w:tr>
      <w:tr>
        <w:trPr>
          <w:cantSplit/>
        </w:trPr>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Operations staffing (core + incremental)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$2.5M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$3.0M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$2.2M</w:t>
            </w:r>
          </w:p>
        </w:tc>
      </w:tr>
      <w:tr>
        <w:trPr>
          <w:cantSplit/>
        </w:trPr>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Legacy Commvault restore-only tail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$0.7M</w:t>
            </w:r>
          </w:p>
        </w:tc>
      </w:tr>
      <w:tr>
        <w:trPr>
          <w:cantSplit/>
        </w:trPr>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One-time implementation, migration and training</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$0.4M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$0.6M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$0.9M</w:t>
            </w:r>
          </w:p>
        </w:tc>
      </w:tr>
      <w:tr>
        <w:trPr>
          <w:cantSplit/>
        </w:trPr>
        <w:tc>
          <w:tcPr>
            <w:tcW w:type="dxa" w:w="456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b/>
                <w:bCs/>
                <w:sz w:val="17"/>
                <w:szCs w:val="17"/>
              </w:rPr>
              <w:t xml:space="preserve">ROM point estimate</w:t>
            </w:r>
          </w:p>
        </w:tc>
        <w:tc>
          <w:tcPr>
            <w:tcW w:type="dxa" w:w="16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jc w:val="center"/>
            </w:pPr>
            <w:r>
              <w:rPr>
                <w:b/>
                <w:bCs/>
                <w:sz w:val="17"/>
                <w:szCs w:val="17"/>
              </w:rPr>
              <w:t xml:space="preserve">$18.6M</w:t>
            </w:r>
          </w:p>
        </w:tc>
        <w:tc>
          <w:tcPr>
            <w:tcW w:type="dxa" w:w="16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jc w:val="center"/>
            </w:pPr>
            <w:r>
              <w:rPr>
                <w:b/>
                <w:bCs/>
                <w:sz w:val="17"/>
                <w:szCs w:val="17"/>
              </w:rPr>
              <w:t xml:space="preserve">$20.3M</w:t>
            </w:r>
          </w:p>
        </w:tc>
        <w:tc>
          <w:tcPr>
            <w:tcW w:type="dxa" w:w="16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jc w:val="center"/>
            </w:pPr>
            <w:r>
              <w:rPr>
                <w:b/>
                <w:bCs/>
                <w:sz w:val="17"/>
                <w:szCs w:val="17"/>
              </w:rPr>
              <w:t xml:space="preserve">$22.7M</w:t>
            </w:r>
          </w:p>
        </w:tc>
      </w:tr>
      <w:tr>
        <w:trPr>
          <w:cantSplit/>
        </w:trPr>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ROM range (−25% / +40%)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$13.9M–$26.0M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$15.2M–$28.5M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$17.0M–$31.7M</w:t>
            </w:r>
          </w:p>
        </w:tc>
      </w:tr>
      <w:tr>
        <w:trPr>
          <w:cantSplit/>
        </w:trPr>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Difference vs. Option A</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+$1.8M (+9%)</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+$4.1M (+22%)</w:t>
            </w:r>
          </w:p>
        </w:tc>
      </w:tr>
      <w:tr>
        <w:trPr>
          <w:cantSplit/>
        </w:trPr>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Year-1 cash requirement (incl. one-time)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$3.2M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$3.6M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7"/>
                <w:szCs w:val="17"/>
              </w:rPr>
              <w:t xml:space="preserve">$4.4M</w:t>
            </w:r>
          </w:p>
        </w:tc>
      </w:tr>
    </w:tbl>
    <w:p>
      <w:pPr>
        <w:keepNext/>
        <w:spacing w:after="40" w:before="120"/>
        <w:jc w:val="center"/>
      </w:pPr>
      <w:r>
        <w:drawing>
          <wp:inline distT="0" distB="0" distL="0" distR="0">
            <wp:extent cx="5760720" cy="2448306"/>
            <wp:effectExtent t="0" r="0" b="0" l="0"/>
            <wp:docPr id="1" name="rom_chart.png" descr="rom_chart.png" title="rom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448306"/>
                    </a:xfrm>
                    <a:prstGeom prst="rect">
                      <a:avLst/>
                    </a:prstGeom>
                  </pic:spPr>
                </pic:pic>
              </a:graphicData>
            </a:graphic>
          </wp:inline>
        </w:drawing>
      </w:r>
    </w:p>
    <w:p>
      <w:pPr>
        <w:spacing w:after="200" w:before="60"/>
      </w:pPr>
      <w:r>
        <w:rPr>
          <w:i/>
          <w:iCs/>
          <w:color w:val="595959"/>
          <w:sz w:val="18"/>
          <w:szCs w:val="18"/>
        </w:rPr>
        <w:t xml:space="preserve">Figure 2: 5-year ROM cost by option, showing point estimate and accuracy range.</w:t>
      </w:r>
    </w:p>
    <w:p>
      <w:pPr>
        <w:spacing w:after="120" w:line="264"/>
      </w:pPr>
      <w:r>
        <w:t xml:space="preserve">The ranges overlap because most cost lines are shared or priced on the same volumes. The movements are therefore correlated: a change in data volume, growth or discount moves all three options in the same direction. The </w:t>
      </w:r>
      <w:r>
        <w:rPr>
          <w:b/>
          <w:bCs/>
        </w:rPr>
        <w:t xml:space="preserve">ranking (A lowest, C highest) holds</w:t>
      </w:r>
      <w:r>
        <w:t xml:space="preserve"> unless one of the option-specific drivers below moves strongly against Option A.</w:t>
      </w:r>
    </w:p>
    <w:p>
      <w:pPr>
        <w:keepNext/>
        <w:spacing w:after="80" w:before="160"/>
      </w:pPr>
      <w:r>
        <w:rPr>
          <w:b/>
          <w:bCs/>
          <w:color w:val="582873"/>
        </w:rPr>
        <w:t xml:space="preserve">Key factors that could affect the final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cantSplit/>
          <w:tblHeader/>
        </w:trPr>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Factor</w:t>
            </w:r>
          </w:p>
        </w:tc>
        <w:tc>
          <w:tcPr>
            <w:tcW w:type="dxa" w:w="55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Effect on cost</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Options most affected</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Commercial negotiation</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Discounts of 25–40% off list are common for multi-year enterprise agreements and would lower all totals.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All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Meaning of the 2 PB figure (A2)</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If 2 PB is front-end rather than back-end data, licence and cloud-copy quantities rise ~4×. This is the largest single swing.</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All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Rubrik on-premises metering</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Rubrik’s default on-premises metering is BETB. Without a written FETB commitment, Option C on-premises licensing rises materially (potentially several CAD millions over 5 years).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Data growth rate</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Each +5 points of annual on-premises growth adds roughly CAD 0.6–1.0M over 5 years.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All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Multi-cloud adoption</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Earlier or larger AWS/GCP adoption increases cloud licensing, storage and configuration-recovery cost; per-TB cloud rates are higher for Rubrik.</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B, C</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Configuration-recovery pricing</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Indicative at ~USD 60k per cloud per year. Option A uses the integrated Cloud Rewind; B and C need a separate tool plus IaC pipeline.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All (B, C more)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Hardware refresh and reuse</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 MediaAgent site without WORM-capable storage may need a refresh (A, B). Reuse of Rubrik-certified HyperScale X hardware would lower Option C infrastructure cost.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 B, C</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Legacy retention period</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The Commvault restore-only tail runs until long-term retention (up to 7 years) expires; earlier decommissioning lowers Option C cost.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Staffing model and rates</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FTE counts and loaded rates drive ~12–15% of total cost; a second platform (B) or dual-running (C) adds effort.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B, C</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Foreign exchange</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Most licences are USD-priced; a 5% move in CAD/USD changes each total by roughly ±CAD 0.7–0.9M.</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All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Network</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Shared vs. dedicated ExpressRoute and Data Box seeding choices change network cost.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All</w:t>
            </w:r>
          </w:p>
        </w:tc>
      </w:tr>
    </w:tbl>
    <w:p>
      <w:pPr>
        <w:pStyle w:val="Heading3"/>
      </w:pPr>
      <w:bookmarkStart w:id="923" w:name="_Toc1023"/>
      <w:r>
        <w:t xml:space="preserve">2.5.1   Use Case: Commvault, Rubrik and Azure Backup for Cloud Workloads</w:t>
      </w:r>
      <w:bookmarkEnd w:id="923"/>
    </w:p>
    <w:p>
      <w:pPr>
        <w:spacing w:after="120" w:line="264"/>
      </w:pPr>
      <w:r>
        <w:t xml:space="preserve">This view isolates the cloud scope only (Azure ~100 TB FETB, +25%/yr; AWS + GCP 40 / 80 / 120 TB in Years 3–5), including cloud resource and configuration recovery, operations and onboarding. Azure Backup is included as the native reference point: it protects Azure only, so AWS and GCP use their own native services and a separate configuration-recovery tool is added.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800"/>
        <w:gridCol w:w="800"/>
        <w:gridCol w:w="800"/>
        <w:gridCol w:w="960"/>
        <w:gridCol w:w="1000"/>
      </w:tblGrid>
      <w:tr>
        <w:trPr>
          <w:cantSplit/>
          <w:tblHeader/>
        </w:trPr>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Cloud scope (CAD, ROM)</w:t>
            </w:r>
          </w:p>
        </w:tc>
        <w:tc>
          <w:tcPr>
            <w:tcW w:type="dxa" w:w="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Yr 1</w:t>
            </w:r>
          </w:p>
        </w:tc>
        <w:tc>
          <w:tcPr>
            <w:tcW w:type="dxa" w:w="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Yr 2</w:t>
            </w:r>
          </w:p>
        </w:tc>
        <w:tc>
          <w:tcPr>
            <w:tcW w:type="dxa" w:w="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Yr 3</w:t>
            </w:r>
          </w:p>
        </w:tc>
        <w:tc>
          <w:tcPr>
            <w:tcW w:type="dxa" w:w="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Yr 4</w:t>
            </w:r>
          </w:p>
        </w:tc>
        <w:tc>
          <w:tcPr>
            <w:tcW w:type="dxa" w:w="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Yr 5</w:t>
            </w:r>
          </w:p>
        </w:tc>
        <w:tc>
          <w:tcPr>
            <w:tcW w:type="dxa" w:w="9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5-yr point</w:t>
            </w:r>
          </w:p>
        </w:tc>
        <w:tc>
          <w:tcPr>
            <w:tcW w:type="dxa" w:w="1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ROM range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Commvault (Option A)</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$0.43M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$0.40M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$0.75M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$0.91M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$1.10M</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$3.6M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$2.7M–$5.0M</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Rubrik, second platform (Option B)</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$0.88M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$0.64M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$1.05M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$1.27M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$1.52M</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$5.4M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$4.0M–$7.5M</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Rubrik, same platform as on-premises (Option C)</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$0.54M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$0.53M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$0.94M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$1.17M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$1.41M</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$4.6M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$3.4M–$6.4M</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Azure Backup + native cloud tools (reference)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$0.39M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$0.36M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$0.74M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$0.81M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$0.94M</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$3.2M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jc w:val="center"/>
            </w:pPr>
            <w:r>
              <w:rPr>
                <w:b w:val="false"/>
                <w:bCs w:val="false"/>
                <w:sz w:val="16"/>
                <w:szCs w:val="16"/>
              </w:rPr>
              <w:t xml:space="preserve">$2.4M–$4.5M</w:t>
            </w:r>
          </w:p>
        </w:tc>
      </w:tr>
    </w:tbl>
    <w:p>
      <w:pPr>
        <w:spacing w:after="160" w:before="60"/>
      </w:pPr>
      <w:r>
        <w:rPr>
          <w:i/>
          <w:iCs/>
          <w:color w:val="404040"/>
          <w:sz w:val="18"/>
          <w:szCs w:val="18"/>
        </w:rPr>
        <w:t xml:space="preserve">Azure Backup basis (indicative, validate in the Azure pricing calculator for Canada Central): protected-instance fee ~USD 25/TB-month blended across VMs and SQL; vault storage ~USD 40/TB-month blended LRS/GRS at 1.5× FETB; separate configuration-recovery tool and IaC pipeline as in Option B; +0.5 FTE (Years 1–2) and +1.0 FTE (Years 3–5) to run separate consoles per cloud.</w:t>
      </w:r>
    </w:p>
    <w:p>
      <w:pPr>
        <w:spacing w:after="120" w:line="264"/>
      </w:pPr>
      <w:r>
        <w:t xml:space="preserve">Azure Backup has the lowest direct cloud cost, but it does not meet the decision requirements on its own. It does not cover AWS, GCP or OCI (R9), cannot rebuild deleted resources and configuration (R8), is not RMAN-aware for Oracle on VMs, does not protect Azure DevOps or GitHub (R6), and adds a separate console per cloud (R10). It therefore remains a </w:t>
      </w:r>
      <w:r>
        <w:rPr>
          <w:b/>
          <w:bCs/>
        </w:rPr>
        <w:t xml:space="preserve">component</w:t>
      </w:r>
      <w:r>
        <w:t xml:space="preserve"> for platform-optimal native features (SQL DB/MI PITR/LTR, ASR, unvalidated PaaS services), not a platform option. Among the platform options, Commvault has the lowest cloud-scope cost because it extends an existing platform; Rubrik as a second platform (Option B) carries the highest cost.</w:t>
      </w:r>
    </w:p>
    <w:p>
      <w:pPr>
        <w:pStyle w:val="Heading2"/>
      </w:pPr>
      <w:bookmarkStart w:id="924" w:name="_Toc1024"/>
      <w:r>
        <w:t xml:space="preserve">2.6   Decision Rationale</w:t>
      </w:r>
      <w:bookmarkEnd w:id="924"/>
    </w:p>
    <w:p>
      <w:pPr>
        <w:pStyle w:val="Heading3"/>
      </w:pPr>
      <w:bookmarkStart w:id="925" w:name="_Toc1025"/>
      <w:r>
        <w:t xml:space="preserve">2.6.1   Cost</w:t>
      </w:r>
      <w:bookmarkEnd w:id="925"/>
    </w:p>
    <w:p>
      <w:pPr>
        <w:spacing w:after="120" w:line="264"/>
      </w:pPr>
      <w:r>
        <w:t xml:space="preserve">Option A has the lowest ROM cost at about </w:t>
      </w:r>
      <w:r>
        <w:rPr>
          <w:b/>
          <w:bCs/>
        </w:rPr>
        <w:t xml:space="preserve">CAD 18.6M</w:t>
      </w:r>
      <w:r>
        <w:t xml:space="preserve"> over five years (range CAD 13.9M–26.0M). Option B is about CAD 1.8M (+9%) higher because of a second cloud platform, a separate configuration-recovery tool and extra staffing. Option C is about CAD 4.1M (+22%) higher because of new on-premises clusters at four sites, migration services, dual-running and the Commvault restore-only tail; its exposure to Rubrik’s default BETB metering adds further upside risk. Option C’s lower steady-state staffing does not offset these costs within five years.</w:t>
      </w:r>
    </w:p>
    <w:p>
      <w:pPr>
        <w:pStyle w:val="Heading3"/>
      </w:pPr>
      <w:bookmarkStart w:id="926" w:name="_Toc1026"/>
      <w:r>
        <w:t xml:space="preserve">2.6.2   Functional Fit</w:t>
      </w:r>
      <w:bookmarkEnd w:id="926"/>
    </w:p>
    <w:p>
      <w:pPr>
        <w:spacing w:after="120" w:line="264"/>
      </w:pPr>
      <w:r>
        <w:t xml:space="preserve">All three options can protect the confirmed workload list, subject to the validations noted. The differences are:</w:t>
      </w:r>
    </w:p>
    <w:p>
      <w:pPr>
        <w:pStyle w:val="ListParagraph"/>
        <w:numPr>
          <w:ilvl w:val="0"/>
          <w:numId w:val="2"/>
        </w:numPr>
        <w:spacing w:after="60" w:line="252"/>
      </w:pPr>
      <w:r>
        <w:rPr>
          <w:b/>
          <w:bCs/>
        </w:rPr>
        <w:t xml:space="preserve">Business-signed RPO/RTO:</w:t>
      </w:r>
      <w:r>
        <w:t xml:space="preserve"> Options A and B keep the on-premises protection path that already meets RPO/RTO. Option C replaces it, so every on-premises RPO/RTO commitment must be re-designed, re-tested and re-signed.</w:t>
      </w:r>
    </w:p>
    <w:p>
      <w:pPr>
        <w:pStyle w:val="ListParagraph"/>
        <w:numPr>
          <w:ilvl w:val="0"/>
          <w:numId w:val="2"/>
        </w:numPr>
        <w:spacing w:after="60" w:line="252"/>
      </w:pPr>
      <w:r>
        <w:rPr>
          <w:b/>
          <w:bCs/>
        </w:rPr>
        <w:t xml:space="preserve">Cloud resource and configuration recovery:</w:t>
      </w:r>
      <w:r>
        <w:t xml:space="preserve"> Option A covers it from the same vendor across AWS, Azure and GCP (Cloud Rewind). Options B and C need a separate tool or IaC-only recovery per cloud.</w:t>
      </w:r>
    </w:p>
    <w:p>
      <w:pPr>
        <w:pStyle w:val="ListParagraph"/>
        <w:numPr>
          <w:ilvl w:val="0"/>
          <w:numId w:val="2"/>
        </w:numPr>
        <w:spacing w:after="60" w:line="252"/>
      </w:pPr>
      <w:r>
        <w:rPr>
          <w:b/>
          <w:bCs/>
        </w:rPr>
        <w:t xml:space="preserve">Cloud off-site copy:</w:t>
      </w:r>
      <w:r>
        <w:t xml:space="preserve"> Options A and C use one vendor for on-premises and cloud copies. Option B splits the vault estate.</w:t>
      </w:r>
    </w:p>
    <w:p>
      <w:pPr>
        <w:pStyle w:val="ListParagraph"/>
        <w:numPr>
          <w:ilvl w:val="0"/>
          <w:numId w:val="2"/>
        </w:numPr>
        <w:spacing w:after="60" w:line="252"/>
      </w:pPr>
      <w:r>
        <w:rPr>
          <w:b/>
          <w:bCs/>
        </w:rPr>
        <w:t xml:space="preserve">DevOps and cross-subscription restore:</w:t>
      </w:r>
      <w:r>
        <w:t xml:space="preserve"> pre-merge backup is implemented as a pipeline gate in every option. Option A adds documented cross-platform DevOps restore and the broadest documented out-of-place restore. Azure Backup covers VM cross-subscription restore and SQL MI PITR, but not LTR or environment rebuild.</w:t>
      </w:r>
    </w:p>
    <w:p>
      <w:pPr>
        <w:pStyle w:val="Heading3"/>
      </w:pPr>
      <w:bookmarkStart w:id="927" w:name="_Toc1027"/>
      <w:r>
        <w:t xml:space="preserve">2.6.3   Management Complexity</w:t>
      </w:r>
      <w:bookmarkEnd w:id="927"/>
    </w:p>
    <w:p>
      <w:pPr>
        <w:spacing w:after="120" w:line="264"/>
      </w:pPr>
      <w:r>
        <w:t xml:space="preserve">Option A keeps one control plane for data and configuration. Option B runs two to three planes, with two immutability schemes and two vault estates to coordinate during a cyber event. Option C ends with one data plane plus a configuration tool, but runs Rubrik and Commvault side by side for 18–24 months and keeps Commvault for long-term-retention restores for up to seven years.</w:t>
      </w:r>
    </w:p>
    <w:p>
      <w:pPr>
        <w:pStyle w:val="Heading3"/>
      </w:pPr>
      <w:bookmarkStart w:id="928" w:name="_Toc1028"/>
      <w:r>
        <w:t xml:space="preserve">2.6.4   Future Equivalent Capability</w:t>
      </w:r>
      <w:bookmarkEnd w:id="928"/>
    </w:p>
    <w:p>
      <w:pPr>
        <w:spacing w:after="120" w:line="264"/>
      </w:pPr>
      <w:r>
        <w:t xml:space="preserve">Commvault documents data protection for Azure, AWS, GCP and OCI (including Canadian regions) and configuration rebuild for AWS, Azure and GCP. Rubrik documents strong data protection for Azure, AWS and GCP; OCI and configuration rebuild need validation. Azure Backup is limited to Azure. Option A therefore best meets the "any other cloud" requirement without adding tools.</w:t>
      </w:r>
    </w:p>
    <w:p>
      <w:pPr>
        <w:pStyle w:val="Heading3"/>
      </w:pPr>
      <w:bookmarkStart w:id="929" w:name="_Toc1029"/>
      <w:r>
        <w:t xml:space="preserve">2.6.5   Security</w:t>
      </w:r>
      <w:bookmarkEnd w:id="929"/>
    </w:p>
    <w:p>
      <w:pPr>
        <w:spacing w:after="120" w:line="264"/>
      </w:pPr>
      <w:r>
        <w:t xml:space="preserve">Option C has the strongest default security posture and a ransomware recovery warranty. Option A reaches an equivalent posture once the hardening baseline is enforced, and keeps one security model across data and configuration recovery. Option B mixes postures and doubles the privileged-access surface. In every option, the new immutable cloud copy with a separate custodian is the largest security improvement over today.</w:t>
      </w:r>
    </w:p>
    <w:p>
      <w:pPr>
        <w:pStyle w:val="Heading3"/>
        <w:pageBreakBefore/>
      </w:pPr>
      <w:bookmarkStart w:id="930" w:name="_Toc1030"/>
      <w:r>
        <w:t xml:space="preserve">2.6.6   Comparison Heat Map</w:t>
      </w:r>
      <w:bookmarkEnd w:id="9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400"/>
        <w:gridCol w:w="1400"/>
        <w:gridCol w:w="1400"/>
      </w:tblGrid>
      <w:tr>
        <w:trPr>
          <w:tblHeader/>
        </w:trPr>
        <w:tc>
          <w:tcPr>
            <w:tcW w:type="dxa" w:w="51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Criterion</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jc w:val="center"/>
            </w:pPr>
            <w:r>
              <w:rPr>
                <w:b/>
                <w:bCs/>
                <w:color w:val="FFFFFF"/>
                <w:sz w:val="17"/>
                <w:szCs w:val="17"/>
              </w:rPr>
              <w:t xml:space="preserve">Option A</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jc w:val="center"/>
            </w:pPr>
            <w:r>
              <w:rPr>
                <w:b/>
                <w:bCs/>
                <w:color w:val="FFFFFF"/>
                <w:sz w:val="17"/>
                <w:szCs w:val="17"/>
              </w:rPr>
              <w:t xml:space="preserve">Option B</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jc w:val="center"/>
            </w:pPr>
            <w:r>
              <w:rPr>
                <w:b/>
                <w:bCs/>
                <w:color w:val="FFFFFF"/>
                <w:sz w:val="17"/>
                <w:szCs w:val="17"/>
              </w:rPr>
              <w:t xml:space="preserve">Option C</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Cost (5-year ROM)</w:t>
            </w:r>
          </w:p>
        </w:tc>
        <w:tc>
          <w:tcPr>
            <w:tcW w:type="dxa" w:w="1400"/>
            <w:tcBorders>
              <w:top w:val="single" w:color="BFBFBF" w:sz="4"/>
              <w:left w:val="single" w:color="BFBFBF" w:sz="4"/>
              <w:bottom w:val="single" w:color="BFBFBF" w:sz="4"/>
              <w:right w:val="single" w:color="BFBFBF" w:sz="4"/>
            </w:tcBorders>
            <w:shd w:fill="C5E0B4" w:color="auto" w:val="clear"/>
            <w:tcMar>
              <w:top w:type="dxa" w:w="50"/>
              <w:left w:type="dxa" w:w="90"/>
              <w:bottom w:type="dxa" w:w="50"/>
              <w:right w:type="dxa" w:w="90"/>
            </w:tcMar>
            <w:vAlign w:val="top"/>
          </w:tcPr>
          <w:p>
            <w:pPr>
              <w:spacing w:after="20"/>
              <w:jc w:val="center"/>
            </w:pPr>
            <w:r>
              <w:rPr>
                <w:b/>
                <w:bCs/>
                <w:sz w:val="17"/>
                <w:szCs w:val="17"/>
              </w:rPr>
              <w:t xml:space="preserve">4.5</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jc w:val="center"/>
            </w:pPr>
            <w:r>
              <w:rPr>
                <w:b/>
                <w:bCs/>
                <w:sz w:val="17"/>
                <w:szCs w:val="17"/>
              </w:rPr>
              <w:t xml:space="preserve">3.5</w:t>
            </w:r>
          </w:p>
        </w:tc>
        <w:tc>
          <w:tcPr>
            <w:tcW w:type="dxa" w:w="1400"/>
            <w:tcBorders>
              <w:top w:val="single" w:color="BFBFBF" w:sz="4"/>
              <w:left w:val="single" w:color="BFBFBF" w:sz="4"/>
              <w:bottom w:val="single" w:color="BFBFBF" w:sz="4"/>
              <w:right w:val="single" w:color="BFBFBF" w:sz="4"/>
            </w:tcBorders>
            <w:shd w:fill="F4B183" w:color="auto" w:val="clear"/>
            <w:tcMar>
              <w:top w:type="dxa" w:w="50"/>
              <w:left w:type="dxa" w:w="90"/>
              <w:bottom w:type="dxa" w:w="50"/>
              <w:right w:type="dxa" w:w="90"/>
            </w:tcMar>
            <w:vAlign w:val="top"/>
          </w:tcPr>
          <w:p>
            <w:pPr>
              <w:spacing w:after="20"/>
              <w:jc w:val="center"/>
            </w:pPr>
            <w:r>
              <w:rPr>
                <w:b/>
                <w:bCs/>
                <w:sz w:val="17"/>
                <w:szCs w:val="17"/>
              </w:rPr>
              <w:t xml:space="preserve">2.0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Proven business-signed RPO/RTO (on-premises)</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c>
          <w:tcPr>
            <w:tcW w:type="dxa" w:w="1400"/>
            <w:tcBorders>
              <w:top w:val="single" w:color="BFBFBF" w:sz="4"/>
              <w:left w:val="single" w:color="BFBFBF" w:sz="4"/>
              <w:bottom w:val="single" w:color="BFBFBF" w:sz="4"/>
              <w:right w:val="single" w:color="BFBFBF" w:sz="4"/>
            </w:tcBorders>
            <w:shd w:fill="F4B183" w:color="auto" w:val="clear"/>
            <w:tcMar>
              <w:top w:type="dxa" w:w="50"/>
              <w:left w:type="dxa" w:w="90"/>
              <w:bottom w:type="dxa" w:w="50"/>
              <w:right w:type="dxa" w:w="90"/>
            </w:tcMar>
            <w:vAlign w:val="top"/>
          </w:tcPr>
          <w:p>
            <w:pPr>
              <w:spacing w:after="20"/>
              <w:jc w:val="center"/>
            </w:pPr>
            <w:r>
              <w:rPr>
                <w:b/>
                <w:bCs/>
                <w:sz w:val="17"/>
                <w:szCs w:val="17"/>
              </w:rPr>
              <w:t xml:space="preserve">2.0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Reuse of HyperScale X / MediaAgent investment</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c>
          <w:tcPr>
            <w:tcW w:type="dxa" w:w="1400"/>
            <w:tcBorders>
              <w:top w:val="single" w:color="BFBFBF" w:sz="4"/>
              <w:left w:val="single" w:color="BFBFBF" w:sz="4"/>
              <w:bottom w:val="single" w:color="BFBFBF" w:sz="4"/>
              <w:right w:val="single" w:color="BFBFBF" w:sz="4"/>
            </w:tcBorders>
            <w:shd w:fill="E99A9A" w:color="auto" w:val="clear"/>
            <w:tcMar>
              <w:top w:type="dxa" w:w="50"/>
              <w:left w:type="dxa" w:w="90"/>
              <w:bottom w:type="dxa" w:w="50"/>
              <w:right w:type="dxa" w:w="90"/>
            </w:tcMar>
            <w:vAlign w:val="top"/>
          </w:tcPr>
          <w:p>
            <w:pPr>
              <w:spacing w:after="20"/>
              <w:jc w:val="center"/>
            </w:pPr>
            <w:r>
              <w:rPr>
                <w:b/>
                <w:bCs/>
                <w:sz w:val="17"/>
                <w:szCs w:val="17"/>
              </w:rPr>
              <w:t xml:space="preserve">1.0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Migration risk</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c>
          <w:tcPr>
            <w:tcW w:type="dxa" w:w="1400"/>
            <w:tcBorders>
              <w:top w:val="single" w:color="BFBFBF" w:sz="4"/>
              <w:left w:val="single" w:color="BFBFBF" w:sz="4"/>
              <w:bottom w:val="single" w:color="BFBFBF" w:sz="4"/>
              <w:right w:val="single" w:color="BFBFBF" w:sz="4"/>
            </w:tcBorders>
            <w:shd w:fill="C5E0B4" w:color="auto" w:val="clear"/>
            <w:tcMar>
              <w:top w:type="dxa" w:w="50"/>
              <w:left w:type="dxa" w:w="90"/>
              <w:bottom w:type="dxa" w:w="50"/>
              <w:right w:type="dxa" w:w="90"/>
            </w:tcMar>
            <w:vAlign w:val="top"/>
          </w:tcPr>
          <w:p>
            <w:pPr>
              <w:spacing w:after="20"/>
              <w:jc w:val="center"/>
            </w:pPr>
            <w:r>
              <w:rPr>
                <w:b/>
                <w:bCs/>
                <w:sz w:val="17"/>
                <w:szCs w:val="17"/>
              </w:rPr>
              <w:t xml:space="preserve">4.5</w:t>
            </w:r>
          </w:p>
        </w:tc>
        <w:tc>
          <w:tcPr>
            <w:tcW w:type="dxa" w:w="1400"/>
            <w:tcBorders>
              <w:top w:val="single" w:color="BFBFBF" w:sz="4"/>
              <w:left w:val="single" w:color="BFBFBF" w:sz="4"/>
              <w:bottom w:val="single" w:color="BFBFBF" w:sz="4"/>
              <w:right w:val="single" w:color="BFBFBF" w:sz="4"/>
            </w:tcBorders>
            <w:shd w:fill="E99A9A" w:color="auto" w:val="clear"/>
            <w:tcMar>
              <w:top w:type="dxa" w:w="50"/>
              <w:left w:type="dxa" w:w="90"/>
              <w:bottom w:type="dxa" w:w="50"/>
              <w:right w:type="dxa" w:w="90"/>
            </w:tcMar>
            <w:vAlign w:val="top"/>
          </w:tcPr>
          <w:p>
            <w:pPr>
              <w:spacing w:after="20"/>
              <w:jc w:val="center"/>
            </w:pPr>
            <w:r>
              <w:rPr>
                <w:b/>
                <w:bCs/>
                <w:sz w:val="17"/>
                <w:szCs w:val="17"/>
              </w:rPr>
              <w:t xml:space="preserve">1.5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Coverage: on-premises (VMware/UCS, Windows, Linux, AIX, Oracle)</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Coverage: Azure IaaS and databases</w:t>
            </w:r>
          </w:p>
        </w:tc>
        <w:tc>
          <w:tcPr>
            <w:tcW w:type="dxa" w:w="1400"/>
            <w:tcBorders>
              <w:top w:val="single" w:color="BFBFBF" w:sz="4"/>
              <w:left w:val="single" w:color="BFBFBF" w:sz="4"/>
              <w:bottom w:val="single" w:color="BFBFBF" w:sz="4"/>
              <w:right w:val="single" w:color="BFBFBF" w:sz="4"/>
            </w:tcBorders>
            <w:shd w:fill="C5E0B4" w:color="auto" w:val="clear"/>
            <w:tcMar>
              <w:top w:type="dxa" w:w="50"/>
              <w:left w:type="dxa" w:w="90"/>
              <w:bottom w:type="dxa" w:w="50"/>
              <w:right w:type="dxa" w:w="90"/>
            </w:tcMar>
            <w:vAlign w:val="top"/>
          </w:tcPr>
          <w:p>
            <w:pPr>
              <w:spacing w:after="20"/>
              <w:jc w:val="center"/>
            </w:pPr>
            <w:r>
              <w:rPr>
                <w:b/>
                <w:bCs/>
                <w:sz w:val="17"/>
                <w:szCs w:val="17"/>
              </w:rPr>
              <w:t xml:space="preserve">4.5</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Coverage: Azure modern PaaS (Blob, Files, AKS, PaaS DBs)</w:t>
            </w:r>
          </w:p>
        </w:tc>
        <w:tc>
          <w:tcPr>
            <w:tcW w:type="dxa" w:w="1400"/>
            <w:tcBorders>
              <w:top w:val="single" w:color="BFBFBF" w:sz="4"/>
              <w:left w:val="single" w:color="BFBFBF" w:sz="4"/>
              <w:bottom w:val="single" w:color="BFBFBF" w:sz="4"/>
              <w:right w:val="single" w:color="BFBFBF" w:sz="4"/>
            </w:tcBorders>
            <w:shd w:fill="C5E0B4" w:color="auto" w:val="clear"/>
            <w:tcMar>
              <w:top w:type="dxa" w:w="50"/>
              <w:left w:type="dxa" w:w="90"/>
              <w:bottom w:type="dxa" w:w="50"/>
              <w:right w:type="dxa" w:w="90"/>
            </w:tcMar>
            <w:vAlign w:val="top"/>
          </w:tcPr>
          <w:p>
            <w:pPr>
              <w:spacing w:after="20"/>
              <w:jc w:val="center"/>
            </w:pPr>
            <w:r>
              <w:rPr>
                <w:b/>
                <w:bCs/>
                <w:sz w:val="17"/>
                <w:szCs w:val="17"/>
              </w:rPr>
              <w:t xml:space="preserve">4.5</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jc w:val="center"/>
            </w:pPr>
            <w:r>
              <w:rPr>
                <w:b/>
                <w:bCs/>
                <w:sz w:val="17"/>
                <w:szCs w:val="17"/>
              </w:rPr>
              <w:t xml:space="preserve">3.5</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jc w:val="center"/>
            </w:pPr>
            <w:r>
              <w:rPr>
                <w:b/>
                <w:bCs/>
                <w:sz w:val="17"/>
                <w:szCs w:val="17"/>
              </w:rPr>
              <w:t xml:space="preserve">3.5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Cloud resource and configuration recovery</w:t>
            </w:r>
          </w:p>
        </w:tc>
        <w:tc>
          <w:tcPr>
            <w:tcW w:type="dxa" w:w="1400"/>
            <w:tcBorders>
              <w:top w:val="single" w:color="BFBFBF" w:sz="4"/>
              <w:left w:val="single" w:color="BFBFBF" w:sz="4"/>
              <w:bottom w:val="single" w:color="BFBFBF" w:sz="4"/>
              <w:right w:val="single" w:color="BFBFBF" w:sz="4"/>
            </w:tcBorders>
            <w:shd w:fill="C5E0B4" w:color="auto" w:val="clear"/>
            <w:tcMar>
              <w:top w:type="dxa" w:w="50"/>
              <w:left w:type="dxa" w:w="90"/>
              <w:bottom w:type="dxa" w:w="50"/>
              <w:right w:type="dxa" w:w="90"/>
            </w:tcMar>
            <w:vAlign w:val="top"/>
          </w:tcPr>
          <w:p>
            <w:pPr>
              <w:spacing w:after="20"/>
              <w:jc w:val="center"/>
            </w:pPr>
            <w:r>
              <w:rPr>
                <w:b/>
                <w:bCs/>
                <w:sz w:val="17"/>
                <w:szCs w:val="17"/>
              </w:rPr>
              <w:t xml:space="preserve">4.5</w:t>
            </w:r>
          </w:p>
        </w:tc>
        <w:tc>
          <w:tcPr>
            <w:tcW w:type="dxa" w:w="14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top"/>
          </w:tcPr>
          <w:p>
            <w:pPr>
              <w:spacing w:after="20"/>
              <w:jc w:val="center"/>
            </w:pPr>
            <w:r>
              <w:rPr>
                <w:b/>
                <w:bCs/>
                <w:sz w:val="17"/>
                <w:szCs w:val="17"/>
              </w:rPr>
              <w:t xml:space="preserve">2.5</w:t>
            </w:r>
          </w:p>
        </w:tc>
        <w:tc>
          <w:tcPr>
            <w:tcW w:type="dxa" w:w="14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top"/>
          </w:tcPr>
          <w:p>
            <w:pPr>
              <w:spacing w:after="20"/>
              <w:jc w:val="center"/>
            </w:pPr>
            <w:r>
              <w:rPr>
                <w:b/>
                <w:bCs/>
                <w:sz w:val="17"/>
                <w:szCs w:val="17"/>
              </w:rPr>
              <w:t xml:space="preserve">2.5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Coverage: Azure DevOps and GitHub</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jc w:val="center"/>
            </w:pPr>
            <w:r>
              <w:rPr>
                <w:b/>
                <w:bCs/>
                <w:sz w:val="17"/>
                <w:szCs w:val="17"/>
              </w:rPr>
              <w:t xml:space="preserve">3.5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Multi-site replication (4 sites)</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Hybrid cloud off-site copy integration</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c>
          <w:tcPr>
            <w:tcW w:type="dxa" w:w="14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top"/>
          </w:tcPr>
          <w:p>
            <w:pPr>
              <w:spacing w:after="20"/>
              <w:jc w:val="center"/>
            </w:pPr>
            <w:r>
              <w:rPr>
                <w:b/>
                <w:bCs/>
                <w:sz w:val="17"/>
                <w:szCs w:val="17"/>
              </w:rPr>
              <w:t xml:space="preserve">2.5</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Any-cloud extensibility (AWS, GCP, OCI)</w:t>
            </w:r>
          </w:p>
        </w:tc>
        <w:tc>
          <w:tcPr>
            <w:tcW w:type="dxa" w:w="1400"/>
            <w:tcBorders>
              <w:top w:val="single" w:color="BFBFBF" w:sz="4"/>
              <w:left w:val="single" w:color="BFBFBF" w:sz="4"/>
              <w:bottom w:val="single" w:color="BFBFBF" w:sz="4"/>
              <w:right w:val="single" w:color="BFBFBF" w:sz="4"/>
            </w:tcBorders>
            <w:shd w:fill="C5E0B4" w:color="auto" w:val="clear"/>
            <w:tcMar>
              <w:top w:type="dxa" w:w="50"/>
              <w:left w:type="dxa" w:w="90"/>
              <w:bottom w:type="dxa" w:w="50"/>
              <w:right w:type="dxa" w:w="90"/>
            </w:tcMar>
            <w:vAlign w:val="top"/>
          </w:tcPr>
          <w:p>
            <w:pPr>
              <w:spacing w:after="20"/>
              <w:jc w:val="center"/>
            </w:pPr>
            <w:r>
              <w:rPr>
                <w:b/>
                <w:bCs/>
                <w:sz w:val="17"/>
                <w:szCs w:val="17"/>
              </w:rPr>
              <w:t xml:space="preserve">4.5</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jc w:val="center"/>
            </w:pPr>
            <w:r>
              <w:rPr>
                <w:b/>
                <w:bCs/>
                <w:sz w:val="17"/>
                <w:szCs w:val="17"/>
              </w:rPr>
              <w:t xml:space="preserve">3.5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Management complexity</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c>
          <w:tcPr>
            <w:tcW w:type="dxa" w:w="14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top"/>
          </w:tcPr>
          <w:p>
            <w:pPr>
              <w:spacing w:after="20"/>
              <w:jc w:val="center"/>
            </w:pPr>
            <w:r>
              <w:rPr>
                <w:b/>
                <w:bCs/>
                <w:sz w:val="17"/>
                <w:szCs w:val="17"/>
              </w:rPr>
              <w:t xml:space="preserve">2.5</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Security controls (default posture)</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c>
          <w:tcPr>
            <w:tcW w:type="dxa" w:w="1400"/>
            <w:tcBorders>
              <w:top w:val="single" w:color="BFBFBF" w:sz="4"/>
              <w:left w:val="single" w:color="BFBFBF" w:sz="4"/>
              <w:bottom w:val="single" w:color="BFBFBF" w:sz="4"/>
              <w:right w:val="single" w:color="BFBFBF" w:sz="4"/>
            </w:tcBorders>
            <w:shd w:fill="C5E0B4" w:color="auto" w:val="clear"/>
            <w:tcMar>
              <w:top w:type="dxa" w:w="50"/>
              <w:left w:type="dxa" w:w="90"/>
              <w:bottom w:type="dxa" w:w="50"/>
              <w:right w:type="dxa" w:w="90"/>
            </w:tcMar>
            <w:vAlign w:val="top"/>
          </w:tcPr>
          <w:p>
            <w:pPr>
              <w:spacing w:after="20"/>
              <w:jc w:val="center"/>
            </w:pPr>
            <w:r>
              <w:rPr>
                <w:b/>
                <w:bCs/>
                <w:sz w:val="17"/>
                <w:szCs w:val="17"/>
              </w:rPr>
              <w:t xml:space="preserve">4.5</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Cyber-recovery capability</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Canadian data residency</w:t>
            </w:r>
          </w:p>
        </w:tc>
        <w:tc>
          <w:tcPr>
            <w:tcW w:type="dxa" w:w="1400"/>
            <w:tcBorders>
              <w:top w:val="single" w:color="BFBFBF" w:sz="4"/>
              <w:left w:val="single" w:color="BFBFBF" w:sz="4"/>
              <w:bottom w:val="single" w:color="BFBFBF" w:sz="4"/>
              <w:right w:val="single" w:color="BFBFBF" w:sz="4"/>
            </w:tcBorders>
            <w:shd w:fill="C5E0B4" w:color="auto" w:val="clear"/>
            <w:tcMar>
              <w:top w:type="dxa" w:w="50"/>
              <w:left w:type="dxa" w:w="90"/>
              <w:bottom w:type="dxa" w:w="50"/>
              <w:right w:type="dxa" w:w="90"/>
            </w:tcMar>
            <w:vAlign w:val="top"/>
          </w:tcPr>
          <w:p>
            <w:pPr>
              <w:spacing w:after="20"/>
              <w:jc w:val="center"/>
            </w:pPr>
            <w:r>
              <w:rPr>
                <w:b/>
                <w:bCs/>
                <w:sz w:val="17"/>
                <w:szCs w:val="17"/>
              </w:rPr>
              <w:t xml:space="preserve">4.5</w:t>
            </w:r>
          </w:p>
        </w:tc>
        <w:tc>
          <w:tcPr>
            <w:tcW w:type="dxa" w:w="1400"/>
            <w:tcBorders>
              <w:top w:val="single" w:color="BFBFBF" w:sz="4"/>
              <w:left w:val="single" w:color="BFBFBF" w:sz="4"/>
              <w:bottom w:val="single" w:color="BFBFBF" w:sz="4"/>
              <w:right w:val="single" w:color="BFBFBF" w:sz="4"/>
            </w:tcBorders>
            <w:shd w:fill="FFE699" w:color="auto" w:val="clear"/>
            <w:tcMar>
              <w:top w:type="dxa" w:w="50"/>
              <w:left w:type="dxa" w:w="90"/>
              <w:bottom w:type="dxa" w:w="50"/>
              <w:right w:type="dxa" w:w="90"/>
            </w:tcMar>
            <w:vAlign w:val="top"/>
          </w:tcPr>
          <w:p>
            <w:pPr>
              <w:spacing w:after="20"/>
              <w:jc w:val="center"/>
            </w:pPr>
            <w:r>
              <w:rPr>
                <w:b/>
                <w:bCs/>
                <w:sz w:val="17"/>
                <w:szCs w:val="17"/>
              </w:rPr>
              <w:t xml:space="preserve">3.0</w:t>
            </w:r>
          </w:p>
        </w:tc>
        <w:tc>
          <w:tcPr>
            <w:tcW w:type="dxa" w:w="1400"/>
            <w:tcBorders>
              <w:top w:val="single" w:color="BFBFBF" w:sz="4"/>
              <w:left w:val="single" w:color="BFBFBF" w:sz="4"/>
              <w:bottom w:val="single" w:color="BFBFBF" w:sz="4"/>
              <w:right w:val="single" w:color="BFBFBF" w:sz="4"/>
            </w:tcBorders>
            <w:shd w:fill="FFE699" w:color="auto" w:val="clear"/>
            <w:tcMar>
              <w:top w:type="dxa" w:w="50"/>
              <w:left w:type="dxa" w:w="90"/>
              <w:bottom w:type="dxa" w:w="50"/>
              <w:right w:type="dxa" w:w="90"/>
            </w:tcMar>
            <w:vAlign w:val="top"/>
          </w:tcPr>
          <w:p>
            <w:pPr>
              <w:spacing w:after="20"/>
              <w:jc w:val="center"/>
            </w:pPr>
            <w:r>
              <w:rPr>
                <w:b/>
                <w:bCs/>
                <w:sz w:val="17"/>
                <w:szCs w:val="17"/>
              </w:rPr>
              <w:t xml:space="preserve">3.0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Implementation effort</w:t>
            </w:r>
          </w:p>
        </w:tc>
        <w:tc>
          <w:tcPr>
            <w:tcW w:type="dxa" w:w="1400"/>
            <w:tcBorders>
              <w:top w:val="single" w:color="BFBFBF" w:sz="4"/>
              <w:left w:val="single" w:color="BFBFBF" w:sz="4"/>
              <w:bottom w:val="single" w:color="BFBFBF" w:sz="4"/>
              <w:right w:val="single" w:color="BFBFBF" w:sz="4"/>
            </w:tcBorders>
            <w:shd w:fill="C5E0B4" w:color="auto" w:val="clear"/>
            <w:tcMar>
              <w:top w:type="dxa" w:w="50"/>
              <w:left w:type="dxa" w:w="90"/>
              <w:bottom w:type="dxa" w:w="50"/>
              <w:right w:type="dxa" w:w="90"/>
            </w:tcMar>
            <w:vAlign w:val="top"/>
          </w:tcPr>
          <w:p>
            <w:pPr>
              <w:spacing w:after="20"/>
              <w:jc w:val="center"/>
            </w:pPr>
            <w:r>
              <w:rPr>
                <w:b/>
                <w:bCs/>
                <w:sz w:val="17"/>
                <w:szCs w:val="17"/>
              </w:rPr>
              <w:t xml:space="preserve">4.5</w:t>
            </w:r>
          </w:p>
        </w:tc>
        <w:tc>
          <w:tcPr>
            <w:tcW w:type="dxa" w:w="1400"/>
            <w:tcBorders>
              <w:top w:val="single" w:color="BFBFBF" w:sz="4"/>
              <w:left w:val="single" w:color="BFBFBF" w:sz="4"/>
              <w:bottom w:val="single" w:color="BFBFBF" w:sz="4"/>
              <w:right w:val="single" w:color="BFBFBF" w:sz="4"/>
            </w:tcBorders>
            <w:shd w:fill="FFE699" w:color="auto" w:val="clear"/>
            <w:tcMar>
              <w:top w:type="dxa" w:w="50"/>
              <w:left w:type="dxa" w:w="90"/>
              <w:bottom w:type="dxa" w:w="50"/>
              <w:right w:type="dxa" w:w="90"/>
            </w:tcMar>
            <w:vAlign w:val="top"/>
          </w:tcPr>
          <w:p>
            <w:pPr>
              <w:spacing w:after="20"/>
              <w:jc w:val="center"/>
            </w:pPr>
            <w:r>
              <w:rPr>
                <w:b/>
                <w:bCs/>
                <w:sz w:val="17"/>
                <w:szCs w:val="17"/>
              </w:rPr>
              <w:t xml:space="preserve">3.0</w:t>
            </w:r>
          </w:p>
        </w:tc>
        <w:tc>
          <w:tcPr>
            <w:tcW w:type="dxa" w:w="1400"/>
            <w:tcBorders>
              <w:top w:val="single" w:color="BFBFBF" w:sz="4"/>
              <w:left w:val="single" w:color="BFBFBF" w:sz="4"/>
              <w:bottom w:val="single" w:color="BFBFBF" w:sz="4"/>
              <w:right w:val="single" w:color="BFBFBF" w:sz="4"/>
            </w:tcBorders>
            <w:shd w:fill="E99A9A" w:color="auto" w:val="clear"/>
            <w:tcMar>
              <w:top w:type="dxa" w:w="50"/>
              <w:left w:type="dxa" w:w="90"/>
              <w:bottom w:type="dxa" w:w="50"/>
              <w:right w:type="dxa" w:w="90"/>
            </w:tcMar>
            <w:vAlign w:val="top"/>
          </w:tcPr>
          <w:p>
            <w:pPr>
              <w:spacing w:after="20"/>
              <w:jc w:val="center"/>
            </w:pPr>
            <w:r>
              <w:rPr>
                <w:b/>
                <w:bCs/>
                <w:sz w:val="17"/>
                <w:szCs w:val="17"/>
              </w:rPr>
              <w:t xml:space="preserve">1.5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Vendor concentration risk</w:t>
            </w:r>
          </w:p>
        </w:tc>
        <w:tc>
          <w:tcPr>
            <w:tcW w:type="dxa" w:w="1400"/>
            <w:tcBorders>
              <w:top w:val="single" w:color="BFBFBF" w:sz="4"/>
              <w:left w:val="single" w:color="BFBFBF" w:sz="4"/>
              <w:bottom w:val="single" w:color="BFBFBF" w:sz="4"/>
              <w:right w:val="single" w:color="BFBFBF" w:sz="4"/>
            </w:tcBorders>
            <w:shd w:fill="FFE699" w:color="auto" w:val="clear"/>
            <w:tcMar>
              <w:top w:type="dxa" w:w="50"/>
              <w:left w:type="dxa" w:w="90"/>
              <w:bottom w:type="dxa" w:w="50"/>
              <w:right w:type="dxa" w:w="90"/>
            </w:tcMar>
            <w:vAlign w:val="top"/>
          </w:tcPr>
          <w:p>
            <w:pPr>
              <w:spacing w:after="20"/>
              <w:jc w:val="center"/>
            </w:pPr>
            <w:r>
              <w:rPr>
                <w:b/>
                <w:bCs/>
                <w:sz w:val="17"/>
                <w:szCs w:val="17"/>
              </w:rPr>
              <w:t xml:space="preserve">3.0</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c>
          <w:tcPr>
            <w:tcW w:type="dxa" w:w="1400"/>
            <w:tcBorders>
              <w:top w:val="single" w:color="BFBFBF" w:sz="4"/>
              <w:left w:val="single" w:color="BFBFBF" w:sz="4"/>
              <w:bottom w:val="single" w:color="BFBFBF" w:sz="4"/>
              <w:right w:val="single" w:color="BFBFBF" w:sz="4"/>
            </w:tcBorders>
            <w:shd w:fill="FFE699" w:color="auto" w:val="clear"/>
            <w:tcMar>
              <w:top w:type="dxa" w:w="50"/>
              <w:left w:type="dxa" w:w="90"/>
              <w:bottom w:type="dxa" w:w="50"/>
              <w:right w:type="dxa" w:w="90"/>
            </w:tcMar>
            <w:vAlign w:val="top"/>
          </w:tcPr>
          <w:p>
            <w:pPr>
              <w:spacing w:after="20"/>
              <w:jc w:val="center"/>
            </w:pPr>
            <w:r>
              <w:rPr>
                <w:b/>
                <w:bCs/>
                <w:sz w:val="17"/>
                <w:szCs w:val="17"/>
              </w:rPr>
              <w:t xml:space="preserve">3.0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Skills and staffing</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c>
          <w:tcPr>
            <w:tcW w:type="dxa" w:w="1400"/>
            <w:tcBorders>
              <w:top w:val="single" w:color="BFBFBF" w:sz="4"/>
              <w:left w:val="single" w:color="BFBFBF" w:sz="4"/>
              <w:bottom w:val="single" w:color="BFBFBF" w:sz="4"/>
              <w:right w:val="single" w:color="BFBFBF" w:sz="4"/>
            </w:tcBorders>
            <w:shd w:fill="FFE699" w:color="auto" w:val="clear"/>
            <w:tcMar>
              <w:top w:type="dxa" w:w="50"/>
              <w:left w:type="dxa" w:w="90"/>
              <w:bottom w:type="dxa" w:w="50"/>
              <w:right w:type="dxa" w:w="90"/>
            </w:tcMar>
            <w:vAlign w:val="top"/>
          </w:tcPr>
          <w:p>
            <w:pPr>
              <w:spacing w:after="20"/>
              <w:jc w:val="center"/>
            </w:pPr>
            <w:r>
              <w:rPr>
                <w:b/>
                <w:bCs/>
                <w:sz w:val="17"/>
                <w:szCs w:val="17"/>
              </w:rPr>
              <w:t xml:space="preserve">3.0</w:t>
            </w:r>
          </w:p>
        </w:tc>
        <w:tc>
          <w:tcPr>
            <w:tcW w:type="dxa" w:w="14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top"/>
          </w:tcPr>
          <w:p>
            <w:pPr>
              <w:spacing w:after="20"/>
              <w:jc w:val="center"/>
            </w:pPr>
            <w:r>
              <w:rPr>
                <w:b/>
                <w:bCs/>
                <w:sz w:val="17"/>
                <w:szCs w:val="17"/>
              </w:rPr>
              <w:t xml:space="preserve">2.5</w:t>
            </w:r>
          </w:p>
        </w:tc>
      </w:tr>
      <w:tr>
        <w:tc>
          <w:tcPr>
            <w:tcW w:type="dxa" w:w="516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sz w:val="17"/>
                <w:szCs w:val="17"/>
              </w:rPr>
              <w:t xml:space="preserve">Average score</w:t>
            </w:r>
          </w:p>
        </w:tc>
        <w:tc>
          <w:tcPr>
            <w:tcW w:type="dxa" w:w="14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jc w:val="center"/>
            </w:pPr>
            <w:r>
              <w:rPr>
                <w:b/>
                <w:bCs/>
                <w:sz w:val="17"/>
                <w:szCs w:val="17"/>
              </w:rPr>
              <w:t xml:space="preserve">4.6</w:t>
            </w:r>
          </w:p>
        </w:tc>
        <w:tc>
          <w:tcPr>
            <w:tcW w:type="dxa" w:w="14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jc w:val="center"/>
            </w:pPr>
            <w:r>
              <w:rPr>
                <w:b/>
                <w:bCs/>
                <w:sz w:val="17"/>
                <w:szCs w:val="17"/>
              </w:rPr>
              <w:t xml:space="preserve">3.8</w:t>
            </w:r>
          </w:p>
        </w:tc>
        <w:tc>
          <w:tcPr>
            <w:tcW w:type="dxa" w:w="14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jc w:val="center"/>
            </w:pPr>
            <w:r>
              <w:rPr>
                <w:b/>
                <w:bCs/>
                <w:sz w:val="17"/>
                <w:szCs w:val="17"/>
              </w:rPr>
              <w:t xml:space="preserve">3.1</w:t>
            </w:r>
          </w:p>
        </w:tc>
      </w:tr>
    </w:tbl>
    <w:p>
      <w:pPr>
        <w:spacing w:after="160" w:before="60"/>
      </w:pPr>
      <w:r>
        <w:rPr>
          <w:i/>
          <w:iCs/>
          <w:color w:val="404040"/>
          <w:sz w:val="18"/>
          <w:szCs w:val="18"/>
        </w:rPr>
        <w:t xml:space="preserve">Scores: 1 = least favourable, 5 = most favourable. Unweighted average across criteria.</w:t>
      </w:r>
    </w:p>
    <w:p>
      <w:pPr>
        <w:pStyle w:val="Heading1"/>
        <w:pageBreakBefore/>
      </w:pPr>
      <w:bookmarkStart w:id="931" w:name="_Toc1031"/>
      <w:r>
        <w:t xml:space="preserve">3   Final Decision Outcome</w:t>
      </w:r>
      <w:bookmarkEnd w:id="9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582873" w:sz="24"/>
              <w:bottom w:val="single" w:color="BFBFBF" w:sz="4"/>
              <w:right w:val="single" w:color="BFBFBF" w:sz="4"/>
            </w:tcBorders>
            <w:shd w:fill="F3EAF7" w:color="auto" w:val="clear"/>
            <w:tcMar>
              <w:top w:type="dxa" w:w="120"/>
              <w:left w:type="dxa" w:w="180"/>
              <w:bottom w:type="dxa" w:w="120"/>
              <w:right w:type="dxa" w:w="180"/>
            </w:tcMar>
          </w:tcPr>
          <w:p>
            <w:pPr>
              <w:spacing w:after="100"/>
            </w:pPr>
            <w:r>
              <w:rPr>
                <w:b/>
                <w:bCs/>
                <w:color w:val="582873"/>
                <w:sz w:val="22"/>
                <w:szCs w:val="22"/>
              </w:rPr>
              <w:t xml:space="preserve">Proposed decision: Option A, Commvault On-Premises + Commvault for Multi-Cloud Workloads</w:t>
            </w:r>
          </w:p>
          <w:p>
            <w:pPr>
              <w:spacing w:after="100" w:line="260"/>
            </w:pPr>
            <w:r>
              <w:t xml:space="preserve">Commvault remains the single enterprise backup platform on the existing HyperScale X (3 DCs) and MediaAgent (1 DC) estate, which already meets the business-signed RPO/RTO. It extends to the immutable cloud off-site copy, Microsoft 365, Azure DevOps and GitHub, all Azure workloads, and AWS, GCP and other clouds as adopted. Commvault Cloud Rewind provides recovery of deleted cloud resources and configuration, subject to PoC validation.</w:t>
            </w:r>
          </w:p>
          <w:p>
            <w:pPr>
              <w:spacing w:after="100" w:line="260"/>
            </w:pPr>
            <w:r>
              <w:t xml:space="preserve">Azure-native protection is retained where it is platform-optimal: SQL DB/MI PITR/LTR as primary, ASR for Canada Central to Canada East, and Azure Backup only for PaaS services not validated in the PoC.</w:t>
            </w:r>
          </w:p>
          <w:p>
            <w:pPr>
              <w:spacing w:after="100" w:line="260"/>
            </w:pPr>
            <w:r>
              <w:rPr>
                <w:b/>
                <w:bCs/>
              </w:rPr>
              <w:t xml:space="preserve">Option B is not selected:</w:t>
            </w:r>
            <w:r>
              <w:t xml:space="preserve"> it adds control planes and a separate configuration-recovery tool, at about CAD 1.8M (+9%) more over five years. </w:t>
            </w:r>
            <w:r>
              <w:rPr>
                <w:b/>
                <w:bCs/>
              </w:rPr>
              <w:t xml:space="preserve">Option C is not selected:</w:t>
            </w:r>
            <w:r>
              <w:t xml:space="preserve"> it replaces a platform that meets business RPO/RTO, strands the HyperScale X investment, needs an 18–24 month migration with a long legacy tail, and costs about CAD 4.1M (+22%) more over five years.</w:t>
            </w:r>
          </w:p>
        </w:tc>
      </w:tr>
    </w:tbl>
    <w:p>
      <w:pPr>
        <w:keepNext/>
        <w:spacing w:after="40" w:before="120"/>
        <w:jc w:val="center"/>
      </w:pPr>
      <w:r>
        <w:drawing>
          <wp:inline distT="0" distB="0" distL="0" distR="0">
            <wp:extent cx="5760720" cy="3973410"/>
            <wp:effectExtent t="0" r="0" b="0" l="0"/>
            <wp:docPr id="1" name="topology.png" descr="topology.png" title="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973410"/>
                    </a:xfrm>
                    <a:prstGeom prst="rect">
                      <a:avLst/>
                    </a:prstGeom>
                  </pic:spPr>
                </pic:pic>
              </a:graphicData>
            </a:graphic>
          </wp:inline>
        </w:drawing>
      </w:r>
    </w:p>
    <w:p>
      <w:pPr>
        <w:spacing w:after="200" w:before="60"/>
      </w:pPr>
      <w:r>
        <w:rPr>
          <w:i/>
          <w:iCs/>
          <w:color w:val="595959"/>
          <w:sz w:val="18"/>
          <w:szCs w:val="18"/>
        </w:rPr>
        <w:t xml:space="preserve">Figure 3: Target multi-site and hybrid cloud backup topology (Option A). All copies remain in Canada.</w:t>
      </w:r>
    </w:p>
    <w:p>
      <w:pPr>
        <w:pStyle w:val="Heading2"/>
      </w:pPr>
      <w:bookmarkStart w:id="932" w:name="_Toc1032"/>
      <w:r>
        <w:t xml:space="preserve">3.1   Decision Statement</w:t>
      </w:r>
      <w:bookmarkEnd w:id="93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Item</w:t>
            </w:r>
          </w:p>
        </w:tc>
        <w:tc>
          <w:tcPr>
            <w:tcW w:type="dxa" w:w="69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Outcome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Selected option</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Option A: Commvault On-Premises + Commvault for Multi-Cloud Workloads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Rejected options</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Option B: Commvault On-Premises + Rubrik for Multi-Cloud. Option C: Rubrik On-Premises + Multi-Cloud (replace Commvault).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Indicative budget</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ROM CAD 18.6M over 5 years (range CAD 13.9M–26.0M); Year 1 ~CAD 3.2M. To be replaced by quote-based figures before approval of spend.</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Immediate actions (any option)</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1) Protect Azure DevOps and GitHub and enable pre-merge backup gates on Tier-1 protected branches. 2) Build the immutable cloud off-site copy. 3) Apply resource locks and Azure Policy to critical RGs and VNets. 4) Provision the isolated recovery subscription for cross-subscription restore.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Status</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Proposed: pending approval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Review triggers</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Commvault renewal; HyperScale X hardware refresh; cloud FETB exceeding on-premises FETB; security incident affecting the backup platform; failed PoC condition</w:t>
            </w:r>
          </w:p>
        </w:tc>
      </w:tr>
    </w:tbl>
    <w:p>
      <w:pPr>
        <w:pStyle w:val="Heading2"/>
      </w:pPr>
      <w:bookmarkStart w:id="933" w:name="_Toc1033"/>
      <w:r>
        <w:t xml:space="preserve">3.2   Conditions of Approval</w:t>
      </w:r>
      <w:bookmarkEnd w:id="933"/>
    </w:p>
    <w:p>
      <w:pPr>
        <w:pStyle w:val="ListParagraph"/>
        <w:numPr>
          <w:ilvl w:val="0"/>
          <w:numId w:val="2"/>
        </w:numPr>
        <w:spacing w:after="60" w:line="252"/>
      </w:pPr>
      <w:r>
        <w:t xml:space="preserve">Hardening baseline enforced on HyperScale X, MediaAgent, CommServe and cloud: Entra SSO, phishing-resistant MFA, PAM, Multi-Person Authorization, WORM pools, Compliance Lock, locked Blob retention, Threat Scan and Sentinel.</w:t>
      </w:r>
    </w:p>
    <w:p>
      <w:pPr>
        <w:pStyle w:val="ListParagraph"/>
        <w:numPr>
          <w:ilvl w:val="0"/>
          <w:numId w:val="2"/>
        </w:numPr>
        <w:spacing w:after="60" w:line="252"/>
      </w:pPr>
      <w:r>
        <w:t xml:space="preserve">Business-signed RPO/RTO remains met through the transition, evidenced by restore tests before and after changes.</w:t>
      </w:r>
    </w:p>
    <w:p>
      <w:pPr>
        <w:pStyle w:val="ListParagraph"/>
        <w:numPr>
          <w:ilvl w:val="0"/>
          <w:numId w:val="2"/>
        </w:numPr>
        <w:spacing w:after="60" w:line="252"/>
      </w:pPr>
      <w:r>
        <w:t xml:space="preserve">Cloud off-site copy owned by a separate custodian group.</w:t>
      </w:r>
    </w:p>
    <w:p>
      <w:pPr>
        <w:pStyle w:val="ListParagraph"/>
        <w:numPr>
          <w:ilvl w:val="0"/>
          <w:numId w:val="2"/>
        </w:numPr>
        <w:spacing w:after="60" w:line="252"/>
      </w:pPr>
      <w:r>
        <w:t xml:space="preserve">PoC passed for Azure VMs, SQL/Oracle on VMs, SQL DB/MI secondary copy, Blob, Files, AKS, a PaaS database, GitHub and Azure DevOps restore (SaaS and self-hosted), Cleanroom recovery from the cloud copy, and Cloud Rewind rebuild of a deleted RG, VNet, Logic App, Function App, Synapse workspace and AKS cluster.</w:t>
      </w:r>
    </w:p>
    <w:p>
      <w:pPr>
        <w:pStyle w:val="ListParagraph"/>
        <w:numPr>
          <w:ilvl w:val="0"/>
          <w:numId w:val="2"/>
        </w:numPr>
        <w:spacing w:after="60" w:line="252"/>
      </w:pPr>
      <w:r>
        <w:t xml:space="preserve">Pre-merge backup gate and cross-subscription restore (VM, SQL MI PITR, Blob, Files, AKS namespace) demonstrated in a test subscription.</w:t>
      </w:r>
    </w:p>
    <w:p>
      <w:pPr>
        <w:pStyle w:val="ListParagraph"/>
        <w:numPr>
          <w:ilvl w:val="0"/>
          <w:numId w:val="2"/>
        </w:numPr>
        <w:spacing w:after="60" w:line="252"/>
      </w:pPr>
      <w:r>
        <w:t xml:space="preserve">Written confirmation of Canadian hosting for the Commvault Cloud tenant and Cloud Rewind, including metadata, telemetry and support access.</w:t>
      </w:r>
    </w:p>
    <w:p>
      <w:pPr>
        <w:pStyle w:val="ListParagraph"/>
        <w:numPr>
          <w:ilvl w:val="0"/>
          <w:numId w:val="2"/>
        </w:numPr>
        <w:spacing w:after="60" w:line="252"/>
      </w:pPr>
      <w:r>
        <w:t xml:space="preserve">MediaAgent site storage confirmed as WORM-capable, or a refresh planned.</w:t>
      </w:r>
    </w:p>
    <w:p>
      <w:pPr>
        <w:pStyle w:val="ListParagraph"/>
        <w:numPr>
          <w:ilvl w:val="0"/>
          <w:numId w:val="2"/>
        </w:numPr>
        <w:spacing w:after="60" w:line="252"/>
      </w:pPr>
      <w:r>
        <w:t xml:space="preserve">Quote-based, multi-year pricing with capacity bands confirms the ROM ranking.</w:t>
      </w:r>
    </w:p>
    <w:p>
      <w:pPr>
        <w:pStyle w:val="Heading2"/>
      </w:pPr>
      <w:bookmarkStart w:id="934" w:name="_Toc1034"/>
      <w:r>
        <w:t xml:space="preserve">3.3   Key Risks and Mitigations</w:t>
      </w:r>
      <w:bookmarkEnd w:id="93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60"/>
        <w:gridCol w:w="900"/>
        <w:gridCol w:w="1400"/>
        <w:gridCol w:w="3600"/>
      </w:tblGrid>
      <w:tr>
        <w:trPr>
          <w:cantSplit/>
          <w:tblHeader/>
        </w:trPr>
        <w:tc>
          <w:tcPr>
            <w:tcW w:type="dxa" w:w="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w:t>
            </w:r>
          </w:p>
        </w:tc>
        <w:tc>
          <w:tcPr>
            <w:tcW w:type="dxa" w:w="30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Risk</w:t>
            </w:r>
          </w:p>
        </w:tc>
        <w:tc>
          <w:tcPr>
            <w:tcW w:type="dxa" w:w="9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Option</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L / I</w:t>
            </w:r>
          </w:p>
        </w:tc>
        <w:tc>
          <w:tcPr>
            <w:tcW w:type="dxa" w:w="36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6"/>
                <w:szCs w:val="16"/>
              </w:rPr>
              <w:t xml:space="preserve">Mitigation</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1</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Current: Azure DevOps / GitHub not backed up</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All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High / Critical</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Phase 1 quick win, independent of option; interim exports to immutable Blob</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2</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Current: no copy outside the on-premises estate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All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Medium / Critical</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Immutable cloud copy with separate custodian in Phase 2</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3</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Current: deleted RG/VNet/serverless resources need manual rebuild</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All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Medium / High</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Resource locks and Azure Policy now; configuration recovery in Phase 3; IaC in Git protected by DevOps backup</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4</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Single-vendor concentration</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Medium / High</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Immutable AirGap in vendor tenant; CommServe DR in Azure; native SQL PITR; exit clauses</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5</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Security features not enabled</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A, B</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Medium / High</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Hardening baseline is a go-live condition</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6</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Cloud Rewind coverage gaps (Logic Apps, Synapse, Function App plans)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Medium / Medium</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PoC; IaC and DevOps backup as fallback</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7</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Multiple control planes during cyber recovery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B</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Medium / High</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Joint runbooks and exercises</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8</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Regression of business-signed RPO/RTO during migration</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High / High</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Parallel running and full re-test per tier before cut-over</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9</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Rubrik on-premises BETB metering at 2 PB</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C</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Medium / High</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Negotiate FETB metering in writing</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10</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SaaS metadata residency (Commvault Cloud, Cloud Rewind, Rubrik Security Cloud)</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All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Low–Medium / High</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Written Canadian-region confirmation; RSC Sovereign for B/C</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11</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Self-hosted Azure DevOps Server / GHES protected only by VM snapshots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All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Medium / High</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SQL-consistent backups and backup-utils; full server restore tested in PoC</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6"/>
                <w:szCs w:val="16"/>
              </w:rPr>
              <w:t xml:space="preserve">12</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ROM cost differs materially from quotes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All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Medium / Medium</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6"/>
                <w:szCs w:val="16"/>
              </w:rPr>
              <w:t xml:space="preserve">Obtain quotes for A (and optionally B/C) before spend approval; confirm FETB/BETB basis</w:t>
            </w:r>
          </w:p>
        </w:tc>
      </w:tr>
    </w:tbl>
    <w:p>
      <w:pPr>
        <w:pStyle w:val="Heading2"/>
      </w:pPr>
      <w:bookmarkStart w:id="935" w:name="_Toc1035"/>
      <w:r>
        <w:t xml:space="preserve">3.4   Next Steps and Roadmap</w:t>
      </w:r>
      <w:bookmarkEnd w:id="93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800"/>
        <w:gridCol w:w="2360"/>
      </w:tblGrid>
      <w:tr>
        <w:trPr>
          <w:cantSplit/>
          <w:tblHeader/>
        </w:trPr>
        <w:tc>
          <w:tcPr>
            <w:tcW w:type="dxa" w:w="19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Phase</w:t>
            </w:r>
          </w:p>
        </w:tc>
        <w:tc>
          <w:tcPr>
            <w:tcW w:type="dxa" w:w="13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Timing</w:t>
            </w:r>
          </w:p>
        </w:tc>
        <w:tc>
          <w:tcPr>
            <w:tcW w:type="dxa" w:w="3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Scope</w:t>
            </w:r>
          </w:p>
        </w:tc>
        <w:tc>
          <w:tcPr>
            <w:tcW w:type="dxa" w:w="23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Exit criteria</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0. Validate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Months 0–2</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Confirm HSX/MA site roles; residency confirmation; PoC; ExpressRoute design; vendor quotes</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KDD v1.0 approved; PoC report; quote-based cost</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1. Quick wins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Months 1–3</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DevOps/GitHub protection (SaaS + self-hosted) and pre-merge gates on Tier-1 repos; hardening baseline; resource locks and Azure Policy</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All DevOps orgs protected; hardening 100%</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2. Hybrid cloud copy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Months 2–6</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Backup subscription, AirGap + Blob, Data Box seed, cloud and geo copies</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Tier-0/1 immutable cloud copy; restore test passed</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3. Azure consolidation and configuration recovery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Months 4–9</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Onboard Azure workloads; Cloud Rewind; isolated recovery subscription and cross-subscription runbooks; retire Azure Backup policies at expiry</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Rebuild and cross-subscription restore tests passed</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4. Multi-cloud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Months 12–24</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AWS, GCP and other clouds onboarded at adoption (data + configuration)</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Protected from go-live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Ongoing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Quarterly / annual</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Restore tests per tier; annual Cleanroom and environment-rebuild exercise; cost review</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RPO/RTO evidence for audit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200"/>
        <w:gridCol w:w="1400"/>
      </w:tblGrid>
      <w:tr>
        <w:trPr>
          <w:cantSplit/>
          <w:tblHeader/>
        </w:trPr>
        <w:tc>
          <w:tcPr>
            <w:tcW w:type="dxa" w:w="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w:t>
            </w:r>
          </w:p>
        </w:tc>
        <w:tc>
          <w:tcPr>
            <w:tcW w:type="dxa" w:w="53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Action</w:t>
            </w:r>
          </w:p>
        </w:tc>
        <w:tc>
          <w:tcPr>
            <w:tcW w:type="dxa" w:w="22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Owner</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Target date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1</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Confirm which DCs host HyperScale X vs. MediaAgent, and the active site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Backup Lead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[Date]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2</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Confirm whether 2 PB is front-end or back-end data (largest cost driver)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Backup Lead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[Date]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3</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Collect RPO/RTO evidence from recent restore tests (baseline)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Backup Lead / BC Owner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[Date]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4</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Start DevOps protection and RG/VNet resource locks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DevOps Lead / Cloud Lead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[Date]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5</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Confirm ExpressRoute capacity; order Data Box</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Network Lead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[Date]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6</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Obtain Commvault quote and residency confirmation (cloud, AirGap, DevOps, Cloud Rewind)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Procurement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[Date]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7</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Optional: Rubrik quotes for Options B and C to validate cost deltas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Procurement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[Date]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8</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Run the PoC and present results to the Design Authority</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Resilience Lead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[Date]</w:t>
            </w:r>
          </w:p>
        </w:tc>
      </w:tr>
    </w:tbl>
    <w:p>
      <w:pPr>
        <w:pStyle w:val="Heading1"/>
        <w:pageBreakBefore/>
      </w:pPr>
      <w:bookmarkStart w:id="936" w:name="_Toc1036"/>
      <w:r>
        <w:t xml:space="preserve">Appendix A: Glossary</w:t>
      </w:r>
      <w:bookmarkEnd w:id="9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Term</w:t>
            </w:r>
          </w:p>
        </w:tc>
        <w:tc>
          <w:tcPr>
            <w:tcW w:type="dxa" w:w="67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Definition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3-2-1-1-0</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Three copies, two media, one off-site, one immutable, zero unverified restores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AirGap</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Commvault-managed immutable cloud storage outside the customer tenant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BETB / FETB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Back-end TB (stored backup data) / Front-end TB (protected source data)</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Cloud Rewind</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Commvault service that discovers and rebuilds cloud application environments (infrastructure, configuration and data) across AWS, Azure and GCP</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DASH copy</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Commvault deduplication-aware replication between sites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HyperScale X (HSX)</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Commvault scale-out backup appliance / reference architecture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MediaAgent (MA)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Commvault data-mover server that writes backups to storage libraries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PAM / PIM</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Privileged Access Management / Entra Privileged Identity Management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RSC / RCV / UCL</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Rubrik Security Cloud / Rubrik Cloud Vault / Rubrik Universal Cloud License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ROM</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Rough Order of Magnitude: an early estimate for comparing options, with a wide accuracy range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PITR / LTR</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Point-in-time restore / long-term retention (Azure SQL native backups)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GHES backup-utils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GitHub-supported backup and restore tooling for GitHub Enterprise Server</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Cross Subscription Restore (CSR)</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7"/>
                <w:szCs w:val="17"/>
              </w:rPr>
              <w:t xml:space="preserve">Restore of backed-up data into a different subscription in the same Entra tenant</w:t>
            </w:r>
          </w:p>
        </w:tc>
      </w:tr>
    </w:tbl>
    <w:p>
      <w:pPr>
        <w:pStyle w:val="Heading1"/>
        <w:pageBreakBefore/>
      </w:pPr>
      <w:bookmarkStart w:id="937" w:name="_Toc1037"/>
      <w:r>
        <w:t xml:space="preserve">Appendix B: Requirements Traceability</w:t>
      </w:r>
      <w:bookmarkEnd w:id="93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cantSplit/>
          <w:tblHeader/>
        </w:trPr>
        <w:tc>
          <w:tcPr>
            <w:tcW w:type="dxa" w:w="33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Requirement</w:t>
            </w:r>
          </w:p>
        </w:tc>
        <w:tc>
          <w:tcPr>
            <w:tcW w:type="dxa" w:w="2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A</w:t>
            </w:r>
          </w:p>
        </w:tc>
        <w:tc>
          <w:tcPr>
            <w:tcW w:type="dxa" w:w="2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B</w:t>
            </w:r>
          </w:p>
        </w:tc>
        <w:tc>
          <w:tcPr>
            <w:tcW w:type="dxa" w:w="2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Option C</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R1 Canadian residency</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 (confirm SaaS)</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Conditional</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Conditional</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R2 Preserve business-signed RPO/RTO</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Re-prove</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R3 3-2-1-1-0</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R4 Multi-site replication (4 DCs)</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 (existing)</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 (existing)</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 (new clusters)</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R5 Immutable cloud off-site copy</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R6 Azure DevOps + GitHub</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 (with exports)</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 (validate)</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Validate</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R7 Full Azure + modern PaaS</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 (validate PaaS DBs)</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Partial</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Partial</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R8 Cloud resource and configuration recovery</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 (validate services)</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Partial (separate tool)</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Partial (separate tool)</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R9 AWS / GCP / other clouds</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Partial (OCI)</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Partial (OCI)</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R10 Single pane + integrations</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7"/>
                <w:szCs w:val="17"/>
              </w:rPr>
              <w:t xml:space="preserve">No</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Partial (legacy tail)</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R11 Licensing / HSX investment</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Partial</w:t>
            </w:r>
          </w:p>
        </w:tc>
        <w:tc>
          <w:tcPr>
            <w:tcW w:type="dxa" w:w="200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spacing w:after="20"/>
            </w:pPr>
            <w:r>
              <w:rPr>
                <w:b w:val="false"/>
                <w:bCs w:val="false"/>
                <w:sz w:val="17"/>
                <w:szCs w:val="17"/>
              </w:rPr>
              <w:t xml:space="preserve">No</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R12 Pre-merge triggered backup</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 (validate API)</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Validate</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Validate</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7"/>
                <w:szCs w:val="17"/>
              </w:rPr>
              <w:t xml:space="preserve">R13 Cross-subscription restore</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pPr>
            <w:r>
              <w:rPr>
                <w:b w:val="false"/>
                <w:bCs w:val="false"/>
                <w:sz w:val="17"/>
                <w:szCs w:val="17"/>
              </w:rPr>
              <w:t xml:space="preserve">Yes (validate PaaS)</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Partial</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pPr>
            <w:r>
              <w:rPr>
                <w:b w:val="false"/>
                <w:bCs w:val="false"/>
                <w:sz w:val="17"/>
                <w:szCs w:val="17"/>
              </w:rPr>
              <w:t xml:space="preserve">Partial</w:t>
            </w:r>
          </w:p>
        </w:tc>
      </w:tr>
    </w:tbl>
    <w:p>
      <w:pPr>
        <w:pStyle w:val="Heading1"/>
        <w:pageBreakBefore/>
      </w:pPr>
      <w:bookmarkStart w:id="938" w:name="_Toc1038"/>
      <w:r>
        <w:t xml:space="preserve">Appendix C: References</w:t>
      </w:r>
      <w:bookmarkEnd w:id="938"/>
    </w:p>
    <w:p>
      <w:pPr>
        <w:spacing w:after="120" w:line="264"/>
      </w:pPr>
      <w:r>
        <w:t xml:space="preserve">Capabilities marked "validate" must be confirmed in the PoC or in writing by the vendor. Links should be re-checked before circulation.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5160"/>
      </w:tblGrid>
      <w:tr>
        <w:trPr>
          <w:cantSplit/>
          <w:tblHeader/>
        </w:trPr>
        <w:tc>
          <w:tcPr>
            <w:tcW w:type="dxa" w:w="13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5"/>
                <w:szCs w:val="15"/>
              </w:rPr>
              <w:t xml:space="preserve">Vendor</w:t>
            </w:r>
          </w:p>
        </w:tc>
        <w:tc>
          <w:tcPr>
            <w:tcW w:type="dxa" w:w="29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5"/>
                <w:szCs w:val="15"/>
              </w:rPr>
              <w:t xml:space="preserve">Topic</w:t>
            </w:r>
          </w:p>
        </w:tc>
        <w:tc>
          <w:tcPr>
            <w:tcW w:type="dxa" w:w="51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5"/>
                <w:szCs w:val="15"/>
              </w:rPr>
              <w:t xml:space="preserve">Link</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5"/>
                <w:szCs w:val="15"/>
              </w:rPr>
              <w:t xml:space="preserve">Commvault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Azure DevOps protection</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https://docs.commvault.com/saas/azure_devops.html</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5"/>
                <w:szCs w:val="15"/>
              </w:rPr>
              <w:t xml:space="preserve">Commvault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GitHub protection</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https://docs.commvault.com/saas/github.html</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5"/>
                <w:szCs w:val="15"/>
              </w:rPr>
              <w:t xml:space="preserve">Commvault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Cloud Rewind</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https://www.commvault.com/platform/cloud-rewind</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5"/>
                <w:szCs w:val="15"/>
              </w:rPr>
              <w:t xml:space="preserve">Commvault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Supported regions for AirGap storage</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https://documentation.commvault.com/v11/software/supported_regions_for_air_gap_protect_storage.html</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5"/>
                <w:szCs w:val="15"/>
              </w:rPr>
              <w:t xml:space="preserve">Commvault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Licensing Program Guide</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https://documentation.commvault.com/v11/software/files/pdf/commvault-complete-license-guide.pdf</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5"/>
                <w:szCs w:val="15"/>
              </w:rPr>
              <w:t xml:space="preserve">Rubrik</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Azure DevOps protection</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https://www.rubrik.com/solutions/azure-devops</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5"/>
                <w:szCs w:val="15"/>
              </w:rPr>
              <w:t xml:space="preserve">Rubrik</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GitHub protection</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https://www.rubrik.com/solutions/github</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5"/>
                <w:szCs w:val="15"/>
              </w:rPr>
              <w:t xml:space="preserve">Rubrik</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Licensing Guide</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https://www.rubrik.com/content/dam/rubrik/en/resources/policy/rubrik-licensing-guide.pdf</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5"/>
                <w:szCs w:val="15"/>
              </w:rPr>
              <w:t xml:space="preserve">Rubrik</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Data sovereignty (RSC Sovereign)</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https://www.rubrik.com/solutions/rubrik-for-sovereign</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5"/>
                <w:szCs w:val="15"/>
              </w:rPr>
              <w:t xml:space="preserve">Microsoft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Azure Backup support matrix</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https://learn.microsoft.com/en-us/azure/backup/backup-support-matrix</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5"/>
                <w:szCs w:val="15"/>
              </w:rPr>
              <w:t xml:space="preserve">Microsoft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Azure Backup pricing (Canada)</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https://azure.microsoft.com/en-ca/pricing/details/backup/</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5"/>
                <w:szCs w:val="15"/>
              </w:rPr>
              <w:t xml:space="preserve">Microsoft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Azure SQL MI point-in-time restore</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https://learn.microsoft.com/en-us/azure/azure-sql/managed-instance/point-in-time-restore</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5"/>
                <w:szCs w:val="15"/>
              </w:rPr>
              <w:t xml:space="preserve">Microsoft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Azure Backup immutable vault</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https://learn.microsoft.com/en-us/azure/backup/backup-azure-immutable-vault-concept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bCs/>
                <w:sz w:val="15"/>
                <w:szCs w:val="15"/>
              </w:rPr>
              <w:t xml:space="preserve">GitHub</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Configuring backups on GitHub Enterprise Server</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b w:val="false"/>
                <w:bCs w:val="false"/>
                <w:sz w:val="15"/>
                <w:szCs w:val="15"/>
              </w:rPr>
              <w:t xml:space="preserve">https://docs.github.com/en/enterprise-server@latest/admin/backing-up-and-restoring-your-instance/configuring-backups-on-your-instance</w:t>
            </w:r>
          </w:p>
        </w:tc>
      </w:tr>
    </w:tbl>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7F7F7F"/>
        <w:sz w:val="16"/>
        <w:szCs w:val="16"/>
      </w:rPr>
      <w:t xml:space="preserve">Draft v0.2 for review. Indicative ROM costs; not vendor quotes.</w:t>
    </w:r>
    <w:r>
      <w:rPr>
        <w:color w:val="7F7F7F"/>
        <w:sz w:val="16"/>
        <w:szCs w:val="16"/>
      </w:rPr>
      <w:t xml:space="preserve">	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Key Decision Document | Enterprise Platform Backup Solution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240" w:hanging="2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Calibri Light" w:cs="Calibri Light" w:eastAsia="Calibri Light" w:hAnsi="Calibri Light"/>
      <w:color w:val="582873"/>
      <w:sz w:val="32"/>
      <w:szCs w:val="32"/>
    </w:rPr>
  </w:style>
  <w:style w:type="paragraph" w:styleId="Heading2">
    <w:name w:val="Heading 2"/>
    <w:basedOn w:val="Normal"/>
    <w:next w:val="Normal"/>
    <w:qFormat/>
    <w:pPr>
      <w:keepNext/>
      <w:spacing w:after="120" w:before="300"/>
      <w:outlineLvl w:val="1"/>
    </w:pPr>
    <w:rPr>
      <w:rFonts w:ascii="Calibri Light" w:cs="Calibri Light" w:eastAsia="Calibri Light" w:hAnsi="Calibri Light"/>
      <w:color w:val="582873"/>
      <w:sz w:val="26"/>
      <w:szCs w:val="26"/>
    </w:rPr>
  </w:style>
  <w:style w:type="paragraph" w:styleId="Heading3">
    <w:name w:val="Heading 3"/>
    <w:basedOn w:val="Normal"/>
    <w:next w:val="Normal"/>
    <w:qFormat/>
    <w:pPr>
      <w:keepNext/>
      <w:spacing w:after="100" w:before="24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b456569eefc1916ec627c8c117f49c82eb679c.png"/><Relationship Id="rId10" Type="http://schemas.openxmlformats.org/officeDocument/2006/relationships/image" Target="media/661a5f8c8010de671e780defbd519bd83c448f46.png"/><Relationship Id="rId11" Type="http://schemas.openxmlformats.org/officeDocument/2006/relationships/image" Target="media/1082f6a6445d7e45e78cd04b35640412f63037a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Decision Document: Enterprise Platform Backup Solution</dc:title>
  <dc:creator>Omer Zubair</dc:creator>
  <cp:lastModifiedBy>Un-named</cp:lastModifiedBy>
  <cp:revision>1</cp:revision>
  <dcterms:created xsi:type="dcterms:W3CDTF">2026-10-20T17:00:37.785Z</dcterms:created>
  <dcterms:modified xsi:type="dcterms:W3CDTF">2026-10-20T17:00:37.785Z</dcterms:modified>
</cp:coreProperties>
</file>

<file path=docProps/custom.xml><?xml version="1.0" encoding="utf-8"?>
<Properties xmlns="http://schemas.openxmlformats.org/officeDocument/2006/custom-properties" xmlns:vt="http://schemas.openxmlformats.org/officeDocument/2006/docPropsVTypes"/>
</file>