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Aptos" w:eastAsia="Aptos" w:hAnsi="Aptos" w:cs="Aptos"/>
        </w:rPr>
      </w:pPr>
    </w:p>
    <w:p>
      <w:pPr>
        <w:rPr>
          <w:rFonts w:ascii="Aptos" w:eastAsia="Aptos" w:hAnsi="Aptos" w:cs="Aptos"/>
        </w:rPr>
      </w:pPr>
    </w:p>
    <w:p>
      <w:pPr>
        <w:pStyle w:val="Heading1"/>
        <w:spacing w:before="0" w:after="0"/>
        <w:rPr>
          <w:rFonts w:ascii="Aptos Display" w:eastAsia="Aptos Display" w:hAnsi="Aptos Display" w:cs="Aptos Display"/>
        </w:rPr>
      </w:pPr>
      <w:r>
        <w:rPr>
          <w:rFonts w:ascii="Aptos Display" w:eastAsia="Aptos Display" w:hAnsi="Aptos Display" w:cs="Aptos Display"/>
        </w:rPr>
        <w:t>1</w:t>
      </w:r>
      <w:r>
        <w:tab/>
      </w:r>
      <w:r>
        <w:rPr>
          <w:rFonts w:ascii="Aptos Display" w:eastAsia="Aptos Display" w:hAnsi="Aptos Display" w:cs="Aptos Display"/>
        </w:rPr>
        <w:t>Document Control</w:t>
      </w:r>
    </w:p>
    <w:p>
      <w:r>
        <w:rPr>
          <w:rFonts w:ascii="Aptos" w:eastAsia="Aptos" w:hAnsi="Aptos" w:cs="Aptos"/>
        </w:rPr>
        <w:t>This section records the identity, status and approval of the document.</w:t>
      </w:r>
    </w:p>
    <w:tbl>
      <w:tblPr>
        <w:tblW w:w="0" w:type="auto"/>
        <w:tblLook w:val="04A0" w:firstRow="1" w:lastRow="0" w:firstColumn="1" w:lastColumn="0" w:noHBand="0" w:noVBand="1"/>
      </w:tblPr>
      <w:tblGrid>
        <w:gridCol w:w="2410"/>
        <w:gridCol w:w="6930"/>
      </w:tblGrid>
      <w:tr>
        <w:trPr>
          <w:tblHeader/>
          <w:trHeight w:val="300"/>
        </w:trPr>
        <w:tc>
          <w:tcPr>
            <w:tcW w:w="241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Item</w:t>
            </w:r>
          </w:p>
        </w:tc>
        <w:tc>
          <w:tcPr>
            <w:tcW w:w="693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Detail</w:t>
            </w:r>
          </w:p>
        </w:tc>
      </w:tr>
      <w:tr>
        <w:trPr>
          <w:cantSplit/>
          <w:trHeight w:val="300"/>
        </w:trPr>
        <w:tc>
          <w:tcPr>
            <w:tcW w:w="241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Document</w:t>
            </w:r>
          </w:p>
        </w:tc>
        <w:tc>
          <w:tcPr>
            <w:tcW w:w="693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Enterprise Platform Backup: Technical Requirements</w:t>
            </w:r>
          </w:p>
        </w:tc>
      </w:tr>
      <w:tr>
        <w:trPr>
          <w:cantSplit/>
          <w:trHeight w:val="300"/>
        </w:trPr>
        <w:tc>
          <w:tcPr>
            <w:tcW w:w="241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Version / status</w:t>
            </w:r>
          </w:p>
        </w:tc>
        <w:tc>
          <w:tcPr>
            <w:tcW w:w="693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0.1, Draft for stakeholder review</w:t>
            </w:r>
          </w:p>
        </w:tc>
      </w:tr>
      <w:tr>
        <w:trPr>
          <w:cantSplit/>
          <w:trHeight w:val="300"/>
        </w:trPr>
        <w:tc>
          <w:tcPr>
            <w:tcW w:w="241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Date</w:t>
            </w:r>
          </w:p>
        </w:tc>
        <w:tc>
          <w:tcPr>
            <w:tcW w:w="693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28 October 2026</w:t>
            </w:r>
          </w:p>
        </w:tc>
      </w:tr>
      <w:tr>
        <w:trPr>
          <w:cantSplit/>
          <w:trHeight w:val="300"/>
        </w:trPr>
        <w:tc>
          <w:tcPr>
            <w:tcW w:w="241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Related document</w:t>
            </w:r>
          </w:p>
        </w:tc>
        <w:tc>
          <w:tcPr>
            <w:tcW w:w="693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Key Decision Document: Enterprise Cloud Workload Backup and Recovery (KDD_Cloud_Backup_v0.6)</w:t>
            </w:r>
          </w:p>
        </w:tc>
      </w:tr>
      <w:tr>
        <w:trPr>
          <w:cantSplit/>
          <w:trHeight w:val="300"/>
        </w:trPr>
        <w:tc>
          <w:tcPr>
            <w:tcW w:w="241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Document owner</w:t>
            </w:r>
          </w:p>
        </w:tc>
        <w:tc>
          <w:tcPr>
            <w:tcW w:w="693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[Name], Resilience Workstream Lead</w:t>
            </w:r>
          </w:p>
        </w:tc>
      </w:tr>
    </w:tbl>
    <w:p>
      <w:pPr>
        <w:rPr>
          <w:rFonts w:ascii="Aptos" w:eastAsia="Aptos" w:hAnsi="Aptos" w:cs="Aptos"/>
        </w:rPr>
      </w:pPr>
    </w:p>
    <w:tbl>
      <w:tblPr>
        <w:tblW w:w="0" w:type="auto"/>
        <w:tblLook w:val="04A0" w:firstRow="1" w:lastRow="0" w:firstColumn="1" w:lastColumn="0" w:noHBand="0" w:noVBand="1"/>
      </w:tblPr>
      <w:tblGrid>
        <w:gridCol w:w="2340"/>
        <w:gridCol w:w="3060"/>
        <w:gridCol w:w="2160"/>
        <w:gridCol w:w="1780"/>
      </w:tblGrid>
      <w:tr>
        <w:trPr>
          <w:tblHeader/>
          <w:trHeight w:val="300"/>
        </w:trPr>
        <w:tc>
          <w:tcPr>
            <w:tcW w:w="234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Name</w:t>
            </w:r>
          </w:p>
        </w:tc>
        <w:tc>
          <w:tcPr>
            <w:tcW w:w="306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Role</w:t>
            </w:r>
          </w:p>
        </w:tc>
        <w:tc>
          <w:tcPr>
            <w:tcW w:w="216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Signature</w:t>
            </w:r>
          </w:p>
        </w:tc>
        <w:tc>
          <w:tcPr>
            <w:tcW w:w="17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Date</w:t>
            </w:r>
          </w:p>
        </w:tc>
      </w:tr>
      <w:tr>
        <w:trPr>
          <w:cantSplit/>
          <w:trHeight w:val="300"/>
        </w:trPr>
        <w:tc>
          <w:tcPr>
            <w:tcW w:w="234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[Name]</w:t>
            </w:r>
          </w:p>
        </w:tc>
        <w:tc>
          <w:tcPr>
            <w:tcW w:w="30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Head of Infrastructure / Resilience Workstream Lead</w:t>
            </w:r>
          </w:p>
        </w:tc>
        <w:tc>
          <w:tcPr>
            <w:tcW w:w="21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c>
          <w:tcPr>
            <w:tcW w:w="17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r>
      <w:tr>
        <w:trPr>
          <w:cantSplit/>
          <w:trHeight w:val="300"/>
        </w:trPr>
        <w:tc>
          <w:tcPr>
            <w:tcW w:w="234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[Name]</w:t>
            </w:r>
          </w:p>
        </w:tc>
        <w:tc>
          <w:tcPr>
            <w:tcW w:w="30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Chief Information Security Officer (or delegate)</w:t>
            </w:r>
          </w:p>
        </w:tc>
        <w:tc>
          <w:tcPr>
            <w:tcW w:w="21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c>
          <w:tcPr>
            <w:tcW w:w="17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r>
      <w:tr>
        <w:trPr>
          <w:cantSplit/>
          <w:trHeight w:val="300"/>
        </w:trPr>
        <w:tc>
          <w:tcPr>
            <w:tcW w:w="234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[Name]</w:t>
            </w:r>
          </w:p>
        </w:tc>
        <w:tc>
          <w:tcPr>
            <w:tcW w:w="30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Enterprise / Cloud Architecture Lead</w:t>
            </w:r>
          </w:p>
        </w:tc>
        <w:tc>
          <w:tcPr>
            <w:tcW w:w="21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c>
          <w:tcPr>
            <w:tcW w:w="17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r>
      <w:tr>
        <w:trPr>
          <w:cantSplit/>
          <w:trHeight w:val="300"/>
        </w:trPr>
        <w:tc>
          <w:tcPr>
            <w:tcW w:w="234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[Name]</w:t>
            </w:r>
          </w:p>
        </w:tc>
        <w:tc>
          <w:tcPr>
            <w:tcW w:w="30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Business Continuity / Service Owner</w:t>
            </w:r>
          </w:p>
        </w:tc>
        <w:tc>
          <w:tcPr>
            <w:tcW w:w="21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c>
          <w:tcPr>
            <w:tcW w:w="17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r>
      <w:tr>
        <w:trPr>
          <w:cantSplit/>
          <w:trHeight w:val="300"/>
        </w:trPr>
        <w:tc>
          <w:tcPr>
            <w:tcW w:w="234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[Name]</w:t>
            </w:r>
          </w:p>
        </w:tc>
        <w:tc>
          <w:tcPr>
            <w:tcW w:w="30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Privacy and Compliance Lead</w:t>
            </w:r>
          </w:p>
        </w:tc>
        <w:tc>
          <w:tcPr>
            <w:tcW w:w="21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c>
          <w:tcPr>
            <w:tcW w:w="17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r>
      <w:tr>
        <w:trPr>
          <w:cantSplit/>
          <w:trHeight w:val="300"/>
        </w:trPr>
        <w:tc>
          <w:tcPr>
            <w:tcW w:w="234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[Name]</w:t>
            </w:r>
          </w:p>
        </w:tc>
        <w:tc>
          <w:tcPr>
            <w:tcW w:w="30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Delivery Partner Lead</w:t>
            </w:r>
          </w:p>
        </w:tc>
        <w:tc>
          <w:tcPr>
            <w:tcW w:w="216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c>
          <w:tcPr>
            <w:tcW w:w="17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2</w:t>
      </w:r>
      <w:r>
        <w:tab/>
      </w:r>
      <w:r>
        <w:rPr>
          <w:rFonts w:ascii="Aptos Display" w:eastAsia="Aptos Display" w:hAnsi="Aptos Display" w:cs="Aptos Display"/>
        </w:rPr>
        <w:t>Purpose &amp; Scope</w:t>
      </w:r>
    </w:p>
    <w:p>
      <w:r>
        <w:rPr>
          <w:rFonts w:ascii="Aptos" w:eastAsia="Aptos" w:hAnsi="Aptos" w:cs="Aptos"/>
        </w:rPr>
        <w:t>This document captures the technical requirements for the enterprise backup and recovery of the organisation’s cloud workloads hosted in Microsoft Azure, together with Microsoft Entra ID and the Azure DevOps and GitHub platforms that build and run them. The requirements were derived from the current Azure environment and Azure Backup configuration, the data residency and resilience constraints, the recovery scenarios assessed, and the existing enterprise backup estate. They were developed alongside the solution assessment and are the basis on which the candidate solutions (Commvault, Rubrik and Azure Backup) were compared in the concurrently running Key Decision Document.</w:t>
      </w:r>
    </w:p>
    <w:p>
      <w:pPr>
        <w:rPr>
          <w:rFonts w:ascii="Aptos" w:eastAsia="Aptos" w:hAnsi="Aptos" w:cs="Aptos"/>
        </w:rPr>
      </w:pPr>
    </w:p>
    <w:p>
      <w:r>
        <w:rPr>
          <w:rFonts w:ascii="Aptos" w:eastAsia="Aptos" w:hAnsi="Aptos" w:cs="Aptos"/>
        </w:rPr>
        <w:t>Every requirement is marked Proposed. The organisation’s stakeholders confirm, amend or remove each one and may add requirements in any section. Requirements are written to be solution-neutral: "must" denotes a mandatory requirement and "should" a preferred one. Once co-signed by the organisation and the delivery partner, the document is the authoritative reference for the design and implementation phase, which follows under a separate change request.</w:t>
      </w:r>
    </w:p>
    <w:p>
      <w:pPr>
        <w:rPr>
          <w:rFonts w:ascii="Aptos" w:eastAsia="Aptos" w:hAnsi="Aptos" w:cs="Aptos"/>
        </w:rPr>
      </w:pPr>
    </w:p>
    <w:p>
      <w:r>
        <w:rPr>
          <w:rFonts w:ascii="Aptos" w:eastAsia="Aptos" w:hAnsi="Aptos" w:cs="Aptos"/>
        </w:rPr>
        <w:t>In scope: backup and recovery of Azure workloads in Canada Central (virtual machines, databases, storage, containers, integration, analytics and AI services, and platform resources such as resource groups and virtual networks); Microsoft Entra ID objects and configuration; Azure DevOps and GitHub repositories and metadata; offsite copies and recovery within Canada; and readiness for AWS should it be adopted. Out of scope: re-evaluation of the existing on-premises backup and Microsoft 365 backup, except where they affect integration or operational consistency; endpoint backup; application high availability and disaster-recovery replication (for example, SQL failover groups and Azure Site Recovery), except where used as a recovery target; and the design and implementation of the selected solution.</w:t>
      </w:r>
    </w:p>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3</w:t>
      </w:r>
      <w:r>
        <w:tab/>
      </w:r>
      <w:r>
        <w:rPr>
          <w:rFonts w:ascii="Aptos Display" w:eastAsia="Aptos Display" w:hAnsi="Aptos Display" w:cs="Aptos Display"/>
        </w:rPr>
        <w:t>Workload Coverage and Scope</w:t>
      </w:r>
    </w:p>
    <w:p>
      <w:r>
        <w:rPr>
          <w:rFonts w:ascii="Aptos" w:eastAsia="Aptos" w:hAnsi="Aptos" w:cs="Aptos"/>
        </w:rPr>
        <w:t>Define which cloud workloads must be protected and how each is expected to be recoverable.</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Scope of protected workloads</w:t>
            </w:r>
          </w:p>
          <w:p>
            <w:r>
              <w:rPr>
                <w:rFonts w:ascii="Aptos" w:eastAsia="Aptos" w:hAnsi="Aptos" w:cs="Aptos"/>
                <w:sz w:val="20"/>
                <w:szCs w:val="20"/>
              </w:rPr>
              <w:t>The solution must protect every production and pre-production Azure workload in Canada Central that holds data or configuration the business needs to recover, across all subscriptions in the Entra tenant. Each workload must have a defined protection method (backup, platform-native backup, or rebuild from code).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Fixes what the backup service covers and leaves no workload without a known recovery path.</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Virtual machines and disks</w:t>
            </w:r>
          </w:p>
          <w:p>
            <w:r>
              <w:rPr>
                <w:rFonts w:ascii="Aptos" w:eastAsia="Aptos" w:hAnsi="Aptos" w:cs="Aptos"/>
                <w:sz w:val="20"/>
                <w:szCs w:val="20"/>
              </w:rPr>
              <w:t>Windows and Linux virtual machines, virtual machine scale sets (Flexible orchestration) and standalone managed disks must be backed up with application-consistent snapshots and support full-VM, disk-level and file-level restore.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Virtual machines remain the largest share of protected data.</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Databases on virtual machines</w:t>
            </w:r>
          </w:p>
          <w:p>
            <w:r>
              <w:rPr>
                <w:rFonts w:ascii="Aptos" w:eastAsia="Aptos" w:hAnsi="Aptos" w:cs="Aptos"/>
                <w:sz w:val="20"/>
                <w:szCs w:val="20"/>
              </w:rPr>
              <w:t>SQL Server on Azure VMs must support log backups at a frequency that meets the tier RPO (as often as every 15 minutes). Oracle databases on VMs must be protected with RMAN-integrated, database-consistent backups that allow point-in-time recovery.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VM-level snapshots alone cannot meet database point-in-time recovery needs.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Azure PaaS databases</w:t>
            </w:r>
          </w:p>
          <w:p>
            <w:r>
              <w:rPr>
                <w:rFonts w:ascii="Aptos" w:eastAsia="Aptos" w:hAnsi="Aptos" w:cs="Aptos"/>
                <w:sz w:val="20"/>
                <w:szCs w:val="20"/>
              </w:rPr>
              <w:t>Azure SQL Database, Azure SQL Managed Instance, Azure Database for PostgreSQL and MySQL Flexible Server, and Azure Cosmos DB must have native point-in-time restore enabled, and a long-term or isolated copy where the business retention requirement exceeds the native retention (typically 7–35 days).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Native PITR is strong for short-term recovery; long-term and isolated copies close the retention gap.</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Storage accounts</w:t>
            </w:r>
          </w:p>
          <w:p>
            <w:r>
              <w:rPr>
                <w:rFonts w:ascii="Aptos" w:eastAsia="Aptos" w:hAnsi="Aptos" w:cs="Aptos"/>
                <w:sz w:val="20"/>
                <w:szCs w:val="20"/>
              </w:rPr>
              <w:t>Azure Blob Storage, Data Lake Storage Gen2 and Azure Files must be protected with point-in-time recovery and an offsite copy. Any limitation on access tiers (for example, the Archive tier) must be documented with a mitigation.</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Storage holds unstructured business data and data-lake content used by analytics.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Containers</w:t>
            </w:r>
          </w:p>
          <w:p>
            <w:r>
              <w:rPr>
                <w:rFonts w:ascii="Aptos" w:eastAsia="Aptos" w:hAnsi="Aptos" w:cs="Aptos"/>
                <w:sz w:val="20"/>
                <w:szCs w:val="20"/>
              </w:rPr>
              <w:t>AKS persistent volumes and Kubernetes resources (namespaces, deployments, configuration) must be recoverable to the same or a new cluster, including volumes backed by Azure Files or Blob where these are used.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Container workloads are growing; persistent data must be recoverable with its configuration.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Key management</w:t>
            </w:r>
          </w:p>
          <w:p>
            <w:r>
              <w:rPr>
                <w:rFonts w:ascii="Aptos" w:eastAsia="Aptos" w:hAnsi="Aptos" w:cs="Aptos"/>
                <w:sz w:val="20"/>
                <w:szCs w:val="20"/>
              </w:rPr>
              <w:t>Azure Key Vault secrets, keys and certificates must be recoverable. Soft delete and purge protection must be enabled on every vault, and vault configuration must be held in code.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Encrypted data and applications cannot be recovered without their keys and secrets.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Integration, analytics and AI services</w:t>
            </w:r>
          </w:p>
          <w:p>
            <w:r>
              <w:rPr>
                <w:rFonts w:ascii="Aptos" w:eastAsia="Aptos" w:hAnsi="Aptos" w:cs="Aptos"/>
                <w:sz w:val="20"/>
                <w:szCs w:val="20"/>
              </w:rPr>
              <w:t>Logic Apps, Azure Functions, Azure Synapse Analytics, Azure Data Factory, Automation accounts, Log Analytics workspaces and Azure AI Foundry resources must each have a documented recovery method, either backup or redeployment from source control, including connections and settings.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These services are typically rebuilt rather than restored; the method must be explicit and tested.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Protection of new workloads</w:t>
            </w:r>
          </w:p>
          <w:p>
            <w:r>
              <w:rPr>
                <w:rFonts w:ascii="Aptos" w:eastAsia="Aptos" w:hAnsi="Aptos" w:cs="Aptos"/>
                <w:sz w:val="20"/>
                <w:szCs w:val="20"/>
              </w:rPr>
              <w:t>New resources should be protected by default through policy (for example, tag-based assignment), and unprotected resources must be detectable and reported.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Prevents coverage gaps as the Azure estate grows by an estimated 25% a year.</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3-10</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Coexistence with native protection</w:t>
            </w:r>
          </w:p>
          <w:p>
            <w:r>
              <w:rPr>
                <w:rFonts w:ascii="Aptos" w:eastAsia="Aptos" w:hAnsi="Aptos" w:cs="Aptos"/>
                <w:sz w:val="20"/>
                <w:szCs w:val="20"/>
              </w:rPr>
              <w:t>The solution must operate alongside Azure-native protection (native database PITR, soft delete, Microsoft Entra Backup and Recovery) without disabling it, and recovery runbooks must state which mechanism is used for each scenario.</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Native features remain the fastest recovery path for many short-term incidents.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4</w:t>
      </w:r>
      <w:r>
        <w:tab/>
      </w:r>
      <w:r>
        <w:rPr>
          <w:rFonts w:ascii="Aptos Display" w:eastAsia="Aptos Display" w:hAnsi="Aptos Display" w:cs="Aptos Display"/>
        </w:rPr>
        <w:t>Data Residency and Resilience</w:t>
      </w:r>
    </w:p>
    <w:p>
      <w:r>
        <w:rPr>
          <w:rFonts w:ascii="Aptos" w:eastAsia="Aptos" w:hAnsi="Aptos" w:cs="Aptos"/>
        </w:rPr>
        <w:t>Define where production data, backup copies and metadata may reside, and the copies required for resilience.</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Canadian data residency</w:t>
            </w:r>
          </w:p>
          <w:p>
            <w:r>
              <w:rPr>
                <w:rFonts w:ascii="Aptos" w:eastAsia="Aptos" w:hAnsi="Aptos" w:cs="Aptos"/>
                <w:sz w:val="20"/>
                <w:szCs w:val="20"/>
              </w:rPr>
              <w:t>All production workload data and every backup copy, replica and archive must remain within Canadian geographic boundaries.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Mandatory regulatory and organisational requirement.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Metadata and control-plane residency</w:t>
            </w:r>
          </w:p>
          <w:p>
            <w:r>
              <w:rPr>
                <w:rFonts w:ascii="Aptos" w:eastAsia="Aptos" w:hAnsi="Aptos" w:cs="Aptos"/>
                <w:sz w:val="20"/>
                <w:szCs w:val="20"/>
              </w:rPr>
              <w:t>Backup catalogues, metadata, telemetry, logs and vendor support access must remain in Canada. Any component hosted outside Canada (for example, a SaaS control plane) must be documented, with the data it holds, and accepted in writing by Privacy and Compliance before approval.</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The KDD found that some SaaS control planes for Canadian storage regions are hosted outside Canada.</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Copy model</w:t>
            </w:r>
          </w:p>
          <w:p>
            <w:r>
              <w:rPr>
                <w:rFonts w:ascii="Aptos" w:eastAsia="Aptos" w:hAnsi="Aptos" w:cs="Aptos"/>
                <w:sz w:val="20"/>
                <w:szCs w:val="20"/>
              </w:rPr>
              <w:t>Protection must follow a 3-2-1-1-0 model: at least three copies, on two types of storage, one offsite, one immutable or logically isolated, and zero unverified restores.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Industry-standard baseline for recoverability.</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Resilient in-region copy</w:t>
            </w:r>
          </w:p>
          <w:p>
            <w:r>
              <w:rPr>
                <w:rFonts w:ascii="Aptos" w:eastAsia="Aptos" w:hAnsi="Aptos" w:cs="Aptos"/>
                <w:sz w:val="20"/>
                <w:szCs w:val="20"/>
              </w:rPr>
              <w:t>The primary backup copy must be held in Canada Central on zone-redundant storage in a dedicated backup subscription.</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Survives the loss of an availability zone and separates backups from production resources.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Offsite copy in a second Canadian location</w:t>
            </w:r>
          </w:p>
          <w:p>
            <w:r>
              <w:rPr>
                <w:rFonts w:ascii="Aptos" w:eastAsia="Aptos" w:hAnsi="Aptos" w:cs="Aptos"/>
                <w:sz w:val="20"/>
                <w:szCs w:val="20"/>
              </w:rPr>
              <w:t>An additional copy must be held in a second Canadian region (Canada East or another eligible Canadian location). Zone redundancy within Canada Central must not be treated as a substitute for this copy.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Protects against the loss of the Canada Central region.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Logical isolation of the offsite copy</w:t>
            </w:r>
          </w:p>
          <w:p>
            <w:r>
              <w:rPr>
                <w:rFonts w:ascii="Aptos" w:eastAsia="Aptos" w:hAnsi="Aptos" w:cs="Aptos"/>
                <w:sz w:val="20"/>
                <w:szCs w:val="20"/>
              </w:rPr>
              <w:t>The offsite copy must be administered separately from production, so that production or primary-backup credentials cannot delete or alter it (for example, a vendor-managed tenant, or a Resource Guard in a separate subscription or tenant).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 compromised administrator account is the most common route to backup deletion in ransomware incidents.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Cross-region recovery</w:t>
            </w:r>
          </w:p>
          <w:p>
            <w:r>
              <w:rPr>
                <w:rFonts w:ascii="Aptos" w:eastAsia="Aptos" w:hAnsi="Aptos" w:cs="Aptos"/>
                <w:sz w:val="20"/>
                <w:szCs w:val="20"/>
              </w:rPr>
              <w:t>Workloads must be recoverable into Canada East or another eligible Canadian location. Because no workloads currently run in Canada East, the compute capacity approach for recovery (for example, capacity reservations or restore to an alternate subscription in Canada Central) must be documented and tested.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Storage replication alone does not guarantee that workloads can be started in the recovery region.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4-8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Evidence of location</w:t>
            </w:r>
          </w:p>
          <w:p>
            <w:r>
              <w:rPr>
                <w:rFonts w:ascii="Aptos" w:eastAsia="Aptos" w:hAnsi="Aptos" w:cs="Aptos"/>
                <w:sz w:val="20"/>
                <w:szCs w:val="20"/>
              </w:rPr>
              <w:t>The vendor or service must provide written confirmation of the location of backup storage, replicas, metadata and supporting services, and notify the organisation of any change.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Supports audit and the compliance sign-off.</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5</w:t>
      </w:r>
      <w:r>
        <w:tab/>
      </w:r>
      <w:r>
        <w:rPr>
          <w:rFonts w:ascii="Aptos Display" w:eastAsia="Aptos Display" w:hAnsi="Aptos Display" w:cs="Aptos Display"/>
        </w:rPr>
        <w:t>Recovery Capabilities and Objectives</w:t>
      </w:r>
    </w:p>
    <w:p>
      <w:r>
        <w:rPr>
          <w:rFonts w:ascii="Aptos" w:eastAsia="Aptos" w:hAnsi="Aptos" w:cs="Aptos"/>
        </w:rPr>
        <w:t>Define the recovery scenarios that must be supported and the objectives and testing that prove them.</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Recovery objectives by tier</w:t>
            </w:r>
          </w:p>
          <w:p>
            <w:r>
              <w:rPr>
                <w:rFonts w:ascii="Aptos" w:eastAsia="Aptos" w:hAnsi="Aptos" w:cs="Aptos"/>
                <w:sz w:val="20"/>
                <w:szCs w:val="20"/>
              </w:rPr>
              <w:t>Workloads must be assigned to recovery tiers with business-signed RPO and RTO targets and retention periods. The solution must meet these targets, and the targets must be confirmed by business owners before sign-off.</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Aligns technical design with business impact and provides a measurable acceptance test.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Point-in-time recovery and retention</w:t>
            </w:r>
          </w:p>
          <w:p>
            <w:r>
              <w:rPr>
                <w:rFonts w:ascii="Aptos" w:eastAsia="Aptos" w:hAnsi="Aptos" w:cs="Aptos"/>
                <w:sz w:val="20"/>
                <w:szCs w:val="20"/>
              </w:rPr>
              <w:t>The solution must support configurable daily, weekly, monthly and yearly retention per tier, and long-term retention up to the period required by records policy (for example, seven years) without manual handling.</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Supports operational recovery and regulatory retention from one policy model.</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Recovery of deleted resource groups</w:t>
            </w:r>
          </w:p>
          <w:p>
            <w:r>
              <w:rPr>
                <w:rFonts w:ascii="Aptos" w:eastAsia="Aptos" w:hAnsi="Aptos" w:cs="Aptos"/>
                <w:sz w:val="20"/>
                <w:szCs w:val="20"/>
              </w:rPr>
              <w:t>It must be possible to recover a deleted resource group: recreate the group and its resources with their configuration and dependencies, then restore the data.</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Azure has no undelete for resource groups; deletion removes every resource inside it.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Network and infrastructure rebuild</w:t>
            </w:r>
          </w:p>
          <w:p>
            <w:r>
              <w:rPr>
                <w:rFonts w:ascii="Aptos" w:eastAsia="Aptos" w:hAnsi="Aptos" w:cs="Aptos"/>
                <w:sz w:val="20"/>
                <w:szCs w:val="20"/>
              </w:rPr>
              <w:t>Virtual networks, subnets, network security groups, route tables, private endpoints and private DNS zones must be recoverable by backup or by tested redeployment from code.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Virtual machine and PaaS restores depend on the target network existing first.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PaaS and SaaS service recovery</w:t>
            </w:r>
          </w:p>
          <w:p>
            <w:r>
              <w:rPr>
                <w:rFonts w:ascii="Aptos" w:eastAsia="Aptos" w:hAnsi="Aptos" w:cs="Aptos"/>
                <w:sz w:val="20"/>
                <w:szCs w:val="20"/>
              </w:rPr>
              <w:t>Each PaaS service must have a documented recovery method that states its limits (for example, restore to a new resource, retention windows, configuration not captured).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Recovery behaviour differs by service and must be known before an incident.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Granular recovery</w:t>
            </w:r>
          </w:p>
          <w:p>
            <w:r>
              <w:rPr>
                <w:rFonts w:ascii="Aptos" w:eastAsia="Aptos" w:hAnsi="Aptos" w:cs="Aptos"/>
                <w:sz w:val="20"/>
                <w:szCs w:val="20"/>
              </w:rPr>
              <w:t>The solution must support file-, folder-, database- and item-level restore, in place or to an alternate location, without restoring the whole workload.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Most recovery requests are small and should be fast.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Alternate-location recovery</w:t>
            </w:r>
          </w:p>
          <w:p>
            <w:r>
              <w:rPr>
                <w:rFonts w:ascii="Aptos" w:eastAsia="Aptos" w:hAnsi="Aptos" w:cs="Aptos"/>
                <w:sz w:val="20"/>
                <w:szCs w:val="20"/>
              </w:rPr>
              <w:t>Workloads must be restorable to another subscription in the same Entra tenant and to another eligible Canadian region, where the service supports it.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Enables clean-room recovery and recovery when the original subscription is compromised.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Clean recovery after a cyber attack</w:t>
            </w:r>
          </w:p>
          <w:p>
            <w:r>
              <w:rPr>
                <w:rFonts w:ascii="Aptos" w:eastAsia="Aptos" w:hAnsi="Aptos" w:cs="Aptos"/>
                <w:sz w:val="20"/>
                <w:szCs w:val="20"/>
              </w:rPr>
              <w:t>It must be possible to recover from the immutable copy into an isolated recovery environment, scan recovery points for malware or anomalies before restore, and identify the last clean recovery point.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Prevents reinfection during recovery from ransomware.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Infrastructure as Code</w:t>
            </w:r>
          </w:p>
          <w:p>
            <w:r>
              <w:rPr>
                <w:rFonts w:ascii="Aptos" w:eastAsia="Aptos" w:hAnsi="Aptos" w:cs="Aptos"/>
                <w:sz w:val="20"/>
                <w:szCs w:val="20"/>
              </w:rPr>
              <w:t>Critical environments must be defined in Infrastructure as Code (for example, Bicep or Terraform) stored in protected repositories, with drift detection, so that platform resources can be redeployed consistently.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IaC is the baseline rebuild path in every option and the only one in some.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5-10</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Recovery testing</w:t>
            </w:r>
          </w:p>
          <w:p>
            <w:r>
              <w:rPr>
                <w:rFonts w:ascii="Aptos" w:eastAsia="Aptos" w:hAnsi="Aptos" w:cs="Aptos"/>
                <w:sz w:val="20"/>
                <w:szCs w:val="20"/>
              </w:rPr>
              <w:t>Restores must be tested at least quarterly per tier, with automated restore validation where available, and a full environment and cyber-recovery exercise at least annually. Test results must be retained as evidence.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Untested backups do not provide assurance; evidence is needed for audit.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6</w:t>
      </w:r>
      <w:r>
        <w:tab/>
      </w:r>
      <w:r>
        <w:rPr>
          <w:rFonts w:ascii="Aptos Display" w:eastAsia="Aptos Display" w:hAnsi="Aptos Display" w:cs="Aptos Display"/>
        </w:rPr>
        <w:t>DevOps, GitHub and Identity Protection</w:t>
      </w:r>
    </w:p>
    <w:p>
      <w:r>
        <w:rPr>
          <w:rFonts w:ascii="Aptos" w:eastAsia="Aptos" w:hAnsi="Aptos" w:cs="Aptos"/>
        </w:rPr>
        <w:t>Define how source code, pipelines and identity, on which every cloud workload depends, are protected and recovered.</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Azure DevOps Services</w:t>
            </w:r>
          </w:p>
          <w:p>
            <w:r>
              <w:rPr>
                <w:rFonts w:ascii="Aptos" w:eastAsia="Aptos" w:hAnsi="Aptos" w:cs="Aptos"/>
                <w:sz w:val="20"/>
                <w:szCs w:val="20"/>
              </w:rPr>
              <w:t>Azure DevOps organisations must be backed up, including Git repositories (with LFS), pipelines, boards and work items, wikis, artifacts feeds and permissions where the service allows. Any object that cannot be backed up must be listed with a compensating control.</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Native project restore is limited to 28 days and is not a customer-controlled backup.</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GitHub Enterprise Cloud</w:t>
            </w:r>
          </w:p>
          <w:p>
            <w:r>
              <w:rPr>
                <w:rFonts w:ascii="Aptos" w:eastAsia="Aptos" w:hAnsi="Aptos" w:cs="Aptos"/>
                <w:sz w:val="20"/>
                <w:szCs w:val="20"/>
              </w:rPr>
              <w:t>GitHub organisations must be backed up, including repositories (commits, branches, tags, LFS), pull requests, issues, Actions workflows and repository metadata. Objects a product cannot capture must be covered by scheduled exports.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Native repository restore is limited to 90 days and does not restore all metadata.</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Self-hosted DevOps servers</w:t>
            </w:r>
          </w:p>
          <w:p>
            <w:r>
              <w:rPr>
                <w:rFonts w:ascii="Aptos" w:eastAsia="Aptos" w:hAnsi="Aptos" w:cs="Aptos"/>
                <w:sz w:val="20"/>
                <w:szCs w:val="20"/>
              </w:rPr>
              <w:t>Any Azure DevOps Server or GitHub Enterprise Server instance must be protected with database-consistent backups (Azure DevOps Server) or GitHub backup-utils (GitHub Enterprise Server), in addition to VM backups.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VM snapshots alone do not guarantee a consistent, restorable server.</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Event-driven backup</w:t>
            </w:r>
          </w:p>
          <w:p>
            <w:r>
              <w:rPr>
                <w:rFonts w:ascii="Aptos" w:eastAsia="Aptos" w:hAnsi="Aptos" w:cs="Aptos"/>
                <w:sz w:val="20"/>
                <w:szCs w:val="20"/>
              </w:rPr>
              <w:t>Protected branches should be backed up before pull-request merge, in addition to daily scheduled backups.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Captures critical changes between scheduled backups.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Flexible DevOps restore</w:t>
            </w:r>
          </w:p>
          <w:p>
            <w:r>
              <w:rPr>
                <w:rFonts w:ascii="Aptos" w:eastAsia="Aptos" w:hAnsi="Aptos" w:cs="Aptos"/>
                <w:sz w:val="20"/>
                <w:szCs w:val="20"/>
              </w:rPr>
              <w:t>Repositories and projects must be restorable to the original or an alternate organisation, project or repository.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Supports recovery into a clean organisation after compromise.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Entra ID object coverage</w:t>
            </w:r>
          </w:p>
          <w:p>
            <w:r>
              <w:rPr>
                <w:rFonts w:ascii="Aptos" w:eastAsia="Aptos" w:hAnsi="Aptos" w:cs="Aptos"/>
                <w:sz w:val="20"/>
                <w:szCs w:val="20"/>
              </w:rPr>
              <w:t>Users, groups and memberships, applications, service principals, Conditional Access policies, named locations, authentication method policies and role assignments must be backed up and restorable, individually and in bulk.</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Entra ID is the control plane for every Azure and Microsoft 365 workload.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Entra ID retention and isolation</w:t>
            </w:r>
          </w:p>
          <w:p>
            <w:r>
              <w:rPr>
                <w:rFonts w:ascii="Aptos" w:eastAsia="Aptos" w:hAnsi="Aptos" w:cs="Aptos"/>
                <w:sz w:val="20"/>
                <w:szCs w:val="20"/>
              </w:rPr>
              <w:t>Microsoft Entra Backup and Recovery must remain enabled. Where the business requires retention beyond the native window (7 days for changes, 30 days for soft-deleted objects), a long-term copy must be held that tenant administrators cannot delete or alter.</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Native backups are short-term and sit within the same service.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Hard-deletion protection</w:t>
            </w:r>
          </w:p>
          <w:p>
            <w:r>
              <w:rPr>
                <w:rFonts w:ascii="Aptos" w:eastAsia="Aptos" w:hAnsi="Aptos" w:cs="Aptos"/>
                <w:sz w:val="20"/>
                <w:szCs w:val="20"/>
              </w:rPr>
              <w:t>Protected Actions (or an equivalent control) must require step-up authentication for hard deletion of Entra ID objects, and the solution should be able to recreate hard-deleted objects from backup.</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Native recovery cannot restore hard-deleted objects.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Hybrid identity recovery</w:t>
            </w:r>
          </w:p>
          <w:p>
            <w:r>
              <w:rPr>
                <w:rFonts w:ascii="Aptos" w:eastAsia="Aptos" w:hAnsi="Aptos" w:cs="Aptos"/>
                <w:sz w:val="20"/>
                <w:szCs w:val="20"/>
              </w:rPr>
              <w:t>Recovery of users and groups synchronised from on-premises Active Directory must be coordinated with the on-premises AD backup, recovering at the source of authority before resynchronisation.</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Avoids restored cloud objects being overwritten by synchronisation.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6-10</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Secrets and credentials</w:t>
            </w:r>
          </w:p>
          <w:p>
            <w:r>
              <w:rPr>
                <w:rFonts w:ascii="Aptos" w:eastAsia="Aptos" w:hAnsi="Aptos" w:cs="Aptos"/>
                <w:sz w:val="20"/>
                <w:szCs w:val="20"/>
              </w:rPr>
              <w:t>Application secrets, certificates and keys must be held in Key Vault, with a documented procedure to reissue credentials after a restore.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Secret values cannot be recovered from identity backups.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7</w:t>
      </w:r>
      <w:r>
        <w:tab/>
      </w:r>
      <w:r>
        <w:rPr>
          <w:rFonts w:ascii="Aptos Display" w:eastAsia="Aptos Display" w:hAnsi="Aptos Display" w:cs="Aptos Display"/>
        </w:rPr>
        <w:t>Security, Immutability and Ransomware Resilience</w:t>
      </w:r>
    </w:p>
    <w:p>
      <w:r>
        <w:rPr>
          <w:rFonts w:ascii="Aptos" w:eastAsia="Aptos" w:hAnsi="Aptos" w:cs="Aptos"/>
        </w:rPr>
        <w:t>Define the controls that keep backups intact and trustworthy when production is compromised.</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Immutable backups</w:t>
            </w:r>
          </w:p>
          <w:p>
            <w:r>
              <w:rPr>
                <w:rFonts w:ascii="Aptos" w:eastAsia="Aptos" w:hAnsi="Aptos" w:cs="Aptos"/>
                <w:sz w:val="20"/>
                <w:szCs w:val="20"/>
              </w:rPr>
              <w:t>All backup copies must be immutable (write-once, locked retention) so that recovery points cannot be modified, encrypted or deleted before expiry, and retention cannot be shortened.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Primary control against ransomware and malicious deletion.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Multi-person approval</w:t>
            </w:r>
          </w:p>
          <w:p>
            <w:r>
              <w:rPr>
                <w:rFonts w:ascii="Aptos" w:eastAsia="Aptos" w:hAnsi="Aptos" w:cs="Aptos"/>
                <w:sz w:val="20"/>
                <w:szCs w:val="20"/>
              </w:rPr>
              <w:t>Destructive actions (deleting backups, reducing retention, disabling immutability or protection, changing locks) must require approval by a second authorised person.</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Prevents a single compromised or malicious account from destroying backups.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Identity integration</w:t>
            </w:r>
          </w:p>
          <w:p>
            <w:r>
              <w:rPr>
                <w:rFonts w:ascii="Aptos" w:eastAsia="Aptos" w:hAnsi="Aptos" w:cs="Aptos"/>
                <w:sz w:val="20"/>
                <w:szCs w:val="20"/>
              </w:rPr>
              <w:t>Every backup console and service must use Entra ID single sign-on with phishing-resistant multi-factor authentication through Conditional Access. No local accounts may exist beyond a vaulted break-glass account.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One identity plane; access follows the Entra account lifecycle.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Just-in-time privileged access</w:t>
            </w:r>
          </w:p>
          <w:p>
            <w:r>
              <w:rPr>
                <w:rFonts w:ascii="Aptos" w:eastAsia="Aptos" w:hAnsi="Aptos" w:cs="Aptos"/>
                <w:sz w:val="20"/>
                <w:szCs w:val="20"/>
              </w:rPr>
              <w:t>Administrative roles must be granted just in time through Entra PIM or the privileged-access platform, time-bound and approved, with session recording for infrastructure consoles.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Removes standing privilege from the backup estate.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Separation of duties</w:t>
            </w:r>
          </w:p>
          <w:p>
            <w:r>
              <w:rPr>
                <w:rFonts w:ascii="Aptos" w:eastAsia="Aptos" w:hAnsi="Aptos" w:cs="Aptos"/>
                <w:sz w:val="20"/>
                <w:szCs w:val="20"/>
              </w:rPr>
              <w:t>Roles must be separated at least into backup operator, backup administrator, restore approver, cloud rebuild operator, offsite-copy custodian and security administrator, with discovery identities separate from restore and rebuild identities.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Least privilege; limits the impact of any single account.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Encryption</w:t>
            </w:r>
          </w:p>
          <w:p>
            <w:r>
              <w:rPr>
                <w:rFonts w:ascii="Aptos" w:eastAsia="Aptos" w:hAnsi="Aptos" w:cs="Aptos"/>
                <w:sz w:val="20"/>
                <w:szCs w:val="20"/>
              </w:rPr>
              <w:t>Backup data must be encrypted in transit and at rest. Customer-managed keys held in a Canadian Key Vault should be supported.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Protects confidentiality and supports key control.</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Network exposure</w:t>
            </w:r>
          </w:p>
          <w:p>
            <w:r>
              <w:rPr>
                <w:rFonts w:ascii="Aptos" w:eastAsia="Aptos" w:hAnsi="Aptos" w:cs="Aptos"/>
                <w:sz w:val="20"/>
                <w:szCs w:val="20"/>
              </w:rPr>
              <w:t>Backup infrastructure and storage must be reachable only over private connectivity (private endpoints or ExpressRoute). SaaS consoles must be restricted by IP allow-list or compliant-device Conditional Access.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Reduces the attack surface of the backup estate.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Threat and anomaly detection</w:t>
            </w:r>
          </w:p>
          <w:p>
            <w:r>
              <w:rPr>
                <w:rFonts w:ascii="Aptos" w:eastAsia="Aptos" w:hAnsi="Aptos" w:cs="Aptos"/>
                <w:sz w:val="20"/>
                <w:szCs w:val="20"/>
              </w:rPr>
              <w:t>The solution should detect anomalies in backup data (for example, mass encryption or deletion patterns) and support malware scanning of recovery points.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Early warning and identification of clean recovery points.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Preventive guardrails</w:t>
            </w:r>
          </w:p>
          <w:p>
            <w:r>
              <w:rPr>
                <w:rFonts w:ascii="Aptos" w:eastAsia="Aptos" w:hAnsi="Aptos" w:cs="Aptos"/>
                <w:sz w:val="20"/>
                <w:szCs w:val="20"/>
              </w:rPr>
              <w:t>Critical resource groups and virtual networks must carry resource locks and Azure Policy deny rules, and soft delete must be enabled for every service that supports it.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Prevents many incidents from needing a restore.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7-10</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Security baseline at go-live</w:t>
            </w:r>
          </w:p>
          <w:p>
            <w:r>
              <w:rPr>
                <w:rFonts w:ascii="Aptos" w:eastAsia="Aptos" w:hAnsi="Aptos" w:cs="Aptos"/>
                <w:sz w:val="20"/>
                <w:szCs w:val="20"/>
              </w:rPr>
              <w:t>The security controls in this section must be configured and validated before any workload is declared protected.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Some controls are not enabled by default in every product.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8</w:t>
      </w:r>
      <w:r>
        <w:tab/>
      </w:r>
      <w:r>
        <w:rPr>
          <w:rFonts w:ascii="Aptos Display" w:eastAsia="Aptos Display" w:hAnsi="Aptos Display" w:cs="Aptos Display"/>
        </w:rPr>
        <w:t>Operations, Monitoring and Governance</w:t>
      </w:r>
    </w:p>
    <w:p>
      <w:r>
        <w:rPr>
          <w:rFonts w:ascii="Aptos" w:eastAsia="Aptos" w:hAnsi="Aptos" w:cs="Aptos"/>
        </w:rPr>
        <w:t>Define how the backup service is run, monitored, reported on and governed.</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Centralised management</w:t>
            </w:r>
          </w:p>
          <w:p>
            <w:r>
              <w:rPr>
                <w:rFonts w:ascii="Aptos" w:eastAsia="Aptos" w:hAnsi="Aptos" w:cs="Aptos"/>
                <w:sz w:val="20"/>
                <w:szCs w:val="20"/>
              </w:rPr>
              <w:t>Protection policy, monitoring and reporting should be managed from a single console and policy model, consistent with the existing enterprise backup estate where practicable.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Reduces operational effort and the risk of inconsistent policies.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Policy-based protection</w:t>
            </w:r>
          </w:p>
          <w:p>
            <w:r>
              <w:rPr>
                <w:rFonts w:ascii="Aptos" w:eastAsia="Aptos" w:hAnsi="Aptos" w:cs="Aptos"/>
                <w:sz w:val="20"/>
                <w:szCs w:val="20"/>
              </w:rPr>
              <w:t>Recovery tiers must be implemented as reusable policies and assigned automatically (for example, by tag, subscription or resource type).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Consistent protection at scale with minimal manual effort.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Monitoring and alerting</w:t>
            </w:r>
          </w:p>
          <w:p>
            <w:r>
              <w:rPr>
                <w:rFonts w:ascii="Aptos" w:eastAsia="Aptos" w:hAnsi="Aptos" w:cs="Aptos"/>
                <w:sz w:val="20"/>
                <w:szCs w:val="20"/>
              </w:rPr>
              <w:t>Failed or missed backups, RPO breaches, capacity thresholds and replication delays must raise alerts to the operations team within agreed times.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Issues are fixed before a restore is needed.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Security logging</w:t>
            </w:r>
          </w:p>
          <w:p>
            <w:r>
              <w:rPr>
                <w:rFonts w:ascii="Aptos" w:eastAsia="Aptos" w:hAnsi="Aptos" w:cs="Aptos"/>
                <w:sz w:val="20"/>
                <w:szCs w:val="20"/>
              </w:rPr>
              <w:t>All audit events must be sent to Microsoft Sentinel, with alerts on retention changes, mass deletion, lock removal, protection being disabled and break-glass use.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Detects attacks on the backup estate itself.</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ITSM integration</w:t>
            </w:r>
          </w:p>
          <w:p>
            <w:r>
              <w:rPr>
                <w:rFonts w:ascii="Aptos" w:eastAsia="Aptos" w:hAnsi="Aptos" w:cs="Aptos"/>
                <w:sz w:val="20"/>
                <w:szCs w:val="20"/>
              </w:rPr>
              <w:t>Backup failures and restore requests must create or update tickets in the IT service management platform.</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Fits existing incident and request processes.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Coverage and compliance reporting</w:t>
            </w:r>
          </w:p>
          <w:p>
            <w:r>
              <w:rPr>
                <w:rFonts w:ascii="Aptos" w:eastAsia="Aptos" w:hAnsi="Aptos" w:cs="Aptos"/>
                <w:sz w:val="20"/>
                <w:szCs w:val="20"/>
              </w:rPr>
              <w:t>Monthly reports must show protected and unprotected resources, policy compliance, RPO achievement, storage consumption and restore-test results.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Gives service owners and auditors evidence of protection.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Runbooks</w:t>
            </w:r>
          </w:p>
          <w:p>
            <w:r>
              <w:rPr>
                <w:rFonts w:ascii="Aptos" w:eastAsia="Aptos" w:hAnsi="Aptos" w:cs="Aptos"/>
                <w:sz w:val="20"/>
                <w:szCs w:val="20"/>
              </w:rPr>
              <w:t>Documented runbooks must exist for each recovery scenario in Section 5, for Entra ID and DevOps recovery, and for cross-region and alternate-subscription recovery.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Recovery under pressure depends on prepared, tested procedures.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Operating model</w:t>
            </w:r>
          </w:p>
          <w:p>
            <w:r>
              <w:rPr>
                <w:rFonts w:ascii="Aptos" w:eastAsia="Aptos" w:hAnsi="Aptos" w:cs="Aptos"/>
                <w:sz w:val="20"/>
                <w:szCs w:val="20"/>
              </w:rPr>
              <w:t>Roles, responsibilities (RACI) and support arrangements must be defined, including vendor support hours and escalation that cover Canadian business hours.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Clear ownership of the service and incidents.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8-9</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Access reviews</w:t>
            </w:r>
          </w:p>
          <w:p>
            <w:r>
              <w:rPr>
                <w:rFonts w:ascii="Aptos" w:eastAsia="Aptos" w:hAnsi="Aptos" w:cs="Aptos"/>
                <w:sz w:val="20"/>
                <w:szCs w:val="20"/>
              </w:rPr>
              <w:t>Access to backup consoles and roles must be reviewed quarterly, and break-glass accounts tested at least twice a year.</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Prevents privilege creep in the backup estate.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8-10</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Cost transparency</w:t>
            </w:r>
          </w:p>
          <w:p>
            <w:r>
              <w:rPr>
                <w:rFonts w:ascii="Aptos" w:eastAsia="Aptos" w:hAnsi="Aptos" w:cs="Aptos"/>
                <w:sz w:val="20"/>
                <w:szCs w:val="20"/>
              </w:rPr>
              <w:t>Licensing and consumption costs should be reportable by subscription, tier and workload type.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Supports chargeback and keeps cost growth visible.</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9</w:t>
      </w:r>
      <w:r>
        <w:tab/>
      </w:r>
      <w:r>
        <w:rPr>
          <w:rFonts w:ascii="Aptos Display" w:eastAsia="Aptos Display" w:hAnsi="Aptos Display" w:cs="Aptos Display"/>
        </w:rPr>
        <w:t>Integration, Multi-Cloud and Commercial</w:t>
      </w:r>
    </w:p>
    <w:p>
      <w:r>
        <w:rPr>
          <w:rFonts w:ascii="Aptos" w:eastAsia="Aptos" w:hAnsi="Aptos" w:cs="Aptos"/>
        </w:rPr>
        <w:t>Define how the solution fits the existing estate, supports future clouds and is procured.</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Requirement</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Benefit / Rationale</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9-1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Integration with the existing estate</w:t>
            </w:r>
          </w:p>
          <w:p>
            <w:r>
              <w:rPr>
                <w:rFonts w:ascii="Aptos" w:eastAsia="Aptos" w:hAnsi="Aptos" w:cs="Aptos"/>
                <w:sz w:val="20"/>
                <w:szCs w:val="20"/>
              </w:rPr>
              <w:t>The solution should integrate with, or reuse, the existing enterprise backup platform used for on-premises and Microsoft 365 workloads, where this reduces cost or operational effort.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Avoids running additional platforms, skills and contracts.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9-2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Landing-zone integration</w:t>
            </w:r>
          </w:p>
          <w:p>
            <w:r>
              <w:rPr>
                <w:rFonts w:ascii="Aptos" w:eastAsia="Aptos" w:hAnsi="Aptos" w:cs="Aptos"/>
                <w:sz w:val="20"/>
                <w:szCs w:val="20"/>
              </w:rPr>
              <w:t>The solution must deploy within the Azure landing-zone design: dedicated backup subscription, managed identities, private endpoints, Azure Policy and deployment through Infrastructure as Code.</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Keeps the backup estate aligned with platform standards.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9-3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Future AWS support</w:t>
            </w:r>
          </w:p>
          <w:p>
            <w:r>
              <w:rPr>
                <w:rFonts w:ascii="Aptos" w:eastAsia="Aptos" w:hAnsi="Aptos" w:cs="Aptos"/>
                <w:sz w:val="20"/>
                <w:szCs w:val="20"/>
              </w:rPr>
              <w:t>The solution should protect AWS workloads, if adopted, with the same policies, reporting and residency controls, without re-platforming.</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AWS is a possible future cloud.</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9-4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Transition from the current service</w:t>
            </w:r>
          </w:p>
          <w:p>
            <w:r>
              <w:rPr>
                <w:rFonts w:ascii="Aptos" w:eastAsia="Aptos" w:hAnsi="Aptos" w:cs="Aptos"/>
                <w:sz w:val="20"/>
                <w:szCs w:val="20"/>
              </w:rPr>
              <w:t>Any change from the current Azure Backup configuration must avoid a protection gap: existing recovery points must remain restorable until they expire, and new protection must be proven before old policies are retired.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Azure Backup is already in production.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9-5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Licensing model</w:t>
            </w:r>
          </w:p>
          <w:p>
            <w:r>
              <w:rPr>
                <w:rFonts w:ascii="Aptos" w:eastAsia="Aptos" w:hAnsi="Aptos" w:cs="Aptos"/>
                <w:sz w:val="20"/>
                <w:szCs w:val="20"/>
              </w:rPr>
              <w:t>Pricing should be predictable (for example, capacity bands or per-protected-terabyte) with multi-year terms, and the licensing basis (front-end or back-end capacity) must be confirmed in writing.</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The licensing basis can change costs materially.</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9-6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Vendor validation</w:t>
            </w:r>
          </w:p>
          <w:p>
            <w:r>
              <w:rPr>
                <w:rFonts w:ascii="Aptos" w:eastAsia="Aptos" w:hAnsi="Aptos" w:cs="Aptos"/>
                <w:sz w:val="20"/>
                <w:szCs w:val="20"/>
              </w:rPr>
              <w:t>Capabilities marked for confirmation in the KDD must be demonstrated in a proof of concept or confirmed in writing before contract award.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Several capabilities change frequently or depend on region.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9-7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Exit and portability</w:t>
            </w:r>
          </w:p>
          <w:p>
            <w:r>
              <w:rPr>
                <w:rFonts w:ascii="Aptos" w:eastAsia="Aptos" w:hAnsi="Aptos" w:cs="Aptos"/>
                <w:sz w:val="20"/>
                <w:szCs w:val="20"/>
              </w:rPr>
              <w:t>The organisation must be able to retain access to, or export, backup data for its full retention period if the service is terminated, and the contract should include exit provisions.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Avoids lock-in of long-term retained data.</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Proposed</w:t>
            </w:r>
          </w:p>
        </w:tc>
      </w:tr>
    </w:tbl>
    <w:p>
      <w:r>
        <w:rPr>
          <w:rFonts w:ascii="Aptos" w:eastAsia="Aptos" w:hAnsi="Aptos" w:cs="Aptos"/>
        </w:rPr>
        <w:t xml:space="preserve"> </w:t>
      </w:r>
    </w:p>
    <w:p>
      <w:pPr>
        <w:pStyle w:val="Heading1"/>
        <w:spacing w:before="0" w:after="0"/>
        <w:rPr>
          <w:rFonts w:ascii="Aptos Display" w:eastAsia="Aptos Display" w:hAnsi="Aptos Display" w:cs="Aptos Display"/>
        </w:rPr>
      </w:pPr>
      <w:r>
        <w:rPr>
          <w:rFonts w:ascii="Aptos Display" w:eastAsia="Aptos Display" w:hAnsi="Aptos Display" w:cs="Aptos Display"/>
        </w:rPr>
        <w:t>10</w:t>
      </w:r>
      <w:r>
        <w:tab/>
      </w:r>
      <w:r>
        <w:rPr>
          <w:rFonts w:ascii="Aptos Display" w:eastAsia="Aptos Display" w:hAnsi="Aptos Display" w:cs="Aptos Display"/>
        </w:rPr>
        <w:t>Assumptions and Dependencies</w:t>
      </w:r>
    </w:p>
    <w:p>
      <w:r>
        <w:rPr>
          <w:rFonts w:ascii="Aptos" w:eastAsia="Aptos" w:hAnsi="Aptos" w:cs="Aptos"/>
        </w:rPr>
        <w:t>Record the assumptions behind these requirements and the dependencies that must be resolved before design.</w:t>
      </w:r>
    </w:p>
    <w:tbl>
      <w:tblPr>
        <w:tblW w:w="0" w:type="auto"/>
        <w:tblLook w:val="04A0" w:firstRow="1" w:lastRow="0" w:firstColumn="1" w:lastColumn="0" w:noHBand="0" w:noVBand="1"/>
      </w:tblPr>
      <w:tblGrid>
        <w:gridCol w:w="1069"/>
        <w:gridCol w:w="4198"/>
        <w:gridCol w:w="2857"/>
        <w:gridCol w:w="1216"/>
      </w:tblGrid>
      <w:tr>
        <w:trPr>
          <w:tblHeader/>
          <w:trHeight w:val="300"/>
        </w:trPr>
        <w:tc>
          <w:tcPr>
            <w:tcW w:w="10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ID</w:t>
            </w:r>
          </w:p>
        </w:tc>
        <w:tc>
          <w:tcPr>
            <w:tcW w:w="4248"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Assumption / Dependency</w:t>
            </w:r>
          </w:p>
        </w:tc>
        <w:tc>
          <w:tcPr>
            <w:tcW w:w="2880"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Impact if not met</w:t>
            </w:r>
          </w:p>
        </w:tc>
        <w:tc>
          <w:tcPr>
            <w:tcW w:w="1217" w:type="dxa"/>
            <w:tcBorders>
              <w:top w:val="single" w:sz="8" w:space="0" w:color="2E75B6"/>
              <w:left w:val="single" w:sz="8" w:space="0" w:color="2E75B6"/>
              <w:bottom w:val="single" w:sz="8" w:space="0" w:color="2E75B6"/>
              <w:right w:val="single" w:sz="8" w:space="0" w:color="2E75B6"/>
            </w:tcBorders>
            <w:shd w:val="clear" w:color="auto" w:fill="1B4F8A"/>
            <w:tcMar>
              <w:top w:w="80" w:type="dxa"/>
              <w:left w:w="160" w:type="dxa"/>
              <w:bottom w:w="80" w:type="dxa"/>
              <w:right w:w="160" w:type="dxa"/>
            </w:tcMar>
          </w:tcPr>
          <w:p>
            <w:r>
              <w:rPr>
                <w:rFonts w:ascii="Aptos" w:eastAsia="Aptos" w:hAnsi="Aptos" w:cs="Aptos"/>
                <w:b/>
                <w:bCs/>
                <w:color w:val="FFFFFF" w:themeColor="background1"/>
                <w:sz w:val="20"/>
                <w:szCs w:val="20"/>
              </w:rPr>
              <w:t>Status</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10-1</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Azure footprint</w:t>
            </w:r>
          </w:p>
          <w:p>
            <w:r>
              <w:rPr>
                <w:rFonts w:ascii="Aptos" w:eastAsia="Aptos" w:hAnsi="Aptos" w:cs="Aptos"/>
                <w:sz w:val="20"/>
                <w:szCs w:val="20"/>
              </w:rPr>
              <w:t>Production is primarily in Canada Central, zone-redundant where supported; no workloads run in Canada East because of capacity constraints.</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Copy placement and cross-region recovery design.</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10-2</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Data volumes</w:t>
            </w:r>
          </w:p>
          <w:p>
            <w:r>
              <w:rPr>
                <w:rFonts w:ascii="Aptos" w:eastAsia="Aptos" w:hAnsi="Aptos" w:cs="Aptos"/>
                <w:sz w:val="20"/>
                <w:szCs w:val="20"/>
              </w:rPr>
              <w:t>Azure protected data is approximately 100 TB, growing about 25% a year; to be confirmed in discovery.</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Sizing, licensing and storage cost.</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10-3</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Users and identities</w:t>
            </w:r>
          </w:p>
          <w:p>
            <w:r>
              <w:rPr>
                <w:rFonts w:ascii="Aptos" w:eastAsia="Aptos" w:hAnsi="Aptos" w:cs="Aptos"/>
                <w:sz w:val="20"/>
                <w:szCs w:val="20"/>
              </w:rPr>
              <w:t>Approximately 600 Azure DevOps / GitHub users and 5,000 Entra ID identities; tenant licensed for Entra ID P1/P2.</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DevOps and identity protection sizing.</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10-4</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AWS adoption</w:t>
            </w:r>
          </w:p>
          <w:p>
            <w:r>
              <w:rPr>
                <w:rFonts w:ascii="Aptos" w:eastAsia="Aptos" w:hAnsi="Aptos" w:cs="Aptos"/>
                <w:sz w:val="20"/>
                <w:szCs w:val="20"/>
              </w:rPr>
              <w:t>AWS is a planning scenario only; no AWS workloads are confirmed.</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Weight given to multi-cloud requirements.</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10-5</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Recovery tiers</w:t>
            </w:r>
          </w:p>
          <w:p>
            <w:r>
              <w:rPr>
                <w:rFonts w:ascii="Aptos" w:eastAsia="Aptos" w:hAnsi="Aptos" w:cs="Aptos"/>
                <w:sz w:val="20"/>
                <w:szCs w:val="20"/>
              </w:rPr>
              <w:t>Business owners will confirm RPO, RTO and retention per tier before sign-off.</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Acceptance criteria for Section 5.</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10-6</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Native protection</w:t>
            </w:r>
          </w:p>
          <w:p>
            <w:r>
              <w:rPr>
                <w:rFonts w:ascii="Aptos" w:eastAsia="Aptos" w:hAnsi="Aptos" w:cs="Aptos"/>
                <w:sz w:val="20"/>
                <w:szCs w:val="20"/>
              </w:rPr>
              <w:t>Native PITR for PaaS databases and Microsoft Entra Backup and Recovery remain enabled in every option.</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Recovery runbooks and cost comparability.</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10-7</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Recovery capacity</w:t>
            </w:r>
          </w:p>
          <w:p>
            <w:r>
              <w:rPr>
                <w:rFonts w:ascii="Aptos" w:eastAsia="Aptos" w:hAnsi="Aptos" w:cs="Aptos"/>
                <w:sz w:val="20"/>
                <w:szCs w:val="20"/>
              </w:rPr>
              <w:t>Compute capacity for recovery in Canada East, or an alternative, can be secured with Microsoft.</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Cross-region RTO.</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r>
        <w:trPr>
          <w:cantSplit/>
          <w:trHeight w:val="300"/>
        </w:trPr>
        <w:tc>
          <w:tcPr>
            <w:tcW w:w="10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10-8</w:t>
            </w:r>
          </w:p>
        </w:tc>
        <w:tc>
          <w:tcPr>
            <w:tcW w:w="4248"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b/>
                <w:bCs/>
                <w:sz w:val="20"/>
                <w:szCs w:val="20"/>
              </w:rPr>
              <w:t>Compliance sign-off</w:t>
            </w:r>
          </w:p>
          <w:p>
            <w:r>
              <w:rPr>
                <w:rFonts w:ascii="Aptos" w:eastAsia="Aptos" w:hAnsi="Aptos" w:cs="Aptos"/>
                <w:sz w:val="20"/>
                <w:szCs w:val="20"/>
              </w:rPr>
              <w:t>Privacy and Compliance will review any component hosted outside Canada identified under requirement 4-2.</w:t>
            </w:r>
          </w:p>
        </w:tc>
        <w:tc>
          <w:tcPr>
            <w:tcW w:w="2880"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Solution eligibility.</w:t>
            </w:r>
          </w:p>
        </w:tc>
        <w:tc>
          <w:tcPr>
            <w:tcW w:w="1217" w:type="dxa"/>
            <w:tcBorders>
              <w:top w:val="single" w:sz="8" w:space="0" w:color="2E75B6"/>
              <w:left w:val="single" w:sz="8" w:space="0" w:color="2E75B6"/>
              <w:bottom w:val="single" w:sz="8" w:space="0" w:color="2E75B6"/>
              <w:right w:val="single" w:sz="8" w:space="0" w:color="2E75B6"/>
            </w:tcBorders>
            <w:tcMar>
              <w:top w:w="80" w:type="dxa"/>
              <w:left w:w="160" w:type="dxa"/>
              <w:bottom w:w="80" w:type="dxa"/>
              <w:right w:w="160" w:type="dxa"/>
            </w:tcMar>
          </w:tcPr>
          <w:p>
            <w:r>
              <w:rPr>
                <w:rFonts w:ascii="Aptos" w:eastAsia="Aptos" w:hAnsi="Aptos" w:cs="Aptos"/>
                <w:sz w:val="20"/>
                <w:szCs w:val="20"/>
              </w:rPr>
              <w:t>To confirm</w:t>
            </w:r>
          </w:p>
        </w:tc>
      </w:tr>
    </w:tbl>
    <w:p>
      <w:pPr>
        <w:rPr>
          <w:rFonts w:ascii="Aptos" w:eastAsia="Aptos" w:hAnsi="Aptos" w:cs="Aptos"/>
        </w:rPr>
      </w:pPr>
    </w:p>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CD"/>
    <w:rsid w:val="00773FC1"/>
    <w:rsid w:val="00BC7A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C7427"/>
  <w15:chartTrackingRefBased/>
  <w15:docId w15:val="{3863363A-CE1F-47B9-A77D-0CFFF6D9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ACD"/>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BC7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7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7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C7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C7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C7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CD"/>
    <w:rPr>
      <w:rFonts w:eastAsiaTheme="majorEastAsia" w:cstheme="majorBidi"/>
      <w:color w:val="272727" w:themeColor="text1" w:themeTint="D8"/>
    </w:rPr>
  </w:style>
  <w:style w:type="paragraph" w:styleId="Title">
    <w:name w:val="Title"/>
    <w:basedOn w:val="Normal"/>
    <w:next w:val="Normal"/>
    <w:link w:val="TitleChar"/>
    <w:uiPriority w:val="10"/>
    <w:qFormat/>
    <w:rsid w:val="00BC7A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CD"/>
    <w:pPr>
      <w:spacing w:before="160"/>
      <w:jc w:val="center"/>
    </w:pPr>
    <w:rPr>
      <w:i/>
      <w:iCs/>
      <w:color w:val="404040" w:themeColor="text1" w:themeTint="BF"/>
    </w:rPr>
  </w:style>
  <w:style w:type="character" w:customStyle="1" w:styleId="QuoteChar">
    <w:name w:val="Quote Char"/>
    <w:basedOn w:val="DefaultParagraphFont"/>
    <w:link w:val="Quote"/>
    <w:uiPriority w:val="29"/>
    <w:rsid w:val="00BC7ACD"/>
    <w:rPr>
      <w:i/>
      <w:iCs/>
      <w:color w:val="404040" w:themeColor="text1" w:themeTint="BF"/>
    </w:rPr>
  </w:style>
  <w:style w:type="paragraph" w:styleId="ListParagraph">
    <w:name w:val="List Paragraph"/>
    <w:basedOn w:val="Normal"/>
    <w:uiPriority w:val="34"/>
    <w:qFormat/>
    <w:rsid w:val="00BC7ACD"/>
    <w:pPr>
      <w:ind w:left="720"/>
      <w:contextualSpacing/>
    </w:pPr>
  </w:style>
  <w:style w:type="character" w:styleId="IntenseEmphasis">
    <w:name w:val="Intense Emphasis"/>
    <w:basedOn w:val="DefaultParagraphFont"/>
    <w:uiPriority w:val="21"/>
    <w:qFormat/>
    <w:rsid w:val="00BC7ACD"/>
    <w:rPr>
      <w:i/>
      <w:iCs/>
      <w:color w:val="0F4761" w:themeColor="accent1" w:themeShade="BF"/>
    </w:rPr>
  </w:style>
  <w:style w:type="paragraph" w:styleId="IntenseQuote">
    <w:name w:val="Intense Quote"/>
    <w:basedOn w:val="Normal"/>
    <w:next w:val="Normal"/>
    <w:link w:val="IntenseQuoteChar"/>
    <w:uiPriority w:val="30"/>
    <w:qFormat/>
    <w:rsid w:val="00BC7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ACD"/>
    <w:rPr>
      <w:i/>
      <w:iCs/>
      <w:color w:val="0F4761" w:themeColor="accent1" w:themeShade="BF"/>
    </w:rPr>
  </w:style>
  <w:style w:type="character" w:styleId="IntenseReference">
    <w:name w:val="Intense Reference"/>
    <w:basedOn w:val="DefaultParagraphFont"/>
    <w:uiPriority w:val="32"/>
    <w:qFormat/>
    <w:rsid w:val="00BC7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9</Pages>
  <Words>2865</Words>
  <Characters>16331</Characters>
  <Application>Microsoft Office Word</Application>
  <DocSecurity>0</DocSecurity>
  <Lines>136</Lines>
  <Paragraphs>38</Paragraphs>
  <ScaleCrop>false</ScaleCrop>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Platform Backup: Technical Requirements</dc:title>
  <dc:subject/>
  <dc:creator>Mohammed, Omer Zubair</dc:creator>
  <cp:keywords/>
  <dc:description/>
  <cp:lastModifiedBy>Mohammed, Omer Zubair</cp:lastModifiedBy>
  <cp:revision>1</cp:revision>
  <dcterms:created xsi:type="dcterms:W3CDTF">2026-10-28T12:00:00Z</dcterms:created>
  <dcterms:modified xsi:type="dcterms:W3CDTF">2026-10-28T12:00:00Z</dcterms:modified>
</cp:coreProperties>
</file>