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Light" w:cs="Calibri Light" w:eastAsia="Calibri Light" w:hAnsi="Calibri Light"/>
          <w:color w:val="582873"/>
          <w:sz w:val="52"/>
          <w:szCs w:val="52"/>
        </w:rPr>
        <w:t xml:space="preserve">Key Decision Document (KDD)</w:t>
      </w:r>
    </w:p>
    <w:p>
      <w:pPr>
        <w:spacing w:after="60"/>
      </w:pPr>
      <w:r>
        <w:rPr>
          <w:rFonts w:ascii="Calibri Light" w:cs="Calibri Light" w:eastAsia="Calibri Light" w:hAnsi="Calibri Light"/>
          <w:color w:val="404040"/>
          <w:sz w:val="32"/>
          <w:szCs w:val="32"/>
        </w:rPr>
        <w:t xml:space="preserve">Enterprise Cloud Workload Backup and Recovery</w:t>
      </w:r>
    </w:p>
    <w:p>
      <w:pPr>
        <w:pBdr>
          <w:bottom w:val="single" w:color="582873" w:sz="12" w:space="6"/>
        </w:pBdr>
        <w:spacing w:after="360"/>
      </w:pPr>
      <w:r>
        <w:rPr>
          <w:color w:val="595959"/>
          <w:sz w:val="24"/>
          <w:szCs w:val="24"/>
        </w:rPr>
        <w:t xml:space="preserve">Option evaluation: Commvault, Rubrik and Azure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Document status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Draft for review (v0.4). Proposed decision pending approval.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Decision owner</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Head of Infrastructure / Resilience Workstream Lead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Decision required</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Select the enterprise approach for cloud workload backup and recovery (Option A, B or 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Scope</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Cloud workloads (Azure today; AWS and GCP in future). Existing on-premises and Microsoft 365 backup are out of scope except for integration and operational consistency.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Cost basis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Rough Order of Magnitude (ROM), 5-year view in CAD, accuracy −40% / +50%; indicative, not vendor quotes</w:t>
            </w:r>
          </w:p>
        </w:tc>
      </w:tr>
    </w:tbl>
    <w:p>
      <w:pPr>
        <w:pStyle w:val="Heading2"/>
      </w:pPr>
      <w:bookmarkStart w:id="900" w:name="_Toc1000"/>
      <w:r>
        <w:t xml:space="preserve">Approvers</w:t>
      </w:r>
      <w:bookmarkEnd w:id="90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200"/>
        <w:gridCol w:w="1660"/>
        <w:gridCol w:w="1000"/>
        <w:gridCol w:w="1600"/>
      </w:tblGrid>
      <w:tr>
        <w:trPr>
          <w:cantSplit/>
          <w:tblHeader/>
        </w:trPr>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Name</w:t>
            </w:r>
          </w:p>
        </w:tc>
        <w:tc>
          <w:tcPr>
            <w:tcW w:type="dxa" w:w="2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Role</w:t>
            </w:r>
          </w:p>
        </w:tc>
        <w:tc>
          <w:tcPr>
            <w:tcW w:type="dxa" w:w="1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Organisation</w:t>
            </w:r>
          </w:p>
        </w:tc>
        <w:tc>
          <w:tcPr>
            <w:tcW w:type="dxa" w:w="16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Decision (Approve / Reject / Defer)</w:t>
            </w:r>
          </w:p>
        </w:tc>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Date</w:t>
            </w:r>
          </w:p>
        </w:tc>
        <w:tc>
          <w:tcPr>
            <w:tcW w:type="dxa" w:w="1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Signature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Head of Infrastructure / Resilience Workstream Lead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Chief Information Security Officer (or delegate)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Enterprise / Cloud Architecture Lead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Business Continuity / Service Owner (RPO/RTO sign-off)</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Privacy and Compliance Lead (data residency)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Finance / Procurement Lead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[Org]</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bl>
    <w:p>
      <w:pPr>
        <w:pStyle w:val="Heading2"/>
      </w:pPr>
      <w:bookmarkStart w:id="901" w:name="_Toc1001"/>
      <w:r>
        <w:t xml:space="preserve">Reviewers</w:t>
      </w:r>
      <w:bookmarkEnd w:id="90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960"/>
        <w:gridCol w:w="1200"/>
        <w:gridCol w:w="1700"/>
      </w:tblGrid>
      <w:tr>
        <w:trPr>
          <w:cantSplit/>
          <w:tblHeader/>
        </w:trPr>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Name</w:t>
            </w:r>
          </w:p>
        </w:tc>
        <w:tc>
          <w:tcPr>
            <w:tcW w:type="dxa" w:w="2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Role</w:t>
            </w:r>
          </w:p>
        </w:tc>
        <w:tc>
          <w:tcPr>
            <w:tcW w:type="dxa" w:w="2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Area of review</w:t>
            </w:r>
          </w:p>
        </w:tc>
        <w:tc>
          <w:tcPr>
            <w:tcW w:type="dxa" w:w="1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Date reviewed</w:t>
            </w:r>
          </w:p>
        </w:tc>
        <w:tc>
          <w:tcPr>
            <w:tcW w:type="dxa" w:w="1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Comments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Cloud Platform Lead (Azure / AWS / GCP)</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Azure workload coverage, landing zone, resource recovery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Backup and Storage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Integration with existing Commvault estate, copy design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Database Lead (SQL / Oracle / PostgreSQL / MySQL / Cosmos DB)</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Database RPO/RTO and recovery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Network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ExpressRoute, private endpoints, cross-region connectivity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DevOps Platform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Azure DevOps / GitHub protection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IAM / Privileged Access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Access layer, PAM, separation of duties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Security Operations Lead</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Immutability, ransomware recovery, monitoring</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[Name]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Privacy and Compliance</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Canadian data residency of data, replicas and metadata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r>
    </w:tbl>
    <w:p>
      <w:pPr>
        <w:pStyle w:val="Heading2"/>
      </w:pPr>
      <w:bookmarkStart w:id="902" w:name="_Toc1002"/>
      <w:r>
        <w:t xml:space="preserve">Revision</w:t>
      </w:r>
      <w:bookmarkEnd w:id="9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500"/>
        <w:gridCol w:w="5560"/>
      </w:tblGrid>
      <w:tr>
        <w:trPr>
          <w:cantSplit/>
          <w:tblHeader/>
        </w:trPr>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Version</w:t>
            </w:r>
          </w:p>
        </w:tc>
        <w:tc>
          <w:tcPr>
            <w:tcW w:type="dxa" w:w="13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Date</w:t>
            </w:r>
          </w:p>
        </w:tc>
        <w:tc>
          <w:tcPr>
            <w:tcW w:type="dxa" w:w="1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Author</w:t>
            </w:r>
          </w:p>
        </w:tc>
        <w:tc>
          <w:tcPr>
            <w:tcW w:type="dxa" w:w="5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Description of change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20 Oct 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Initial draft</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20 Oct 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Restructured to KDD outline; ROM cost comparison</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20 Oct 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Revised scope to cloud workloads. Options changed to A: Commvault, B: Rubrik, C: Azure Backup. Added current Azure environment, Azure Backup limitations, data residency and resilience, and recovery scenarios. Updated decision criteria, decision matrix and ROM costs (−40% / +50%).</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22 Oct 2026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Balanced presentation of the current Azure Backup environment; corrected Blob/ADLS limitations; clarified IaC-based rebuild; Option C effort and cost reflect that Azure Backup is already running; run-cost derivation added; DevOps/GitHub hosted-service backup options added (2.2.6); diagrams provided as editable draw.io files.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p>
        </w:tc>
        <w:tc>
          <w:tcPr>
            <w:tcW w:type="dxa" w:w="5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Approved baseline</w:t>
            </w:r>
          </w:p>
        </w:tc>
      </w:tr>
    </w:tbl>
    <w:p>
      <w:r>
        <w:br w:type="page"/>
      </w:r>
    </w:p>
    <w:p>
      <w:pPr>
        <w:spacing w:after="200"/>
      </w:pPr>
      <w:r>
        <w:rPr>
          <w:rFonts w:ascii="Calibri Light" w:cs="Calibri Light" w:eastAsia="Calibri Light" w:hAnsi="Calibri Light"/>
          <w:color w:val="582873"/>
          <w:sz w:val="32"/>
          <w:szCs w:val="32"/>
        </w:rPr>
        <w:t xml:space="preserve">Table of Contents</w:t>
      </w:r>
    </w:p>
    <w:sdt>
      <w:sdtPr>
        <w:alias w:val="Table of Contents"/>
      </w:sdtPr>
      <w:sdtContent>
        <w:p>
          <w:r>
            <w:fldChar w:fldCharType="begin"/>
            <w:instrText xml:space="preserve">TOC \h \o "1-3"</w:instrText>
            <w:fldChar w:fldCharType="separate"/>
          </w:r>
        </w:p>
        <w:p>
          <w:pPr>
            <w:tabs>
              <w:tab w:val="right" w:leader="dot" w:pos="9350"/>
            </w:tabs>
            <w:spacing w:after="10"/>
            <w:ind w:left="240"/>
          </w:pPr>
          <w:hyperlink w:anchor="_Toc1000" w:history="1">
            <w:r>
              <w:rPr>
                <w:sz w:val="20"/>
              </w:rPr>
              <w:t xml:space="preserve">Approvers</w:t>
            </w:r>
            <w:r>
              <w:rPr>
                <w:sz w:val="20"/>
              </w:rPr>
              <w:tab/>
            </w:r>
            <w:r>
              <w:rPr>
                <w:sz w:val="20"/>
              </w:rPr>
              <w:fldChar w:fldCharType="begin"/>
            </w:r>
            <w:r>
              <w:rPr>
                <w:sz w:val="20"/>
              </w:rPr>
              <w:instrText xml:space="preserve"> PAGEREF _Toc1000 \h </w:instrText>
            </w:r>
            <w:r>
              <w:rPr>
                <w:sz w:val="20"/>
              </w:rPr>
              <w:fldChar w:fldCharType="separate"/>
            </w:r>
            <w:r>
              <w:rPr>
                <w:sz w:val="20"/>
              </w:rPr>
              <w:t>1</w:t>
            </w:r>
            <w:r>
              <w:rPr>
                <w:sz w:val="20"/>
              </w:rPr>
              <w:fldChar w:fldCharType="end"/>
            </w:r>
          </w:hyperlink>
        </w:p>
        <w:p>
          <w:pPr>
            <w:tabs>
              <w:tab w:val="right" w:leader="dot" w:pos="9350"/>
            </w:tabs>
            <w:spacing w:after="10"/>
            <w:ind w:left="240"/>
          </w:pPr>
          <w:hyperlink w:anchor="_Toc1001" w:history="1">
            <w:r>
              <w:rPr>
                <w:sz w:val="20"/>
              </w:rPr>
              <w:t xml:space="preserve">Reviewers</w:t>
            </w:r>
            <w:r>
              <w:rPr>
                <w:sz w:val="20"/>
              </w:rPr>
              <w:tab/>
            </w:r>
            <w:r>
              <w:rPr>
                <w:sz w:val="20"/>
              </w:rPr>
              <w:fldChar w:fldCharType="begin"/>
            </w:r>
            <w:r>
              <w:rPr>
                <w:sz w:val="20"/>
              </w:rPr>
              <w:instrText xml:space="preserve"> PAGEREF _Toc1001 \h </w:instrText>
            </w:r>
            <w:r>
              <w:rPr>
                <w:sz w:val="20"/>
              </w:rPr>
              <w:fldChar w:fldCharType="separate"/>
            </w:r>
            <w:r>
              <w:rPr>
                <w:sz w:val="20"/>
              </w:rPr>
              <w:t>1</w:t>
            </w:r>
            <w:r>
              <w:rPr>
                <w:sz w:val="20"/>
              </w:rPr>
              <w:fldChar w:fldCharType="end"/>
            </w:r>
          </w:hyperlink>
        </w:p>
        <w:p>
          <w:pPr>
            <w:tabs>
              <w:tab w:val="right" w:leader="dot" w:pos="9350"/>
            </w:tabs>
            <w:spacing w:after="10"/>
            <w:ind w:left="240"/>
          </w:pPr>
          <w:hyperlink w:anchor="_Toc1002" w:history="1">
            <w:r>
              <w:rPr>
                <w:sz w:val="20"/>
              </w:rPr>
              <w:t xml:space="preserve">Revision</w:t>
            </w:r>
            <w:r>
              <w:rPr>
                <w:sz w:val="20"/>
              </w:rPr>
              <w:tab/>
            </w:r>
            <w:r>
              <w:rPr>
                <w:sz w:val="20"/>
              </w:rPr>
              <w:fldChar w:fldCharType="begin"/>
            </w:r>
            <w:r>
              <w:rPr>
                <w:sz w:val="20"/>
              </w:rPr>
              <w:instrText xml:space="preserve"> PAGEREF _Toc1002 \h </w:instrText>
            </w:r>
            <w:r>
              <w:rPr>
                <w:sz w:val="20"/>
              </w:rPr>
              <w:fldChar w:fldCharType="separate"/>
            </w:r>
            <w:r>
              <w:rPr>
                <w:sz w:val="20"/>
              </w:rPr>
              <w:t>2</w:t>
            </w:r>
            <w:r>
              <w:rPr>
                <w:sz w:val="20"/>
              </w:rPr>
              <w:fldChar w:fldCharType="end"/>
            </w:r>
          </w:hyperlink>
        </w:p>
        <w:p>
          <w:pPr>
            <w:tabs>
              <w:tab w:val="right" w:leader="dot" w:pos="9350"/>
            </w:tabs>
            <w:spacing w:before="60" w:after="10"/>
            <w:ind w:left="0"/>
          </w:pPr>
          <w:hyperlink w:anchor="_Toc1003" w:history="1">
            <w:r>
              <w:rPr>
                <w:b/>
                <w:sz w:val="20"/>
              </w:rPr>
              <w:t xml:space="preserve">1   Decision Details</w:t>
            </w:r>
            <w:r>
              <w:rPr>
                <w:b/>
                <w:sz w:val="20"/>
              </w:rPr>
              <w:tab/>
            </w:r>
            <w:r>
              <w:rPr>
                <w:b/>
                <w:sz w:val="20"/>
              </w:rPr>
              <w:fldChar w:fldCharType="begin"/>
            </w:r>
            <w:r>
              <w:rPr>
                <w:b/>
                <w:sz w:val="20"/>
              </w:rPr>
              <w:instrText xml:space="preserve"> PAGEREF _Toc1003 \h </w:instrText>
            </w:r>
            <w:r>
              <w:rPr>
                <w:b/>
                <w:sz w:val="20"/>
              </w:rPr>
              <w:fldChar w:fldCharType="separate"/>
            </w:r>
            <w:r>
              <w:rPr>
                <w:b/>
                <w:sz w:val="20"/>
              </w:rPr>
              <w:t>4</w:t>
            </w:r>
            <w:r>
              <w:rPr>
                <w:b/>
                <w:sz w:val="20"/>
              </w:rPr>
              <w:fldChar w:fldCharType="end"/>
            </w:r>
          </w:hyperlink>
        </w:p>
        <w:p>
          <w:pPr>
            <w:tabs>
              <w:tab w:val="right" w:leader="dot" w:pos="9350"/>
            </w:tabs>
            <w:spacing w:after="10"/>
            <w:ind w:left="240"/>
          </w:pPr>
          <w:hyperlink w:anchor="_Toc1004" w:history="1">
            <w:r>
              <w:rPr>
                <w:sz w:val="20"/>
              </w:rPr>
              <w:t xml:space="preserve">1.1   Context and Purpose</w:t>
            </w:r>
            <w:r>
              <w:rPr>
                <w:sz w:val="20"/>
              </w:rPr>
              <w:tab/>
            </w:r>
            <w:r>
              <w:rPr>
                <w:sz w:val="20"/>
              </w:rPr>
              <w:fldChar w:fldCharType="begin"/>
            </w:r>
            <w:r>
              <w:rPr>
                <w:sz w:val="20"/>
              </w:rPr>
              <w:instrText xml:space="preserve"> PAGEREF _Toc1004 \h </w:instrText>
            </w:r>
            <w:r>
              <w:rPr>
                <w:sz w:val="20"/>
              </w:rPr>
              <w:fldChar w:fldCharType="separate"/>
            </w:r>
            <w:r>
              <w:rPr>
                <w:sz w:val="20"/>
              </w:rPr>
              <w:t>4</w:t>
            </w:r>
            <w:r>
              <w:rPr>
                <w:sz w:val="20"/>
              </w:rPr>
              <w:fldChar w:fldCharType="end"/>
            </w:r>
          </w:hyperlink>
        </w:p>
        <w:p>
          <w:pPr>
            <w:tabs>
              <w:tab w:val="right" w:leader="dot" w:pos="9350"/>
            </w:tabs>
            <w:spacing w:after="10"/>
            <w:ind w:left="480"/>
          </w:pPr>
          <w:hyperlink w:anchor="_Toc1005" w:history="1">
            <w:r>
              <w:rPr>
                <w:sz w:val="20"/>
              </w:rPr>
              <w:t xml:space="preserve">1.1.1   Current Azure Environment</w:t>
            </w:r>
            <w:r>
              <w:rPr>
                <w:sz w:val="20"/>
              </w:rPr>
              <w:tab/>
            </w:r>
            <w:r>
              <w:rPr>
                <w:sz w:val="20"/>
              </w:rPr>
              <w:fldChar w:fldCharType="begin"/>
            </w:r>
            <w:r>
              <w:rPr>
                <w:sz w:val="20"/>
              </w:rPr>
              <w:instrText xml:space="preserve"> PAGEREF _Toc1005 \h </w:instrText>
            </w:r>
            <w:r>
              <w:rPr>
                <w:sz w:val="20"/>
              </w:rPr>
              <w:fldChar w:fldCharType="separate"/>
            </w:r>
            <w:r>
              <w:rPr>
                <w:sz w:val="20"/>
              </w:rPr>
              <w:t>4</w:t>
            </w:r>
            <w:r>
              <w:rPr>
                <w:sz w:val="20"/>
              </w:rPr>
              <w:fldChar w:fldCharType="end"/>
            </w:r>
          </w:hyperlink>
        </w:p>
        <w:p>
          <w:pPr>
            <w:tabs>
              <w:tab w:val="right" w:leader="dot" w:pos="9350"/>
            </w:tabs>
            <w:spacing w:after="10"/>
            <w:ind w:left="480"/>
          </w:pPr>
          <w:hyperlink w:anchor="_Toc1006" w:history="1">
            <w:r>
              <w:rPr>
                <w:sz w:val="20"/>
              </w:rPr>
              <w:t xml:space="preserve">1.1.2   Limitations of the Current Azure Backup Approach</w:t>
            </w:r>
            <w:r>
              <w:rPr>
                <w:sz w:val="20"/>
              </w:rPr>
              <w:tab/>
            </w:r>
            <w:r>
              <w:rPr>
                <w:sz w:val="20"/>
              </w:rPr>
              <w:fldChar w:fldCharType="begin"/>
            </w:r>
            <w:r>
              <w:rPr>
                <w:sz w:val="20"/>
              </w:rPr>
              <w:instrText xml:space="preserve"> PAGEREF _Toc1006 \h </w:instrText>
            </w:r>
            <w:r>
              <w:rPr>
                <w:sz w:val="20"/>
              </w:rPr>
              <w:fldChar w:fldCharType="separate"/>
            </w:r>
            <w:r>
              <w:rPr>
                <w:sz w:val="20"/>
              </w:rPr>
              <w:t>7</w:t>
            </w:r>
            <w:r>
              <w:rPr>
                <w:sz w:val="20"/>
              </w:rPr>
              <w:fldChar w:fldCharType="end"/>
            </w:r>
          </w:hyperlink>
        </w:p>
        <w:p>
          <w:pPr>
            <w:tabs>
              <w:tab w:val="right" w:leader="dot" w:pos="9350"/>
            </w:tabs>
            <w:spacing w:after="10"/>
            <w:ind w:left="480"/>
          </w:pPr>
          <w:hyperlink w:anchor="_Toc1007" w:history="1">
            <w:r>
              <w:rPr>
                <w:sz w:val="20"/>
              </w:rPr>
              <w:t xml:space="preserve">1.1.3   Data Residency and Resilience Requirements</w:t>
            </w:r>
            <w:r>
              <w:rPr>
                <w:sz w:val="20"/>
              </w:rPr>
              <w:tab/>
            </w:r>
            <w:r>
              <w:rPr>
                <w:sz w:val="20"/>
              </w:rPr>
              <w:fldChar w:fldCharType="begin"/>
            </w:r>
            <w:r>
              <w:rPr>
                <w:sz w:val="20"/>
              </w:rPr>
              <w:instrText xml:space="preserve"> PAGEREF _Toc1007 \h </w:instrText>
            </w:r>
            <w:r>
              <w:rPr>
                <w:sz w:val="20"/>
              </w:rPr>
              <w:fldChar w:fldCharType="separate"/>
            </w:r>
            <w:r>
              <w:rPr>
                <w:sz w:val="20"/>
              </w:rPr>
              <w:t>8</w:t>
            </w:r>
            <w:r>
              <w:rPr>
                <w:sz w:val="20"/>
              </w:rPr>
              <w:fldChar w:fldCharType="end"/>
            </w:r>
          </w:hyperlink>
        </w:p>
        <w:p>
          <w:pPr>
            <w:tabs>
              <w:tab w:val="right" w:leader="dot" w:pos="9350"/>
            </w:tabs>
            <w:spacing w:after="10"/>
            <w:ind w:left="240"/>
          </w:pPr>
          <w:hyperlink w:anchor="_Toc1008" w:history="1">
            <w:r>
              <w:rPr>
                <w:sz w:val="20"/>
              </w:rPr>
              <w:t xml:space="preserve">1.2   Assumptions</w:t>
            </w:r>
            <w:r>
              <w:rPr>
                <w:sz w:val="20"/>
              </w:rPr>
              <w:tab/>
            </w:r>
            <w:r>
              <w:rPr>
                <w:sz w:val="20"/>
              </w:rPr>
              <w:fldChar w:fldCharType="begin"/>
            </w:r>
            <w:r>
              <w:rPr>
                <w:sz w:val="20"/>
              </w:rPr>
              <w:instrText xml:space="preserve"> PAGEREF _Toc1008 \h </w:instrText>
            </w:r>
            <w:r>
              <w:rPr>
                <w:sz w:val="20"/>
              </w:rPr>
              <w:fldChar w:fldCharType="separate"/>
            </w:r>
            <w:r>
              <w:rPr>
                <w:sz w:val="20"/>
              </w:rPr>
              <w:t>8</w:t>
            </w:r>
            <w:r>
              <w:rPr>
                <w:sz w:val="20"/>
              </w:rPr>
              <w:fldChar w:fldCharType="end"/>
            </w:r>
          </w:hyperlink>
        </w:p>
        <w:p>
          <w:pPr>
            <w:tabs>
              <w:tab w:val="right" w:leader="dot" w:pos="9350"/>
            </w:tabs>
            <w:spacing w:after="10"/>
            <w:ind w:left="240"/>
          </w:pPr>
          <w:hyperlink w:anchor="_Toc1009" w:history="1">
            <w:r>
              <w:rPr>
                <w:sz w:val="20"/>
              </w:rPr>
              <w:t xml:space="preserve">1.3   Use Cases In Scope</w:t>
            </w:r>
            <w:r>
              <w:rPr>
                <w:sz w:val="20"/>
              </w:rPr>
              <w:tab/>
            </w:r>
            <w:r>
              <w:rPr>
                <w:sz w:val="20"/>
              </w:rPr>
              <w:fldChar w:fldCharType="begin"/>
            </w:r>
            <w:r>
              <w:rPr>
                <w:sz w:val="20"/>
              </w:rPr>
              <w:instrText xml:space="preserve"> PAGEREF _Toc1009 \h </w:instrText>
            </w:r>
            <w:r>
              <w:rPr>
                <w:sz w:val="20"/>
              </w:rPr>
              <w:fldChar w:fldCharType="separate"/>
            </w:r>
            <w:r>
              <w:rPr>
                <w:sz w:val="20"/>
              </w:rPr>
              <w:t>9</w:t>
            </w:r>
            <w:r>
              <w:rPr>
                <w:sz w:val="20"/>
              </w:rPr>
              <w:fldChar w:fldCharType="end"/>
            </w:r>
          </w:hyperlink>
        </w:p>
        <w:p>
          <w:pPr>
            <w:tabs>
              <w:tab w:val="right" w:leader="dot" w:pos="9350"/>
            </w:tabs>
            <w:spacing w:after="10"/>
            <w:ind w:left="240"/>
          </w:pPr>
          <w:hyperlink w:anchor="_Toc1010" w:history="1">
            <w:r>
              <w:rPr>
                <w:sz w:val="20"/>
              </w:rPr>
              <w:t xml:space="preserve">1.4   Privileged Access as the Access Layer</w:t>
            </w:r>
            <w:r>
              <w:rPr>
                <w:sz w:val="20"/>
              </w:rPr>
              <w:tab/>
            </w:r>
            <w:r>
              <w:rPr>
                <w:sz w:val="20"/>
              </w:rPr>
              <w:fldChar w:fldCharType="begin"/>
            </w:r>
            <w:r>
              <w:rPr>
                <w:sz w:val="20"/>
              </w:rPr>
              <w:instrText xml:space="preserve"> PAGEREF _Toc1010 \h </w:instrText>
            </w:r>
            <w:r>
              <w:rPr>
                <w:sz w:val="20"/>
              </w:rPr>
              <w:fldChar w:fldCharType="separate"/>
            </w:r>
            <w:r>
              <w:rPr>
                <w:sz w:val="20"/>
              </w:rPr>
              <w:t>10</w:t>
            </w:r>
            <w:r>
              <w:rPr>
                <w:sz w:val="20"/>
              </w:rPr>
              <w:fldChar w:fldCharType="end"/>
            </w:r>
          </w:hyperlink>
        </w:p>
        <w:p>
          <w:pPr>
            <w:tabs>
              <w:tab w:val="right" w:leader="dot" w:pos="9350"/>
            </w:tabs>
            <w:spacing w:before="60" w:after="10"/>
            <w:ind w:left="0"/>
          </w:pPr>
          <w:hyperlink w:anchor="_Toc1011" w:history="1">
            <w:r>
              <w:rPr>
                <w:b/>
                <w:sz w:val="20"/>
              </w:rPr>
              <w:t xml:space="preserve">2   Decision Criteria</w:t>
            </w:r>
            <w:r>
              <w:rPr>
                <w:b/>
                <w:sz w:val="20"/>
              </w:rPr>
              <w:tab/>
            </w:r>
            <w:r>
              <w:rPr>
                <w:b/>
                <w:sz w:val="20"/>
              </w:rPr>
              <w:fldChar w:fldCharType="begin"/>
            </w:r>
            <w:r>
              <w:rPr>
                <w:b/>
                <w:sz w:val="20"/>
              </w:rPr>
              <w:instrText xml:space="preserve"> PAGEREF _Toc1011 \h </w:instrText>
            </w:r>
            <w:r>
              <w:rPr>
                <w:b/>
                <w:sz w:val="20"/>
              </w:rPr>
              <w:fldChar w:fldCharType="separate"/>
            </w:r>
            <w:r>
              <w:rPr>
                <w:b/>
                <w:sz w:val="20"/>
              </w:rPr>
              <w:t>11</w:t>
            </w:r>
            <w:r>
              <w:rPr>
                <w:b/>
                <w:sz w:val="20"/>
              </w:rPr>
              <w:fldChar w:fldCharType="end"/>
            </w:r>
          </w:hyperlink>
        </w:p>
        <w:p>
          <w:pPr>
            <w:tabs>
              <w:tab w:val="right" w:leader="dot" w:pos="9350"/>
            </w:tabs>
            <w:spacing w:after="10"/>
            <w:ind w:left="240"/>
          </w:pPr>
          <w:hyperlink w:anchor="_Toc1012" w:history="1">
            <w:r>
              <w:rPr>
                <w:sz w:val="20"/>
              </w:rPr>
              <w:t xml:space="preserve">2.1   Alternatives to the Decision</w:t>
            </w:r>
            <w:r>
              <w:rPr>
                <w:sz w:val="20"/>
              </w:rPr>
              <w:tab/>
            </w:r>
            <w:r>
              <w:rPr>
                <w:sz w:val="20"/>
              </w:rPr>
              <w:fldChar w:fldCharType="begin"/>
            </w:r>
            <w:r>
              <w:rPr>
                <w:sz w:val="20"/>
              </w:rPr>
              <w:instrText xml:space="preserve"> PAGEREF _Toc1012 \h </w:instrText>
            </w:r>
            <w:r>
              <w:rPr>
                <w:sz w:val="20"/>
              </w:rPr>
              <w:fldChar w:fldCharType="separate"/>
            </w:r>
            <w:r>
              <w:rPr>
                <w:sz w:val="20"/>
              </w:rPr>
              <w:t>12</w:t>
            </w:r>
            <w:r>
              <w:rPr>
                <w:sz w:val="20"/>
              </w:rPr>
              <w:fldChar w:fldCharType="end"/>
            </w:r>
          </w:hyperlink>
        </w:p>
        <w:p>
          <w:pPr>
            <w:tabs>
              <w:tab w:val="right" w:leader="dot" w:pos="9350"/>
            </w:tabs>
            <w:spacing w:after="10"/>
            <w:ind w:left="480"/>
          </w:pPr>
          <w:hyperlink w:anchor="_Toc1013" w:history="1">
            <w:r>
              <w:rPr>
                <w:sz w:val="20"/>
              </w:rPr>
              <w:t xml:space="preserve">2.1.1   Option A: Commvault for Multi-Cloud Workloads</w:t>
            </w:r>
            <w:r>
              <w:rPr>
                <w:sz w:val="20"/>
              </w:rPr>
              <w:tab/>
            </w:r>
            <w:r>
              <w:rPr>
                <w:sz w:val="20"/>
              </w:rPr>
              <w:fldChar w:fldCharType="begin"/>
            </w:r>
            <w:r>
              <w:rPr>
                <w:sz w:val="20"/>
              </w:rPr>
              <w:instrText xml:space="preserve"> PAGEREF _Toc1013 \h </w:instrText>
            </w:r>
            <w:r>
              <w:rPr>
                <w:sz w:val="20"/>
              </w:rPr>
              <w:fldChar w:fldCharType="separate"/>
            </w:r>
            <w:r>
              <w:rPr>
                <w:sz w:val="20"/>
              </w:rPr>
              <w:t>12</w:t>
            </w:r>
            <w:r>
              <w:rPr>
                <w:sz w:val="20"/>
              </w:rPr>
              <w:fldChar w:fldCharType="end"/>
            </w:r>
          </w:hyperlink>
        </w:p>
        <w:p>
          <w:pPr>
            <w:tabs>
              <w:tab w:val="right" w:leader="dot" w:pos="9350"/>
            </w:tabs>
            <w:spacing w:after="10"/>
            <w:ind w:left="480"/>
          </w:pPr>
          <w:hyperlink w:anchor="_Toc1014" w:history="1">
            <w:r>
              <w:rPr>
                <w:sz w:val="20"/>
              </w:rPr>
              <w:t xml:space="preserve">2.1.2   Option B: Rubrik for Multi-Cloud Workloads</w:t>
            </w:r>
            <w:r>
              <w:rPr>
                <w:sz w:val="20"/>
              </w:rPr>
              <w:tab/>
            </w:r>
            <w:r>
              <w:rPr>
                <w:sz w:val="20"/>
              </w:rPr>
              <w:fldChar w:fldCharType="begin"/>
            </w:r>
            <w:r>
              <w:rPr>
                <w:sz w:val="20"/>
              </w:rPr>
              <w:instrText xml:space="preserve"> PAGEREF _Toc1014 \h </w:instrText>
            </w:r>
            <w:r>
              <w:rPr>
                <w:sz w:val="20"/>
              </w:rPr>
              <w:fldChar w:fldCharType="separate"/>
            </w:r>
            <w:r>
              <w:rPr>
                <w:sz w:val="20"/>
              </w:rPr>
              <w:t>12</w:t>
            </w:r>
            <w:r>
              <w:rPr>
                <w:sz w:val="20"/>
              </w:rPr>
              <w:fldChar w:fldCharType="end"/>
            </w:r>
          </w:hyperlink>
        </w:p>
        <w:p>
          <w:pPr>
            <w:tabs>
              <w:tab w:val="right" w:leader="dot" w:pos="9350"/>
            </w:tabs>
            <w:spacing w:after="10"/>
            <w:ind w:left="480"/>
          </w:pPr>
          <w:hyperlink w:anchor="_Toc1015" w:history="1">
            <w:r>
              <w:rPr>
                <w:sz w:val="20"/>
              </w:rPr>
              <w:t xml:space="preserve">2.1.3   Option C: Azure Backup for Azure Workloads</w:t>
            </w:r>
            <w:r>
              <w:rPr>
                <w:sz w:val="20"/>
              </w:rPr>
              <w:tab/>
            </w:r>
            <w:r>
              <w:rPr>
                <w:sz w:val="20"/>
              </w:rPr>
              <w:fldChar w:fldCharType="begin"/>
            </w:r>
            <w:r>
              <w:rPr>
                <w:sz w:val="20"/>
              </w:rPr>
              <w:instrText xml:space="preserve"> PAGEREF _Toc1015 \h </w:instrText>
            </w:r>
            <w:r>
              <w:rPr>
                <w:sz w:val="20"/>
              </w:rPr>
              <w:fldChar w:fldCharType="separate"/>
            </w:r>
            <w:r>
              <w:rPr>
                <w:sz w:val="20"/>
              </w:rPr>
              <w:t>13</w:t>
            </w:r>
            <w:r>
              <w:rPr>
                <w:sz w:val="20"/>
              </w:rPr>
              <w:fldChar w:fldCharType="end"/>
            </w:r>
          </w:hyperlink>
        </w:p>
        <w:p>
          <w:pPr>
            <w:tabs>
              <w:tab w:val="right" w:leader="dot" w:pos="9350"/>
            </w:tabs>
            <w:spacing w:after="10"/>
            <w:ind w:left="480"/>
          </w:pPr>
          <w:hyperlink w:anchor="_Toc1016" w:history="1">
            <w:r>
              <w:rPr>
                <w:sz w:val="20"/>
              </w:rPr>
              <w:t xml:space="preserve">2.1.4   Summary Comparison</w:t>
            </w:r>
            <w:r>
              <w:rPr>
                <w:sz w:val="20"/>
              </w:rPr>
              <w:tab/>
            </w:r>
            <w:r>
              <w:rPr>
                <w:sz w:val="20"/>
              </w:rPr>
              <w:fldChar w:fldCharType="begin"/>
            </w:r>
            <w:r>
              <w:rPr>
                <w:sz w:val="20"/>
              </w:rPr>
              <w:instrText xml:space="preserve"> PAGEREF _Toc1016 \h </w:instrText>
            </w:r>
            <w:r>
              <w:rPr>
                <w:sz w:val="20"/>
              </w:rPr>
              <w:fldChar w:fldCharType="separate"/>
            </w:r>
            <w:r>
              <w:rPr>
                <w:sz w:val="20"/>
              </w:rPr>
              <w:t>14</w:t>
            </w:r>
            <w:r>
              <w:rPr>
                <w:sz w:val="20"/>
              </w:rPr>
              <w:fldChar w:fldCharType="end"/>
            </w:r>
          </w:hyperlink>
        </w:p>
        <w:p>
          <w:pPr>
            <w:tabs>
              <w:tab w:val="right" w:leader="dot" w:pos="9350"/>
            </w:tabs>
            <w:spacing w:after="10"/>
            <w:ind w:left="240"/>
          </w:pPr>
          <w:hyperlink w:anchor="_Toc1017" w:history="1">
            <w:r>
              <w:rPr>
                <w:sz w:val="20"/>
              </w:rPr>
              <w:t xml:space="preserve">2.2   Management Comparison: Commvault, Rubrik and Azure Backup</w:t>
            </w:r>
            <w:r>
              <w:rPr>
                <w:sz w:val="20"/>
              </w:rPr>
              <w:tab/>
            </w:r>
            <w:r>
              <w:rPr>
                <w:sz w:val="20"/>
              </w:rPr>
              <w:fldChar w:fldCharType="begin"/>
            </w:r>
            <w:r>
              <w:rPr>
                <w:sz w:val="20"/>
              </w:rPr>
              <w:instrText xml:space="preserve"> PAGEREF _Toc1017 \h </w:instrText>
            </w:r>
            <w:r>
              <w:rPr>
                <w:sz w:val="20"/>
              </w:rPr>
              <w:fldChar w:fldCharType="separate"/>
            </w:r>
            <w:r>
              <w:rPr>
                <w:sz w:val="20"/>
              </w:rPr>
              <w:t>14</w:t>
            </w:r>
            <w:r>
              <w:rPr>
                <w:sz w:val="20"/>
              </w:rPr>
              <w:fldChar w:fldCharType="end"/>
            </w:r>
          </w:hyperlink>
        </w:p>
        <w:p>
          <w:pPr>
            <w:tabs>
              <w:tab w:val="right" w:leader="dot" w:pos="9350"/>
            </w:tabs>
            <w:spacing w:after="10"/>
            <w:ind w:left="480"/>
          </w:pPr>
          <w:hyperlink w:anchor="_Toc1018" w:history="1">
            <w:r>
              <w:rPr>
                <w:sz w:val="20"/>
              </w:rPr>
              <w:t xml:space="preserve">2.2.1   Features and Limitations</w:t>
            </w:r>
            <w:r>
              <w:rPr>
                <w:sz w:val="20"/>
              </w:rPr>
              <w:tab/>
            </w:r>
            <w:r>
              <w:rPr>
                <w:sz w:val="20"/>
              </w:rPr>
              <w:fldChar w:fldCharType="begin"/>
            </w:r>
            <w:r>
              <w:rPr>
                <w:sz w:val="20"/>
              </w:rPr>
              <w:instrText xml:space="preserve"> PAGEREF _Toc1018 \h </w:instrText>
            </w:r>
            <w:r>
              <w:rPr>
                <w:sz w:val="20"/>
              </w:rPr>
              <w:fldChar w:fldCharType="separate"/>
            </w:r>
            <w:r>
              <w:rPr>
                <w:sz w:val="20"/>
              </w:rPr>
              <w:t>14</w:t>
            </w:r>
            <w:r>
              <w:rPr>
                <w:sz w:val="20"/>
              </w:rPr>
              <w:fldChar w:fldCharType="end"/>
            </w:r>
          </w:hyperlink>
        </w:p>
        <w:p>
          <w:pPr>
            <w:tabs>
              <w:tab w:val="right" w:leader="dot" w:pos="9350"/>
            </w:tabs>
            <w:spacing w:after="10"/>
            <w:ind w:left="480"/>
          </w:pPr>
          <w:hyperlink w:anchor="_Toc1019" w:history="1">
            <w:r>
              <w:rPr>
                <w:sz w:val="20"/>
              </w:rPr>
              <w:t xml:space="preserve">2.2.2   Commvault as the Common Management Plane</w:t>
            </w:r>
            <w:r>
              <w:rPr>
                <w:sz w:val="20"/>
              </w:rPr>
              <w:tab/>
            </w:r>
            <w:r>
              <w:rPr>
                <w:sz w:val="20"/>
              </w:rPr>
              <w:fldChar w:fldCharType="begin"/>
            </w:r>
            <w:r>
              <w:rPr>
                <w:sz w:val="20"/>
              </w:rPr>
              <w:instrText xml:space="preserve"> PAGEREF _Toc1019 \h </w:instrText>
            </w:r>
            <w:r>
              <w:rPr>
                <w:sz w:val="20"/>
              </w:rPr>
              <w:fldChar w:fldCharType="separate"/>
            </w:r>
            <w:r>
              <w:rPr>
                <w:sz w:val="20"/>
              </w:rPr>
              <w:t>15</w:t>
            </w:r>
            <w:r>
              <w:rPr>
                <w:sz w:val="20"/>
              </w:rPr>
              <w:fldChar w:fldCharType="end"/>
            </w:r>
          </w:hyperlink>
        </w:p>
        <w:p>
          <w:pPr>
            <w:tabs>
              <w:tab w:val="right" w:leader="dot" w:pos="9350"/>
            </w:tabs>
            <w:spacing w:after="10"/>
            <w:ind w:left="480"/>
          </w:pPr>
          <w:hyperlink w:anchor="_Toc1020" w:history="1">
            <w:r>
              <w:rPr>
                <w:sz w:val="20"/>
              </w:rPr>
              <w:t xml:space="preserve">2.2.3   Day 2 Operations, Side by Side</w:t>
            </w:r>
            <w:r>
              <w:rPr>
                <w:sz w:val="20"/>
              </w:rPr>
              <w:tab/>
            </w:r>
            <w:r>
              <w:rPr>
                <w:sz w:val="20"/>
              </w:rPr>
              <w:fldChar w:fldCharType="begin"/>
            </w:r>
            <w:r>
              <w:rPr>
                <w:sz w:val="20"/>
              </w:rPr>
              <w:instrText xml:space="preserve"> PAGEREF _Toc1020 \h </w:instrText>
            </w:r>
            <w:r>
              <w:rPr>
                <w:sz w:val="20"/>
              </w:rPr>
              <w:fldChar w:fldCharType="separate"/>
            </w:r>
            <w:r>
              <w:rPr>
                <w:sz w:val="20"/>
              </w:rPr>
              <w:t>16</w:t>
            </w:r>
            <w:r>
              <w:rPr>
                <w:sz w:val="20"/>
              </w:rPr>
              <w:fldChar w:fldCharType="end"/>
            </w:r>
          </w:hyperlink>
        </w:p>
        <w:p>
          <w:pPr>
            <w:tabs>
              <w:tab w:val="right" w:leader="dot" w:pos="9350"/>
            </w:tabs>
            <w:spacing w:after="10"/>
            <w:ind w:left="480"/>
          </w:pPr>
          <w:hyperlink w:anchor="_Toc1021" w:history="1">
            <w:r>
              <w:rPr>
                <w:sz w:val="20"/>
              </w:rPr>
              <w:t xml:space="preserve">2.2.4   Data Residency and Backup Copy Locations</w:t>
            </w:r>
            <w:r>
              <w:rPr>
                <w:sz w:val="20"/>
              </w:rPr>
              <w:tab/>
            </w:r>
            <w:r>
              <w:rPr>
                <w:sz w:val="20"/>
              </w:rPr>
              <w:fldChar w:fldCharType="begin"/>
            </w:r>
            <w:r>
              <w:rPr>
                <w:sz w:val="20"/>
              </w:rPr>
              <w:instrText xml:space="preserve"> PAGEREF _Toc1021 \h </w:instrText>
            </w:r>
            <w:r>
              <w:rPr>
                <w:sz w:val="20"/>
              </w:rPr>
              <w:fldChar w:fldCharType="separate"/>
            </w:r>
            <w:r>
              <w:rPr>
                <w:sz w:val="20"/>
              </w:rPr>
              <w:t>16</w:t>
            </w:r>
            <w:r>
              <w:rPr>
                <w:sz w:val="20"/>
              </w:rPr>
              <w:fldChar w:fldCharType="end"/>
            </w:r>
          </w:hyperlink>
        </w:p>
        <w:p>
          <w:pPr>
            <w:tabs>
              <w:tab w:val="right" w:leader="dot" w:pos="9350"/>
            </w:tabs>
            <w:spacing w:after="10"/>
            <w:ind w:left="480"/>
          </w:pPr>
          <w:hyperlink w:anchor="_Toc1022" w:history="1">
            <w:r>
              <w:rPr>
                <w:sz w:val="20"/>
              </w:rPr>
              <w:t xml:space="preserve">2.2.5   Recovery Capabilities and Scenarios</w:t>
            </w:r>
            <w:r>
              <w:rPr>
                <w:sz w:val="20"/>
              </w:rPr>
              <w:tab/>
            </w:r>
            <w:r>
              <w:rPr>
                <w:sz w:val="20"/>
              </w:rPr>
              <w:fldChar w:fldCharType="begin"/>
            </w:r>
            <w:r>
              <w:rPr>
                <w:sz w:val="20"/>
              </w:rPr>
              <w:instrText xml:space="preserve"> PAGEREF _Toc1022 \h </w:instrText>
            </w:r>
            <w:r>
              <w:rPr>
                <w:sz w:val="20"/>
              </w:rPr>
              <w:fldChar w:fldCharType="separate"/>
            </w:r>
            <w:r>
              <w:rPr>
                <w:sz w:val="20"/>
              </w:rPr>
              <w:t>17</w:t>
            </w:r>
            <w:r>
              <w:rPr>
                <w:sz w:val="20"/>
              </w:rPr>
              <w:fldChar w:fldCharType="end"/>
            </w:r>
          </w:hyperlink>
        </w:p>
        <w:p>
          <w:pPr>
            <w:tabs>
              <w:tab w:val="right" w:leader="dot" w:pos="9350"/>
            </w:tabs>
            <w:spacing w:after="10"/>
            <w:ind w:left="480"/>
          </w:pPr>
          <w:hyperlink w:anchor="_Toc1023" w:history="1">
            <w:r>
              <w:rPr>
                <w:sz w:val="20"/>
              </w:rPr>
              <w:t xml:space="preserve">2.2.6   Azure DevOps and GitHub (Hosted Services): Backup Options</w:t>
            </w:r>
            <w:r>
              <w:rPr>
                <w:sz w:val="20"/>
              </w:rPr>
              <w:tab/>
            </w:r>
            <w:r>
              <w:rPr>
                <w:sz w:val="20"/>
              </w:rPr>
              <w:fldChar w:fldCharType="begin"/>
            </w:r>
            <w:r>
              <w:rPr>
                <w:sz w:val="20"/>
              </w:rPr>
              <w:instrText xml:space="preserve"> PAGEREF _Toc1023 \h </w:instrText>
            </w:r>
            <w:r>
              <w:rPr>
                <w:sz w:val="20"/>
              </w:rPr>
              <w:fldChar w:fldCharType="separate"/>
            </w:r>
            <w:r>
              <w:rPr>
                <w:sz w:val="20"/>
              </w:rPr>
              <w:t>17</w:t>
            </w:r>
            <w:r>
              <w:rPr>
                <w:sz w:val="20"/>
              </w:rPr>
              <w:fldChar w:fldCharType="end"/>
            </w:r>
          </w:hyperlink>
        </w:p>
        <w:p>
          <w:pPr>
            <w:tabs>
              <w:tab w:val="right" w:leader="dot" w:pos="9350"/>
            </w:tabs>
            <w:spacing w:after="10"/>
            <w:ind w:left="240"/>
          </w:pPr>
          <w:hyperlink w:anchor="_Toc1024" w:history="1">
            <w:r>
              <w:rPr>
                <w:sz w:val="20"/>
              </w:rPr>
              <w:t xml:space="preserve">2.3   Implementation Effort</w:t>
            </w:r>
            <w:r>
              <w:rPr>
                <w:sz w:val="20"/>
              </w:rPr>
              <w:tab/>
            </w:r>
            <w:r>
              <w:rPr>
                <w:sz w:val="20"/>
              </w:rPr>
              <w:fldChar w:fldCharType="begin"/>
            </w:r>
            <w:r>
              <w:rPr>
                <w:sz w:val="20"/>
              </w:rPr>
              <w:instrText xml:space="preserve"> PAGEREF _Toc1024 \h </w:instrText>
            </w:r>
            <w:r>
              <w:rPr>
                <w:sz w:val="20"/>
              </w:rPr>
              <w:fldChar w:fldCharType="separate"/>
            </w:r>
            <w:r>
              <w:rPr>
                <w:sz w:val="20"/>
              </w:rPr>
              <w:t>18</w:t>
            </w:r>
            <w:r>
              <w:rPr>
                <w:sz w:val="20"/>
              </w:rPr>
              <w:fldChar w:fldCharType="end"/>
            </w:r>
          </w:hyperlink>
        </w:p>
        <w:p>
          <w:pPr>
            <w:tabs>
              <w:tab w:val="right" w:leader="dot" w:pos="9350"/>
            </w:tabs>
            <w:spacing w:after="10"/>
            <w:ind w:left="480"/>
          </w:pPr>
          <w:hyperlink w:anchor="_Toc1025" w:history="1">
            <w:r>
              <w:rPr>
                <w:sz w:val="20"/>
              </w:rPr>
              <w:t xml:space="preserve">2.3.1   Annual Run Cost</w:t>
            </w:r>
            <w:r>
              <w:rPr>
                <w:sz w:val="20"/>
              </w:rPr>
              <w:tab/>
            </w:r>
            <w:r>
              <w:rPr>
                <w:sz w:val="20"/>
              </w:rPr>
              <w:fldChar w:fldCharType="begin"/>
            </w:r>
            <w:r>
              <w:rPr>
                <w:sz w:val="20"/>
              </w:rPr>
              <w:instrText xml:space="preserve"> PAGEREF _Toc1025 \h </w:instrText>
            </w:r>
            <w:r>
              <w:rPr>
                <w:sz w:val="20"/>
              </w:rPr>
              <w:fldChar w:fldCharType="separate"/>
            </w:r>
            <w:r>
              <w:rPr>
                <w:sz w:val="20"/>
              </w:rPr>
              <w:t>19</w:t>
            </w:r>
            <w:r>
              <w:rPr>
                <w:sz w:val="20"/>
              </w:rPr>
              <w:fldChar w:fldCharType="end"/>
            </w:r>
          </w:hyperlink>
        </w:p>
        <w:p>
          <w:pPr>
            <w:tabs>
              <w:tab w:val="right" w:leader="dot" w:pos="9350"/>
            </w:tabs>
            <w:spacing w:after="10"/>
            <w:ind w:left="240"/>
          </w:pPr>
          <w:hyperlink w:anchor="_Toc1026" w:history="1">
            <w:r>
              <w:rPr>
                <w:sz w:val="20"/>
              </w:rPr>
              <w:t xml:space="preserve">2.4   Commvault and Rubrik Access Patterns</w:t>
            </w:r>
            <w:r>
              <w:rPr>
                <w:sz w:val="20"/>
              </w:rPr>
              <w:tab/>
            </w:r>
            <w:r>
              <w:rPr>
                <w:sz w:val="20"/>
              </w:rPr>
              <w:fldChar w:fldCharType="begin"/>
            </w:r>
            <w:r>
              <w:rPr>
                <w:sz w:val="20"/>
              </w:rPr>
              <w:instrText xml:space="preserve"> PAGEREF _Toc1026 \h </w:instrText>
            </w:r>
            <w:r>
              <w:rPr>
                <w:sz w:val="20"/>
              </w:rPr>
              <w:fldChar w:fldCharType="separate"/>
            </w:r>
            <w:r>
              <w:rPr>
                <w:sz w:val="20"/>
              </w:rPr>
              <w:t>19</w:t>
            </w:r>
            <w:r>
              <w:rPr>
                <w:sz w:val="20"/>
              </w:rPr>
              <w:fldChar w:fldCharType="end"/>
            </w:r>
          </w:hyperlink>
        </w:p>
        <w:p>
          <w:pPr>
            <w:tabs>
              <w:tab w:val="right" w:leader="dot" w:pos="9350"/>
            </w:tabs>
            <w:spacing w:after="10"/>
            <w:ind w:left="480"/>
          </w:pPr>
          <w:hyperlink w:anchor="_Toc1027" w:history="1">
            <w:r>
              <w:rPr>
                <w:sz w:val="20"/>
              </w:rPr>
              <w:t xml:space="preserve">2.4.1   Common Pattern Across All Workspaces</w:t>
            </w:r>
            <w:r>
              <w:rPr>
                <w:sz w:val="20"/>
              </w:rPr>
              <w:tab/>
            </w:r>
            <w:r>
              <w:rPr>
                <w:sz w:val="20"/>
              </w:rPr>
              <w:fldChar w:fldCharType="begin"/>
            </w:r>
            <w:r>
              <w:rPr>
                <w:sz w:val="20"/>
              </w:rPr>
              <w:instrText xml:space="preserve"> PAGEREF _Toc1027 \h </w:instrText>
            </w:r>
            <w:r>
              <w:rPr>
                <w:sz w:val="20"/>
              </w:rPr>
              <w:fldChar w:fldCharType="separate"/>
            </w:r>
            <w:r>
              <w:rPr>
                <w:sz w:val="20"/>
              </w:rPr>
              <w:t>20</w:t>
            </w:r>
            <w:r>
              <w:rPr>
                <w:sz w:val="20"/>
              </w:rPr>
              <w:fldChar w:fldCharType="end"/>
            </w:r>
          </w:hyperlink>
        </w:p>
        <w:p>
          <w:pPr>
            <w:tabs>
              <w:tab w:val="right" w:leader="dot" w:pos="9350"/>
            </w:tabs>
            <w:spacing w:after="10"/>
            <w:ind w:left="240"/>
          </w:pPr>
          <w:hyperlink w:anchor="_Toc1028" w:history="1">
            <w:r>
              <w:rPr>
                <w:sz w:val="20"/>
              </w:rPr>
              <w:t xml:space="preserve">2.5   Cost Comparison (Rough Order of Magnitude)</w:t>
            </w:r>
            <w:r>
              <w:rPr>
                <w:sz w:val="20"/>
              </w:rPr>
              <w:tab/>
            </w:r>
            <w:r>
              <w:rPr>
                <w:sz w:val="20"/>
              </w:rPr>
              <w:fldChar w:fldCharType="begin"/>
            </w:r>
            <w:r>
              <w:rPr>
                <w:sz w:val="20"/>
              </w:rPr>
              <w:instrText xml:space="preserve"> PAGEREF _Toc1028 \h </w:instrText>
            </w:r>
            <w:r>
              <w:rPr>
                <w:sz w:val="20"/>
              </w:rPr>
              <w:fldChar w:fldCharType="separate"/>
            </w:r>
            <w:r>
              <w:rPr>
                <w:sz w:val="20"/>
              </w:rPr>
              <w:t>20</w:t>
            </w:r>
            <w:r>
              <w:rPr>
                <w:sz w:val="20"/>
              </w:rPr>
              <w:fldChar w:fldCharType="end"/>
            </w:r>
          </w:hyperlink>
        </w:p>
        <w:p>
          <w:pPr>
            <w:tabs>
              <w:tab w:val="right" w:leader="dot" w:pos="9350"/>
            </w:tabs>
            <w:spacing w:after="10"/>
            <w:ind w:left="480"/>
          </w:pPr>
          <w:hyperlink w:anchor="_Toc1029" w:history="1">
            <w:r>
              <w:rPr>
                <w:sz w:val="20"/>
              </w:rPr>
              <w:t xml:space="preserve">2.5.1   Use Case: Azure-Only Scope vs. Multi-Cloud Scope</w:t>
            </w:r>
            <w:r>
              <w:rPr>
                <w:sz w:val="20"/>
              </w:rPr>
              <w:tab/>
            </w:r>
            <w:r>
              <w:rPr>
                <w:sz w:val="20"/>
              </w:rPr>
              <w:fldChar w:fldCharType="begin"/>
            </w:r>
            <w:r>
              <w:rPr>
                <w:sz w:val="20"/>
              </w:rPr>
              <w:instrText xml:space="preserve"> PAGEREF _Toc1029 \h </w:instrText>
            </w:r>
            <w:r>
              <w:rPr>
                <w:sz w:val="20"/>
              </w:rPr>
              <w:fldChar w:fldCharType="separate"/>
            </w:r>
            <w:r>
              <w:rPr>
                <w:sz w:val="20"/>
              </w:rPr>
              <w:t>23</w:t>
            </w:r>
            <w:r>
              <w:rPr>
                <w:sz w:val="20"/>
              </w:rPr>
              <w:fldChar w:fldCharType="end"/>
            </w:r>
          </w:hyperlink>
        </w:p>
        <w:p>
          <w:pPr>
            <w:tabs>
              <w:tab w:val="right" w:leader="dot" w:pos="9350"/>
            </w:tabs>
            <w:spacing w:after="10"/>
            <w:ind w:left="240"/>
          </w:pPr>
          <w:hyperlink w:anchor="_Toc1030" w:history="1">
            <w:r>
              <w:rPr>
                <w:sz w:val="20"/>
              </w:rPr>
              <w:t xml:space="preserve">2.6   Decision Rationale</w:t>
            </w:r>
            <w:r>
              <w:rPr>
                <w:sz w:val="20"/>
              </w:rPr>
              <w:tab/>
            </w:r>
            <w:r>
              <w:rPr>
                <w:sz w:val="20"/>
              </w:rPr>
              <w:fldChar w:fldCharType="begin"/>
            </w:r>
            <w:r>
              <w:rPr>
                <w:sz w:val="20"/>
              </w:rPr>
              <w:instrText xml:space="preserve"> PAGEREF _Toc1030 \h </w:instrText>
            </w:r>
            <w:r>
              <w:rPr>
                <w:sz w:val="20"/>
              </w:rPr>
              <w:fldChar w:fldCharType="separate"/>
            </w:r>
            <w:r>
              <w:rPr>
                <w:sz w:val="20"/>
              </w:rPr>
              <w:t>23</w:t>
            </w:r>
            <w:r>
              <w:rPr>
                <w:sz w:val="20"/>
              </w:rPr>
              <w:fldChar w:fldCharType="end"/>
            </w:r>
          </w:hyperlink>
        </w:p>
        <w:p>
          <w:pPr>
            <w:tabs>
              <w:tab w:val="right" w:leader="dot" w:pos="9350"/>
            </w:tabs>
            <w:spacing w:after="10"/>
            <w:ind w:left="480"/>
          </w:pPr>
          <w:hyperlink w:anchor="_Toc1031" w:history="1">
            <w:r>
              <w:rPr>
                <w:sz w:val="20"/>
              </w:rPr>
              <w:t xml:space="preserve">2.6.1   Cost</w:t>
            </w:r>
            <w:r>
              <w:rPr>
                <w:sz w:val="20"/>
              </w:rPr>
              <w:tab/>
            </w:r>
            <w:r>
              <w:rPr>
                <w:sz w:val="20"/>
              </w:rPr>
              <w:fldChar w:fldCharType="begin"/>
            </w:r>
            <w:r>
              <w:rPr>
                <w:sz w:val="20"/>
              </w:rPr>
              <w:instrText xml:space="preserve"> PAGEREF _Toc1031 \h </w:instrText>
            </w:r>
            <w:r>
              <w:rPr>
                <w:sz w:val="20"/>
              </w:rPr>
              <w:fldChar w:fldCharType="separate"/>
            </w:r>
            <w:r>
              <w:rPr>
                <w:sz w:val="20"/>
              </w:rPr>
              <w:t>23</w:t>
            </w:r>
            <w:r>
              <w:rPr>
                <w:sz w:val="20"/>
              </w:rPr>
              <w:fldChar w:fldCharType="end"/>
            </w:r>
          </w:hyperlink>
        </w:p>
        <w:p>
          <w:pPr>
            <w:tabs>
              <w:tab w:val="right" w:leader="dot" w:pos="9350"/>
            </w:tabs>
            <w:spacing w:after="10"/>
            <w:ind w:left="480"/>
          </w:pPr>
          <w:hyperlink w:anchor="_Toc1032" w:history="1">
            <w:r>
              <w:rPr>
                <w:sz w:val="20"/>
              </w:rPr>
              <w:t xml:space="preserve">2.6.2   Functional Fit</w:t>
            </w:r>
            <w:r>
              <w:rPr>
                <w:sz w:val="20"/>
              </w:rPr>
              <w:tab/>
            </w:r>
            <w:r>
              <w:rPr>
                <w:sz w:val="20"/>
              </w:rPr>
              <w:fldChar w:fldCharType="begin"/>
            </w:r>
            <w:r>
              <w:rPr>
                <w:sz w:val="20"/>
              </w:rPr>
              <w:instrText xml:space="preserve"> PAGEREF _Toc1032 \h </w:instrText>
            </w:r>
            <w:r>
              <w:rPr>
                <w:sz w:val="20"/>
              </w:rPr>
              <w:fldChar w:fldCharType="separate"/>
            </w:r>
            <w:r>
              <w:rPr>
                <w:sz w:val="20"/>
              </w:rPr>
              <w:t>23</w:t>
            </w:r>
            <w:r>
              <w:rPr>
                <w:sz w:val="20"/>
              </w:rPr>
              <w:fldChar w:fldCharType="end"/>
            </w:r>
          </w:hyperlink>
        </w:p>
        <w:p>
          <w:pPr>
            <w:tabs>
              <w:tab w:val="right" w:leader="dot" w:pos="9350"/>
            </w:tabs>
            <w:spacing w:after="10"/>
            <w:ind w:left="480"/>
          </w:pPr>
          <w:hyperlink w:anchor="_Toc1033" w:history="1">
            <w:r>
              <w:rPr>
                <w:sz w:val="20"/>
              </w:rPr>
              <w:t xml:space="preserve">2.6.3   Management Complexity</w:t>
            </w:r>
            <w:r>
              <w:rPr>
                <w:sz w:val="20"/>
              </w:rPr>
              <w:tab/>
            </w:r>
            <w:r>
              <w:rPr>
                <w:sz w:val="20"/>
              </w:rPr>
              <w:fldChar w:fldCharType="begin"/>
            </w:r>
            <w:r>
              <w:rPr>
                <w:sz w:val="20"/>
              </w:rPr>
              <w:instrText xml:space="preserve"> PAGEREF _Toc1033 \h </w:instrText>
            </w:r>
            <w:r>
              <w:rPr>
                <w:sz w:val="20"/>
              </w:rPr>
              <w:fldChar w:fldCharType="separate"/>
            </w:r>
            <w:r>
              <w:rPr>
                <w:sz w:val="20"/>
              </w:rPr>
              <w:t>23</w:t>
            </w:r>
            <w:r>
              <w:rPr>
                <w:sz w:val="20"/>
              </w:rPr>
              <w:fldChar w:fldCharType="end"/>
            </w:r>
          </w:hyperlink>
        </w:p>
        <w:p>
          <w:pPr>
            <w:tabs>
              <w:tab w:val="right" w:leader="dot" w:pos="9350"/>
            </w:tabs>
            <w:spacing w:after="10"/>
            <w:ind w:left="480"/>
          </w:pPr>
          <w:hyperlink w:anchor="_Toc1034" w:history="1">
            <w:r>
              <w:rPr>
                <w:sz w:val="20"/>
              </w:rPr>
              <w:t xml:space="preserve">2.6.4   Future Equivalent Capability</w:t>
            </w:r>
            <w:r>
              <w:rPr>
                <w:sz w:val="20"/>
              </w:rPr>
              <w:tab/>
            </w:r>
            <w:r>
              <w:rPr>
                <w:sz w:val="20"/>
              </w:rPr>
              <w:fldChar w:fldCharType="begin"/>
            </w:r>
            <w:r>
              <w:rPr>
                <w:sz w:val="20"/>
              </w:rPr>
              <w:instrText xml:space="preserve"> PAGEREF _Toc1034 \h </w:instrText>
            </w:r>
            <w:r>
              <w:rPr>
                <w:sz w:val="20"/>
              </w:rPr>
              <w:fldChar w:fldCharType="separate"/>
            </w:r>
            <w:r>
              <w:rPr>
                <w:sz w:val="20"/>
              </w:rPr>
              <w:t>23</w:t>
            </w:r>
            <w:r>
              <w:rPr>
                <w:sz w:val="20"/>
              </w:rPr>
              <w:fldChar w:fldCharType="end"/>
            </w:r>
          </w:hyperlink>
        </w:p>
        <w:p>
          <w:pPr>
            <w:tabs>
              <w:tab w:val="right" w:leader="dot" w:pos="9350"/>
            </w:tabs>
            <w:spacing w:after="10"/>
            <w:ind w:left="480"/>
          </w:pPr>
          <w:hyperlink w:anchor="_Toc1035" w:history="1">
            <w:r>
              <w:rPr>
                <w:sz w:val="20"/>
              </w:rPr>
              <w:t xml:space="preserve">2.6.5   Security</w:t>
            </w:r>
            <w:r>
              <w:rPr>
                <w:sz w:val="20"/>
              </w:rPr>
              <w:tab/>
            </w:r>
            <w:r>
              <w:rPr>
                <w:sz w:val="20"/>
              </w:rPr>
              <w:fldChar w:fldCharType="begin"/>
            </w:r>
            <w:r>
              <w:rPr>
                <w:sz w:val="20"/>
              </w:rPr>
              <w:instrText xml:space="preserve"> PAGEREF _Toc1035 \h </w:instrText>
            </w:r>
            <w:r>
              <w:rPr>
                <w:sz w:val="20"/>
              </w:rPr>
              <w:fldChar w:fldCharType="separate"/>
            </w:r>
            <w:r>
              <w:rPr>
                <w:sz w:val="20"/>
              </w:rPr>
              <w:t>24</w:t>
            </w:r>
            <w:r>
              <w:rPr>
                <w:sz w:val="20"/>
              </w:rPr>
              <w:fldChar w:fldCharType="end"/>
            </w:r>
          </w:hyperlink>
        </w:p>
        <w:p>
          <w:pPr>
            <w:tabs>
              <w:tab w:val="right" w:leader="dot" w:pos="9350"/>
            </w:tabs>
            <w:spacing w:after="10"/>
            <w:ind w:left="480"/>
          </w:pPr>
          <w:hyperlink w:anchor="_Toc1036" w:history="1">
            <w:r>
              <w:rPr>
                <w:sz w:val="20"/>
              </w:rPr>
              <w:t xml:space="preserve">2.6.6   Comparison Heat Map</w:t>
            </w:r>
            <w:r>
              <w:rPr>
                <w:sz w:val="20"/>
              </w:rPr>
              <w:tab/>
            </w:r>
            <w:r>
              <w:rPr>
                <w:sz w:val="20"/>
              </w:rPr>
              <w:fldChar w:fldCharType="begin"/>
            </w:r>
            <w:r>
              <w:rPr>
                <w:sz w:val="20"/>
              </w:rPr>
              <w:instrText xml:space="preserve"> PAGEREF _Toc1036 \h </w:instrText>
            </w:r>
            <w:r>
              <w:rPr>
                <w:sz w:val="20"/>
              </w:rPr>
              <w:fldChar w:fldCharType="separate"/>
            </w:r>
            <w:r>
              <w:rPr>
                <w:sz w:val="20"/>
              </w:rPr>
              <w:t>25</w:t>
            </w:r>
            <w:r>
              <w:rPr>
                <w:sz w:val="20"/>
              </w:rPr>
              <w:fldChar w:fldCharType="end"/>
            </w:r>
          </w:hyperlink>
        </w:p>
        <w:p>
          <w:pPr>
            <w:tabs>
              <w:tab w:val="right" w:leader="dot" w:pos="9350"/>
            </w:tabs>
            <w:spacing w:before="60" w:after="10"/>
            <w:ind w:left="0"/>
          </w:pPr>
          <w:hyperlink w:anchor="_Toc1037" w:history="1">
            <w:r>
              <w:rPr>
                <w:b/>
                <w:sz w:val="20"/>
              </w:rPr>
              <w:t xml:space="preserve">3   Final Decision Outcome</w:t>
            </w:r>
            <w:r>
              <w:rPr>
                <w:b/>
                <w:sz w:val="20"/>
              </w:rPr>
              <w:tab/>
            </w:r>
            <w:r>
              <w:rPr>
                <w:b/>
                <w:sz w:val="20"/>
              </w:rPr>
              <w:fldChar w:fldCharType="begin"/>
            </w:r>
            <w:r>
              <w:rPr>
                <w:b/>
                <w:sz w:val="20"/>
              </w:rPr>
              <w:instrText xml:space="preserve"> PAGEREF _Toc1037 \h </w:instrText>
            </w:r>
            <w:r>
              <w:rPr>
                <w:b/>
                <w:sz w:val="20"/>
              </w:rPr>
              <w:fldChar w:fldCharType="separate"/>
            </w:r>
            <w:r>
              <w:rPr>
                <w:b/>
                <w:sz w:val="20"/>
              </w:rPr>
              <w:t>26</w:t>
            </w:r>
            <w:r>
              <w:rPr>
                <w:b/>
                <w:sz w:val="20"/>
              </w:rPr>
              <w:fldChar w:fldCharType="end"/>
            </w:r>
          </w:hyperlink>
        </w:p>
        <w:p>
          <w:pPr>
            <w:tabs>
              <w:tab w:val="right" w:leader="dot" w:pos="9350"/>
            </w:tabs>
            <w:spacing w:after="10"/>
            <w:ind w:left="240"/>
          </w:pPr>
          <w:hyperlink w:anchor="_Toc1038" w:history="1">
            <w:r>
              <w:rPr>
                <w:sz w:val="20"/>
              </w:rPr>
              <w:t xml:space="preserve">3.1   Decision Statement</w:t>
            </w:r>
            <w:r>
              <w:rPr>
                <w:sz w:val="20"/>
              </w:rPr>
              <w:tab/>
            </w:r>
            <w:r>
              <w:rPr>
                <w:sz w:val="20"/>
              </w:rPr>
              <w:fldChar w:fldCharType="begin"/>
            </w:r>
            <w:r>
              <w:rPr>
                <w:sz w:val="20"/>
              </w:rPr>
              <w:instrText xml:space="preserve"> PAGEREF _Toc1038 \h </w:instrText>
            </w:r>
            <w:r>
              <w:rPr>
                <w:sz w:val="20"/>
              </w:rPr>
              <w:fldChar w:fldCharType="separate"/>
            </w:r>
            <w:r>
              <w:rPr>
                <w:sz w:val="20"/>
              </w:rPr>
              <w:t>27</w:t>
            </w:r>
            <w:r>
              <w:rPr>
                <w:sz w:val="20"/>
              </w:rPr>
              <w:fldChar w:fldCharType="end"/>
            </w:r>
          </w:hyperlink>
        </w:p>
        <w:p>
          <w:pPr>
            <w:tabs>
              <w:tab w:val="right" w:leader="dot" w:pos="9350"/>
            </w:tabs>
            <w:spacing w:after="10"/>
            <w:ind w:left="240"/>
          </w:pPr>
          <w:hyperlink w:anchor="_Toc1039" w:history="1">
            <w:r>
              <w:rPr>
                <w:sz w:val="20"/>
              </w:rPr>
              <w:t xml:space="preserve">3.2   Conditions of Approval</w:t>
            </w:r>
            <w:r>
              <w:rPr>
                <w:sz w:val="20"/>
              </w:rPr>
              <w:tab/>
            </w:r>
            <w:r>
              <w:rPr>
                <w:sz w:val="20"/>
              </w:rPr>
              <w:fldChar w:fldCharType="begin"/>
            </w:r>
            <w:r>
              <w:rPr>
                <w:sz w:val="20"/>
              </w:rPr>
              <w:instrText xml:space="preserve"> PAGEREF _Toc1039 \h </w:instrText>
            </w:r>
            <w:r>
              <w:rPr>
                <w:sz w:val="20"/>
              </w:rPr>
              <w:fldChar w:fldCharType="separate"/>
            </w:r>
            <w:r>
              <w:rPr>
                <w:sz w:val="20"/>
              </w:rPr>
              <w:t>27</w:t>
            </w:r>
            <w:r>
              <w:rPr>
                <w:sz w:val="20"/>
              </w:rPr>
              <w:fldChar w:fldCharType="end"/>
            </w:r>
          </w:hyperlink>
        </w:p>
        <w:p>
          <w:pPr>
            <w:tabs>
              <w:tab w:val="right" w:leader="dot" w:pos="9350"/>
            </w:tabs>
            <w:spacing w:after="10"/>
            <w:ind w:left="240"/>
          </w:pPr>
          <w:hyperlink w:anchor="_Toc1040" w:history="1">
            <w:r>
              <w:rPr>
                <w:sz w:val="20"/>
              </w:rPr>
              <w:t xml:space="preserve">3.3   Key Risks and Mitigations</w:t>
            </w:r>
            <w:r>
              <w:rPr>
                <w:sz w:val="20"/>
              </w:rPr>
              <w:tab/>
            </w:r>
            <w:r>
              <w:rPr>
                <w:sz w:val="20"/>
              </w:rPr>
              <w:fldChar w:fldCharType="begin"/>
            </w:r>
            <w:r>
              <w:rPr>
                <w:sz w:val="20"/>
              </w:rPr>
              <w:instrText xml:space="preserve"> PAGEREF _Toc1040 \h </w:instrText>
            </w:r>
            <w:r>
              <w:rPr>
                <w:sz w:val="20"/>
              </w:rPr>
              <w:fldChar w:fldCharType="separate"/>
            </w:r>
            <w:r>
              <w:rPr>
                <w:sz w:val="20"/>
              </w:rPr>
              <w:t>27</w:t>
            </w:r>
            <w:r>
              <w:rPr>
                <w:sz w:val="20"/>
              </w:rPr>
              <w:fldChar w:fldCharType="end"/>
            </w:r>
          </w:hyperlink>
        </w:p>
        <w:p>
          <w:pPr>
            <w:tabs>
              <w:tab w:val="right" w:leader="dot" w:pos="9350"/>
            </w:tabs>
            <w:spacing w:after="10"/>
            <w:ind w:left="240"/>
          </w:pPr>
          <w:hyperlink w:anchor="_Toc1041" w:history="1">
            <w:r>
              <w:rPr>
                <w:sz w:val="20"/>
              </w:rPr>
              <w:t xml:space="preserve">3.4   Next Steps and Roadmap</w:t>
            </w:r>
            <w:r>
              <w:rPr>
                <w:sz w:val="20"/>
              </w:rPr>
              <w:tab/>
            </w:r>
            <w:r>
              <w:rPr>
                <w:sz w:val="20"/>
              </w:rPr>
              <w:fldChar w:fldCharType="begin"/>
            </w:r>
            <w:r>
              <w:rPr>
                <w:sz w:val="20"/>
              </w:rPr>
              <w:instrText xml:space="preserve"> PAGEREF _Toc1041 \h </w:instrText>
            </w:r>
            <w:r>
              <w:rPr>
                <w:sz w:val="20"/>
              </w:rPr>
              <w:fldChar w:fldCharType="separate"/>
            </w:r>
            <w:r>
              <w:rPr>
                <w:sz w:val="20"/>
              </w:rPr>
              <w:t>28</w:t>
            </w:r>
            <w:r>
              <w:rPr>
                <w:sz w:val="20"/>
              </w:rPr>
              <w:fldChar w:fldCharType="end"/>
            </w:r>
          </w:hyperlink>
        </w:p>
        <w:p>
          <w:pPr>
            <w:tabs>
              <w:tab w:val="right" w:leader="dot" w:pos="9350"/>
            </w:tabs>
            <w:spacing w:before="60" w:after="10"/>
            <w:ind w:left="0"/>
          </w:pPr>
          <w:hyperlink w:anchor="_Toc1042" w:history="1">
            <w:r>
              <w:rPr>
                <w:b/>
                <w:sz w:val="20"/>
              </w:rPr>
              <w:t xml:space="preserve">Appendix A: Glossary</w:t>
            </w:r>
            <w:r>
              <w:rPr>
                <w:b/>
                <w:sz w:val="20"/>
              </w:rPr>
              <w:tab/>
            </w:r>
            <w:r>
              <w:rPr>
                <w:b/>
                <w:sz w:val="20"/>
              </w:rPr>
              <w:fldChar w:fldCharType="begin"/>
            </w:r>
            <w:r>
              <w:rPr>
                <w:b/>
                <w:sz w:val="20"/>
              </w:rPr>
              <w:instrText xml:space="preserve"> PAGEREF _Toc1042 \h </w:instrText>
            </w:r>
            <w:r>
              <w:rPr>
                <w:b/>
                <w:sz w:val="20"/>
              </w:rPr>
              <w:fldChar w:fldCharType="separate"/>
            </w:r>
            <w:r>
              <w:rPr>
                <w:b/>
                <w:sz w:val="20"/>
              </w:rPr>
              <w:t>29</w:t>
            </w:r>
            <w:r>
              <w:rPr>
                <w:b/>
                <w:sz w:val="20"/>
              </w:rPr>
              <w:fldChar w:fldCharType="end"/>
            </w:r>
          </w:hyperlink>
        </w:p>
        <w:p>
          <w:pPr>
            <w:tabs>
              <w:tab w:val="right" w:leader="dot" w:pos="9350"/>
            </w:tabs>
            <w:spacing w:before="60" w:after="10"/>
            <w:ind w:left="0"/>
          </w:pPr>
          <w:hyperlink w:anchor="_Toc1043" w:history="1">
            <w:r>
              <w:rPr>
                <w:b/>
                <w:sz w:val="20"/>
              </w:rPr>
              <w:t xml:space="preserve">Appendix B: Requirements Traceability</w:t>
            </w:r>
            <w:r>
              <w:rPr>
                <w:b/>
                <w:sz w:val="20"/>
              </w:rPr>
              <w:tab/>
            </w:r>
            <w:r>
              <w:rPr>
                <w:b/>
                <w:sz w:val="20"/>
              </w:rPr>
              <w:fldChar w:fldCharType="begin"/>
            </w:r>
            <w:r>
              <w:rPr>
                <w:b/>
                <w:sz w:val="20"/>
              </w:rPr>
              <w:instrText xml:space="preserve"> PAGEREF _Toc1043 \h </w:instrText>
            </w:r>
            <w:r>
              <w:rPr>
                <w:b/>
                <w:sz w:val="20"/>
              </w:rPr>
              <w:fldChar w:fldCharType="separate"/>
            </w:r>
            <w:r>
              <w:rPr>
                <w:b/>
                <w:sz w:val="20"/>
              </w:rPr>
              <w:t>30</w:t>
            </w:r>
            <w:r>
              <w:rPr>
                <w:b/>
                <w:sz w:val="20"/>
              </w:rPr>
              <w:fldChar w:fldCharType="end"/>
            </w:r>
          </w:hyperlink>
        </w:p>
        <w:p>
          <w:pPr>
            <w:tabs>
              <w:tab w:val="right" w:leader="dot" w:pos="9350"/>
            </w:tabs>
            <w:spacing w:before="60" w:after="10"/>
            <w:ind w:left="0"/>
          </w:pPr>
          <w:hyperlink w:anchor="_Toc1044" w:history="1">
            <w:r>
              <w:rPr>
                <w:b/>
                <w:sz w:val="20"/>
              </w:rPr>
              <w:t xml:space="preserve">Appendix C: References</w:t>
            </w:r>
            <w:r>
              <w:rPr>
                <w:b/>
                <w:sz w:val="20"/>
              </w:rPr>
              <w:tab/>
            </w:r>
            <w:r>
              <w:rPr>
                <w:b/>
                <w:sz w:val="20"/>
              </w:rPr>
              <w:fldChar w:fldCharType="begin"/>
            </w:r>
            <w:r>
              <w:rPr>
                <w:b/>
                <w:sz w:val="20"/>
              </w:rPr>
              <w:instrText xml:space="preserve"> PAGEREF _Toc1044 \h </w:instrText>
            </w:r>
            <w:r>
              <w:rPr>
                <w:b/>
                <w:sz w:val="20"/>
              </w:rPr>
              <w:fldChar w:fldCharType="separate"/>
            </w:r>
            <w:r>
              <w:rPr>
                <w:b/>
                <w:sz w:val="20"/>
              </w:rPr>
              <w:t>31</w:t>
            </w:r>
            <w:r>
              <w:rPr>
                <w:b/>
                <w:sz w:val="20"/>
              </w:rPr>
              <w:fldChar w:fldCharType="end"/>
            </w:r>
          </w:hyperlink>
        </w:p>
        <w:p>
          <w:r>
            <w:fldChar w:fldCharType="end"/>
          </w:r>
        </w:p>
      </w:sdtContent>
    </w:sdt>
    <w:p>
      <w:pPr>
        <w:pStyle w:val="Heading1"/>
        <w:pageBreakBefore/>
      </w:pPr>
      <w:bookmarkStart w:id="903" w:name="_Toc1003"/>
      <w:r>
        <w:t xml:space="preserve">1   Decision Details</w:t>
      </w:r>
      <w:bookmarkEnd w:id="903"/>
    </w:p>
    <w:p>
      <w:pPr>
        <w:pStyle w:val="Heading2"/>
      </w:pPr>
      <w:bookmarkStart w:id="904" w:name="_Toc1004"/>
      <w:r>
        <w:t xml:space="preserve">1.1   Context and Purpose</w:t>
      </w:r>
      <w:bookmarkEnd w:id="904"/>
    </w:p>
    <w:p>
      <w:pPr>
        <w:spacing w:after="120" w:line="264"/>
      </w:pPr>
      <w:r>
        <w:t xml:space="preserve">The organisation has an established backup strategy for its on-premises data centres. The relevant teams have assessed its Recovery Point Objective (RPO) and Recovery Time Objective (RTO) and confirmed that they meet business requirements. Microsoft 365 is also backed up through Commvault. These capabilities form part of the wider enterprise backup landscape but are </w:t>
      </w:r>
      <w:r>
        <w:rPr>
          <w:b/>
          <w:bCs/>
        </w:rPr>
        <w:t xml:space="preserve">not the primary focus</w:t>
      </w:r>
      <w:r>
        <w:t xml:space="preserve"> of this decision; they are considered only where relevant to integration, operational consistency or overall enterprise backup strategy.</w:t>
      </w:r>
    </w:p>
    <w:p>
      <w:pPr>
        <w:spacing w:after="120" w:line="264"/>
      </w:pPr>
      <w:r>
        <w:t xml:space="preserve">The primary objective of this KDD is to evaluate and compare </w:t>
      </w:r>
      <w:r>
        <w:rPr>
          <w:b/>
          <w:bCs/>
        </w:rPr>
        <w:t xml:space="preserve">cloud workload backup and recovery</w:t>
      </w:r>
      <w:r>
        <w:t xml:space="preserve"> across three options:</w:t>
      </w:r>
    </w:p>
    <w:p>
      <w:pPr>
        <w:pStyle w:val="ListParagraph"/>
        <w:numPr>
          <w:ilvl w:val="0"/>
          <w:numId w:val="2"/>
        </w:numPr>
        <w:spacing w:after="60" w:line="252"/>
      </w:pPr>
      <w:r>
        <w:rPr>
          <w:b/>
          <w:bCs/>
        </w:rPr>
        <w:t xml:space="preserve">Option A:</w:t>
      </w:r>
      <w:r>
        <w:t xml:space="preserve"> Commvault for multi-cloud workloads</w:t>
      </w:r>
    </w:p>
    <w:p>
      <w:pPr>
        <w:pStyle w:val="ListParagraph"/>
        <w:numPr>
          <w:ilvl w:val="0"/>
          <w:numId w:val="2"/>
        </w:numPr>
        <w:spacing w:after="60" w:line="252"/>
      </w:pPr>
      <w:r>
        <w:rPr>
          <w:b/>
          <w:bCs/>
        </w:rPr>
        <w:t xml:space="preserve">Option B:</w:t>
      </w:r>
      <w:r>
        <w:t xml:space="preserve"> Rubrik for multi-cloud workloads</w:t>
      </w:r>
    </w:p>
    <w:p>
      <w:pPr>
        <w:pStyle w:val="ListParagraph"/>
        <w:numPr>
          <w:ilvl w:val="0"/>
          <w:numId w:val="2"/>
        </w:numPr>
        <w:spacing w:after="60" w:line="252"/>
      </w:pPr>
      <w:r>
        <w:rPr>
          <w:b/>
          <w:bCs/>
        </w:rPr>
        <w:t xml:space="preserve">Option C:</w:t>
      </w:r>
      <w:r>
        <w:t xml:space="preserve"> Azure Backup for Azure workloads</w:t>
      </w:r>
    </w:p>
    <w:p>
      <w:pPr>
        <w:spacing w:after="120" w:line="264"/>
      </w:pPr>
      <w:r>
        <w:t xml:space="preserve">The cloud footprint is primarily on Microsoft Azure, with most production workloads in </w:t>
      </w:r>
      <w:r>
        <w:rPr>
          <w:b/>
          <w:bCs/>
        </w:rPr>
        <w:t xml:space="preserve">Canada Central</w:t>
      </w:r>
      <w:r>
        <w:t xml:space="preserve">, deployed zone-redundant where supported. No workloads are deployed in Canada East because of Microsoft resource availability constraints. AWS and GCP may be adopted in future. The selected approach must meet current Azure requirements and support future multi-cloud adoption.</w:t>
      </w:r>
    </w:p>
    <w:p>
      <w:pPr>
        <w:spacing w:after="120" w:line="264"/>
      </w:pPr>
      <w:r>
        <w:t xml:space="preserve">Azure Backup protects supported Azure workloads today. This KDD assesses its coverage and limitations against enterprise requirements: Azure service coverage, Azure DevOps and GitHub protection, recovery of deleted infrastructure and resources, SaaS and PaaS recovery, cross-region resilience and an additional offsite backup copy. </w:t>
      </w:r>
      <w:r>
        <w:rPr>
          <w:b/>
          <w:bCs/>
        </w:rPr>
        <w:t xml:space="preserve">Data residency is mandatory:</w:t>
      </w:r>
      <w:r>
        <w:t xml:space="preserve"> production workloads and all backup data must remain in Canada.</w:t>
      </w:r>
    </w:p>
    <w:p>
      <w:pPr>
        <w:keepNext/>
        <w:spacing w:after="80" w:before="160"/>
      </w:pPr>
      <w:r>
        <w:rPr>
          <w:b/>
          <w:bCs/>
          <w:color w:val="582873"/>
        </w:rPr>
        <w:t xml:space="preserve">Specifically, this KDD aims to solve the following:</w:t>
      </w:r>
    </w:p>
    <w:p>
      <w:pPr>
        <w:pStyle w:val="ListParagraph"/>
        <w:numPr>
          <w:ilvl w:val="0"/>
          <w:numId w:val="2"/>
        </w:numPr>
        <w:spacing w:after="60" w:line="252"/>
      </w:pPr>
      <w:r>
        <w:t xml:space="preserve">Select the most suitable approach for enterprise cloud workload backup and recovery from Options A, B and C.</w:t>
      </w:r>
    </w:p>
    <w:p>
      <w:pPr>
        <w:pStyle w:val="ListParagraph"/>
        <w:numPr>
          <w:ilvl w:val="0"/>
          <w:numId w:val="2"/>
        </w:numPr>
        <w:spacing w:after="60" w:line="252"/>
      </w:pPr>
      <w:r>
        <w:t xml:space="preserve">Document the current Azure environment and the coverage, retention, recovery methods and limitations of each workload type.</w:t>
      </w:r>
    </w:p>
    <w:p>
      <w:pPr>
        <w:pStyle w:val="ListParagraph"/>
        <w:numPr>
          <w:ilvl w:val="0"/>
          <w:numId w:val="2"/>
        </w:numPr>
        <w:spacing w:after="60" w:line="252"/>
      </w:pPr>
      <w:r>
        <w:t xml:space="preserve">Assess the current Azure Backup approach fairly, recognising its strengths, and identify where enterprise requirements need configuration changes, additional Azure services, IaC or third-party tools.</w:t>
      </w:r>
    </w:p>
    <w:p>
      <w:pPr>
        <w:pStyle w:val="ListParagraph"/>
        <w:numPr>
          <w:ilvl w:val="0"/>
          <w:numId w:val="2"/>
        </w:numPr>
        <w:spacing w:after="60" w:line="252"/>
      </w:pPr>
      <w:r>
        <w:t xml:space="preserve">Confirm that each option keeps production data, backup copies, replicas and metadata within Canada, and provides an additional offsite copy that is not just zone redundancy.</w:t>
      </w:r>
    </w:p>
    <w:p>
      <w:pPr>
        <w:pStyle w:val="ListParagraph"/>
        <w:numPr>
          <w:ilvl w:val="0"/>
          <w:numId w:val="2"/>
        </w:numPr>
        <w:spacing w:after="60" w:line="252"/>
      </w:pPr>
      <w:r>
        <w:t xml:space="preserve">Assess recovery of deleted resource groups, VNets, infrastructure, SaaS and PaaS workloads, DevOps repositories and ransomware scenarios.</w:t>
      </w:r>
    </w:p>
    <w:p>
      <w:pPr>
        <w:pStyle w:val="ListParagraph"/>
        <w:numPr>
          <w:ilvl w:val="0"/>
          <w:numId w:val="2"/>
        </w:numPr>
        <w:spacing w:after="60" w:line="252"/>
      </w:pPr>
      <w:r>
        <w:t xml:space="preserve">Give Finance a comparable 5-year ROM cost view and give approvers a clear recommendation with trade-offs, risks and benefits.</w:t>
      </w:r>
    </w:p>
    <w:p>
      <w:pPr>
        <w:pStyle w:val="Heading3"/>
      </w:pPr>
      <w:bookmarkStart w:id="905" w:name="_Toc1005"/>
      <w:r>
        <w:t xml:space="preserve">1.1.1   Current Azure Environment</w:t>
      </w:r>
      <w:bookmarkEnd w:id="905"/>
    </w:p>
    <w:p>
      <w:pPr>
        <w:spacing w:after="120" w:line="264"/>
      </w:pPr>
      <w:r>
        <w:t xml:space="preserve">Azure Backup is already deployed and running for the organisation’s supported Azure workloads, and it is working as designed. It is a mature, Microsoft-managed service that is fully resident in Canadian regions, needs no backup infrastructure, and integrates with Azure security controls such as immutable vaults, soft delete and Multi-User Authorization.</w:t>
      </w:r>
    </w:p>
    <w:p>
      <w:pPr>
        <w:spacing w:after="120" w:line="264"/>
      </w:pPr>
      <w:r>
        <w:t xml:space="preserve">Azure follows a </w:t>
      </w:r>
      <w:r>
        <w:rPr>
          <w:b/>
          <w:bCs/>
        </w:rPr>
        <w:t xml:space="preserve">layered protection model</w:t>
      </w:r>
      <w:r>
        <w:t xml:space="preserve">. Azure Backup is one layer; many PaaS services provide their own built-in backup and point-in-time restore, and platform resources (resource groups, networks, integration services) are designed to be recreated from Infrastructure as Code (IaC). A workload shown as "not protected by Azure Backup" is therefore often protected by design through another layer, rather than being a product weakness. The question for this KDD is whether those layers, taken together, meet enterprise requirements for isolation, consistency and multi-cloud, not whether Azure Backup works well. The same layered model applies to Commvault and Rubrik, which also rely on native PITR for some PaaS services and on IaC for platform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582873" w:sz="24"/>
              <w:bottom w:val="single" w:color="BFBFBF" w:sz="4"/>
              <w:right w:val="single" w:color="BFBFBF" w:sz="4"/>
            </w:tcBorders>
            <w:shd w:fill="EEF6EA" w:color="auto" w:val="clear"/>
            <w:tcMar>
              <w:top w:type="dxa" w:w="120"/>
              <w:left w:type="dxa" w:w="180"/>
              <w:bottom w:type="dxa" w:w="120"/>
              <w:right w:type="dxa" w:w="180"/>
            </w:tcMar>
          </w:tcPr>
          <w:p>
            <w:pPr>
              <w:spacing w:after="100"/>
            </w:pPr>
            <w:r>
              <w:rPr>
                <w:b/>
                <w:bCs/>
                <w:color w:val="582873"/>
                <w:sz w:val="22"/>
                <w:szCs w:val="22"/>
              </w:rPr>
              <w:t xml:space="preserve">Strengths of the current Azure Backup approach</w:t>
            </w:r>
          </w:p>
          <w:p>
            <w:pPr>
              <w:pStyle w:val="ListParagraph"/>
              <w:numPr>
                <w:ilvl w:val="0"/>
                <w:numId w:val="3"/>
              </w:numPr>
              <w:spacing w:after="60"/>
            </w:pPr>
            <w:r>
              <w:rPr>
                <w:b/>
                <w:bCs/>
              </w:rPr>
              <w:t xml:space="preserve">Already implemented and operational:</w:t>
            </w:r>
            <w:r>
              <w:t xml:space="preserve"> no migration risk, proven runbooks and existing skills.</w:t>
            </w:r>
          </w:p>
          <w:p>
            <w:pPr>
              <w:pStyle w:val="ListParagraph"/>
              <w:numPr>
                <w:ilvl w:val="0"/>
                <w:numId w:val="3"/>
              </w:numPr>
              <w:spacing w:after="60"/>
            </w:pPr>
            <w:r>
              <w:rPr>
                <w:b/>
                <w:bCs/>
              </w:rPr>
              <w:t xml:space="preserve">Canadian residency by default:</w:t>
            </w:r>
            <w:r>
              <w:t xml:space="preserve"> vaults in Canada Central, with geo-redundant replicas in Canada East (paired region).</w:t>
            </w:r>
          </w:p>
          <w:p>
            <w:pPr>
              <w:pStyle w:val="ListParagraph"/>
              <w:numPr>
                <w:ilvl w:val="0"/>
                <w:numId w:val="3"/>
              </w:numPr>
              <w:spacing w:after="60"/>
            </w:pPr>
            <w:r>
              <w:rPr>
                <w:b/>
                <w:bCs/>
              </w:rPr>
              <w:t xml:space="preserve">Strong core coverage:</w:t>
            </w:r>
            <w:r>
              <w:t xml:space="preserve"> Azure VMs (Enhanced policy, multiple backups per day), SQL Server on VMs (log backups as often as every 15 minutes), Azure Files, Blob (operational and vaulted), PostgreSQL Flexible Server and AKS.</w:t>
            </w:r>
          </w:p>
          <w:p>
            <w:pPr>
              <w:pStyle w:val="ListParagraph"/>
              <w:numPr>
                <w:ilvl w:val="0"/>
                <w:numId w:val="3"/>
              </w:numPr>
              <w:spacing w:after="60"/>
            </w:pPr>
            <w:r>
              <w:rPr>
                <w:b/>
                <w:bCs/>
              </w:rPr>
              <w:t xml:space="preserve">Built-in security:</w:t>
            </w:r>
            <w:r>
              <w:t xml:space="preserve"> immutable vaults (lockable), soft delete, Multi-User Authorization with Resource Guard, private endpoints, Entra ID and PIM.</w:t>
            </w:r>
          </w:p>
          <w:p>
            <w:pPr>
              <w:pStyle w:val="ListParagraph"/>
              <w:numPr>
                <w:ilvl w:val="0"/>
                <w:numId w:val="3"/>
              </w:numPr>
              <w:spacing w:after="60"/>
            </w:pPr>
            <w:r>
              <w:rPr>
                <w:b/>
                <w:bCs/>
              </w:rPr>
              <w:t xml:space="preserve">Recovery options:</w:t>
            </w:r>
            <w:r>
              <w:t xml:space="preserve"> Cross Region Restore to Canada East for supported workloads, cross-subscription restore, file-level and disk-level restore.</w:t>
            </w:r>
          </w:p>
          <w:p>
            <w:pPr>
              <w:pStyle w:val="ListParagraph"/>
              <w:numPr>
                <w:ilvl w:val="0"/>
                <w:numId w:val="3"/>
              </w:numPr>
              <w:spacing w:after="60"/>
            </w:pPr>
            <w:r>
              <w:rPr>
                <w:b/>
                <w:bCs/>
              </w:rPr>
              <w:t xml:space="preserve">Low operational overhead and cost:</w:t>
            </w:r>
            <w:r>
              <w:t xml:space="preserve"> no servers or appliances to run; consumption-based pricing; central view in Azure Business Continuity Center.</w:t>
            </w:r>
          </w:p>
        </w:tc>
      </w:tr>
    </w:tbl>
    <w:p>
      <w:pPr>
        <w:spacing w:after="80"/>
      </w:pPr>
    </w:p>
    <w:p>
      <w:pPr>
        <w:spacing w:after="120" w:line="264"/>
      </w:pPr>
      <w:r>
        <w:t xml:space="preserve">The table records each in-scope workload, how it is protected today, and points to consider. Status is based on the confirmed use of Azure Backup for supported workloads and must be confirmed per subscription during discovery. Details were checked against Microsoft documentation (October 2026); items marked "confirm" change frequently and should be re-checked in the PoC.</w:t>
      </w:r>
    </w:p>
    <w:p>
      <w:pPr>
        <w:spacing w:after="160" w:before="60"/>
      </w:pPr>
      <w:r>
        <w:rPr>
          <w:i/>
          <w:iCs/>
          <w:color w:val="404040"/>
          <w:sz w:val="18"/>
          <w:szCs w:val="18"/>
        </w:rPr>
        <w:t xml:space="preserve">Protection layer key: </w:t>
      </w:r>
      <w:r>
        <w:rPr>
          <w:b/>
          <w:bCs/>
          <w:i/>
          <w:iCs/>
          <w:color w:val="404040"/>
          <w:sz w:val="18"/>
          <w:szCs w:val="18"/>
        </w:rPr>
        <w:t xml:space="preserve">Azure Backup</w:t>
      </w:r>
      <w:r>
        <w:rPr>
          <w:i/>
          <w:iCs/>
          <w:color w:val="404040"/>
          <w:sz w:val="18"/>
          <w:szCs w:val="18"/>
        </w:rPr>
        <w:t xml:space="preserve"> = protected by Azure Backup; </w:t>
      </w:r>
      <w:r>
        <w:rPr>
          <w:b/>
          <w:bCs/>
          <w:i/>
          <w:iCs/>
          <w:color w:val="404040"/>
          <w:sz w:val="18"/>
          <w:szCs w:val="18"/>
        </w:rPr>
        <w:t xml:space="preserve">Platform-native</w:t>
      </w:r>
      <w:r>
        <w:rPr>
          <w:i/>
          <w:iCs/>
          <w:color w:val="404040"/>
          <w:sz w:val="18"/>
          <w:szCs w:val="18"/>
        </w:rPr>
        <w:t xml:space="preserve"> = protected by the service’s own built-in backup or recovery; </w:t>
      </w:r>
      <w:r>
        <w:rPr>
          <w:b/>
          <w:bCs/>
          <w:i/>
          <w:iCs/>
          <w:color w:val="404040"/>
          <w:sz w:val="18"/>
          <w:szCs w:val="18"/>
        </w:rPr>
        <w:t xml:space="preserve">Supported with conditions</w:t>
      </w:r>
      <w:r>
        <w:rPr>
          <w:i/>
          <w:iCs/>
          <w:color w:val="404040"/>
          <w:sz w:val="18"/>
          <w:szCs w:val="18"/>
        </w:rPr>
        <w:t xml:space="preserve"> = protected, with service-specific conditions; </w:t>
      </w:r>
      <w:r>
        <w:rPr>
          <w:b/>
          <w:bCs/>
          <w:i/>
          <w:iCs/>
          <w:color w:val="404040"/>
          <w:sz w:val="18"/>
          <w:szCs w:val="18"/>
        </w:rPr>
        <w:t xml:space="preserve">Complement needed</w:t>
      </w:r>
      <w:r>
        <w:rPr>
          <w:i/>
          <w:iCs/>
          <w:color w:val="404040"/>
          <w:sz w:val="18"/>
          <w:szCs w:val="18"/>
        </w:rPr>
        <w:t xml:space="preserve"> = native options exist but an additional service, IaC or tool is recommended for enterprise requirements; </w:t>
      </w:r>
      <w:r>
        <w:rPr>
          <w:b/>
          <w:bCs/>
          <w:i/>
          <w:iCs/>
          <w:color w:val="404040"/>
          <w:sz w:val="18"/>
          <w:szCs w:val="18"/>
        </w:rPr>
        <w:t xml:space="preserve">Rebuild by design</w:t>
      </w:r>
      <w:r>
        <w:rPr>
          <w:i/>
          <w:iCs/>
          <w:color w:val="404040"/>
          <w:sz w:val="18"/>
          <w:szCs w:val="18"/>
        </w:rPr>
        <w:t xml:space="preserve"> = recovered by redeploying from IaC / source control, which is the standard Azure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950"/>
        <w:gridCol w:w="2410"/>
        <w:gridCol w:w="1200"/>
      </w:tblGrid>
      <w:tr>
        <w:trPr>
          <w:cantSplit/>
          <w:tblHeader/>
        </w:trPr>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Workload (current status)</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Azure Backup</w:t>
            </w:r>
          </w:p>
        </w:tc>
        <w:tc>
          <w:tcPr>
            <w:tcW w:type="dxa" w:w="195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Other Azure-native protection</w:t>
            </w:r>
          </w:p>
        </w:tc>
        <w:tc>
          <w:tcPr>
            <w:tcW w:type="dxa" w:w="241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Considerations</w:t>
            </w:r>
          </w:p>
        </w:tc>
        <w:tc>
          <w:tcPr>
            <w:tcW w:type="dxa" w:w="1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Protection layer</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5"/>
                <w:szCs w:val="15"/>
              </w:rPr>
              <w:t xml:space="preserve">Compute and infrastructure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Windows and Linux VMs</w:t>
            </w:r>
          </w:p>
          <w:p>
            <w:pPr>
              <w:keepNext w:val="false"/>
              <w:spacing w:after="20"/>
            </w:pPr>
            <w:r>
              <w:rPr>
                <w:b/>
                <w:bCs/>
                <w:sz w:val="15"/>
                <w:szCs w:val="15"/>
              </w:rPr>
              <w:t xml:space="preserve">(Current: Azure Backup)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Full support: VM backup (Standard or Enhanced policy), snapshot and vault tiers; file, disk and full-VM restore; cross-subscription restore</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Site Recovery for DR replication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Cross Region Restore requires a GRS vault with CRR enabled at creation. Restores into Canada East depend on available compute at the time.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Azure Backup</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Virtual Machine Scale Sets</w:t>
            </w:r>
          </w:p>
          <w:p>
            <w:pPr>
              <w:keepNext w:val="false"/>
              <w:spacing w:after="20"/>
            </w:pPr>
            <w:r>
              <w:rPr>
                <w:b/>
                <w:bCs/>
                <w:sz w:val="15"/>
                <w:szCs w:val="15"/>
              </w:rPr>
              <w:t xml:space="preserve">(Current: to confirm)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Flexible orchestration: VM-level backup (confirm per instance). Uniform orchestration: not covered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Rebuild from image / IaC</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Uniform scale sets are designed to be stateless and recreated from the model</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Standalone managed disks</w:t>
            </w:r>
          </w:p>
          <w:p>
            <w:pPr>
              <w:keepNext w:val="false"/>
              <w:spacing w:after="20"/>
            </w:pPr>
            <w:r>
              <w:rPr>
                <w:b/>
                <w:bCs/>
                <w:sz w:val="15"/>
                <w:szCs w:val="15"/>
              </w:rPr>
              <w:t xml:space="preserve">(Current: to confirm)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Disk Backup: snapshot tier with multiple backups per day</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Incremental snapshots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Snapshots are held in the same region and subscription; for an offsite copy, protect the disk through VM backup or add a copy</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Oracle Database on VMs</w:t>
            </w:r>
          </w:p>
          <w:p>
            <w:pPr>
              <w:keepNext w:val="false"/>
              <w:spacing w:after="20"/>
            </w:pPr>
            <w:r>
              <w:rPr>
                <w:b/>
                <w:bCs/>
                <w:sz w:val="15"/>
                <w:szCs w:val="15"/>
              </w:rPr>
              <w:t xml:space="preserve">(Current: VM-level)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Application-consistent VM backup using pre/post scripts (confirm)</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RMAN to Azure Files / Blob</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Database-level point-in-time recovery uses RMAN scripting alongside VM backup</w:t>
            </w:r>
          </w:p>
        </w:tc>
        <w:tc>
          <w:tcPr>
            <w:tcW w:type="dxa" w:w="1200"/>
            <w:tcBorders>
              <w:top w:val="single" w:color="BFBFBF" w:sz="4"/>
              <w:left w:val="single" w:color="BFBFBF" w:sz="4"/>
              <w:bottom w:val="single" w:color="BFBFBF" w:sz="4"/>
              <w:right w:val="single" w:color="BFBFBF" w:sz="4"/>
            </w:tcBorders>
            <w:shd w:fill="FCE4D6" w:color="auto" w:val="clear"/>
            <w:tcMar>
              <w:top w:type="dxa" w:w="50"/>
              <w:left w:type="dxa" w:w="90"/>
              <w:bottom w:type="dxa" w:w="50"/>
              <w:right w:type="dxa" w:w="90"/>
            </w:tcMar>
            <w:vAlign w:val="top"/>
          </w:tcPr>
          <w:p>
            <w:pPr>
              <w:keepNext w:val="false"/>
              <w:spacing w:after="20"/>
            </w:pPr>
            <w:r>
              <w:rPr>
                <w:b w:val="false"/>
                <w:bCs w:val="false"/>
                <w:sz w:val="15"/>
                <w:szCs w:val="15"/>
              </w:rPr>
              <w:t xml:space="preserve">Complement needed</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5"/>
                <w:szCs w:val="15"/>
              </w:rPr>
              <w:t xml:space="preserve">Databases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SQL Server on Azure VMs</w:t>
            </w:r>
          </w:p>
          <w:p>
            <w:pPr>
              <w:keepNext w:val="false"/>
              <w:spacing w:after="20"/>
            </w:pPr>
            <w:r>
              <w:rPr>
                <w:b/>
                <w:bCs/>
                <w:sz w:val="15"/>
                <w:szCs w:val="15"/>
              </w:rPr>
              <w:t xml:space="preserve">(Current: Azure Backup)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Full support: full, differential and log backups (as often as every 15 min); Cross Region Restore with GRS vault</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Automated Backup via SQL IaaS extension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Policies are set per instance; CRR depends on vault configuration</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Azure Backup</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SQL Database</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Protected by the service’s built-in backups</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Automated backups: PITR 1–35 days; long-term retention up to 10 years; geo-restore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Backups are managed with the logical server; confirm LTR immutability and server-deletion behaviour</w:t>
            </w:r>
          </w:p>
        </w:tc>
        <w:tc>
          <w:tcPr>
            <w:tcW w:type="dxa" w:w="12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vAlign w:val="top"/>
          </w:tcPr>
          <w:p>
            <w:pPr>
              <w:keepNext w:val="false"/>
              <w:spacing w:after="20"/>
            </w:pPr>
            <w:r>
              <w:rPr>
                <w:b w:val="false"/>
                <w:bCs w:val="false"/>
                <w:sz w:val="15"/>
                <w:szCs w:val="15"/>
              </w:rPr>
              <w:t xml:space="preserve">Platform-native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SQL Managed Instance</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Protected by the service’s built-in backups</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Automated backups: PITR 1–35 days (cross-subscription PITR supported); LTR up to 10 years; geo-restore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LTR and geo-restore target the same subscription</w:t>
            </w:r>
          </w:p>
        </w:tc>
        <w:tc>
          <w:tcPr>
            <w:tcW w:type="dxa" w:w="12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vAlign w:val="top"/>
          </w:tcPr>
          <w:p>
            <w:pPr>
              <w:keepNext w:val="false"/>
              <w:spacing w:after="20"/>
            </w:pPr>
            <w:r>
              <w:rPr>
                <w:b w:val="false"/>
                <w:bCs w:val="false"/>
                <w:sz w:val="15"/>
                <w:szCs w:val="15"/>
              </w:rPr>
              <w:t xml:space="preserve">Platform-native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Database for PostgreSQL Flexible Server</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Vaulted backup (GA) with long-term retention</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Native PITR 1–35 days; geo-redundant backup option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Vaulted backup covers servers up to 1 TB with weekly backups, and restores to files for rebuild with native tools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Database for MySQL Flexible Server</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Backup long-term retention preview is paused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Native PITR 1–35 days; on-demand backups; geo-redundant backup option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Retention beyond 35 days needs export tooling</w:t>
            </w:r>
          </w:p>
        </w:tc>
        <w:tc>
          <w:tcPr>
            <w:tcW w:type="dxa" w:w="12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vAlign w:val="top"/>
          </w:tcPr>
          <w:p>
            <w:pPr>
              <w:keepNext w:val="false"/>
              <w:spacing w:after="20"/>
            </w:pPr>
            <w:r>
              <w:rPr>
                <w:b w:val="false"/>
                <w:bCs w:val="false"/>
                <w:sz w:val="15"/>
                <w:szCs w:val="15"/>
              </w:rPr>
              <w:t xml:space="preserve">Platform-native</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Cosmos DB</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Protected by the service’s built-in backups</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Periodic backup, or continuous backup (7 or 30 days) with point-in-time restore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Restores go to a new account (or in-account for deleted databases/containers); long-term copies need export</w:t>
            </w:r>
          </w:p>
        </w:tc>
        <w:tc>
          <w:tcPr>
            <w:tcW w:type="dxa" w:w="12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vAlign w:val="top"/>
          </w:tcPr>
          <w:p>
            <w:pPr>
              <w:keepNext w:val="false"/>
              <w:spacing w:after="20"/>
            </w:pPr>
            <w:r>
              <w:rPr>
                <w:b w:val="false"/>
                <w:bCs w:val="false"/>
                <w:sz w:val="15"/>
                <w:szCs w:val="15"/>
              </w:rPr>
              <w:t xml:space="preserve">Platform-native</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5"/>
                <w:szCs w:val="15"/>
              </w:rPr>
              <w:t xml:space="preserve">Storage and containers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Blob Storage / ADLS Gen2</w:t>
            </w:r>
          </w:p>
          <w:p>
            <w:pPr>
              <w:keepNext w:val="false"/>
              <w:spacing w:after="20"/>
            </w:pPr>
            <w:r>
              <w:rPr>
                <w:b/>
                <w:bCs/>
                <w:sz w:val="15"/>
                <w:szCs w:val="15"/>
              </w:rPr>
              <w:t xml:space="preserve">(Current: to confirm)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Operational backup (continuous, in-account) and vaulted backup; vaulted backup supports standard GPv2 block blobs, including ADLS Gen2 accounts</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Soft delete, versioning, immutability policies, object replication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Vaulted: blobs in the Archive access tier are not backed up (cool/cold restore to hot); blobs written through Data Lake Storage APIs not supported; Cross Region Restore not yet available for vaulted blobs (confirm current status). Operational backup does not support ADLS Gen2 accounts.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Files</w:t>
            </w:r>
          </w:p>
          <w:p>
            <w:pPr>
              <w:keepNext w:val="false"/>
              <w:spacing w:after="20"/>
            </w:pPr>
            <w:r>
              <w:rPr>
                <w:b/>
                <w:bCs/>
                <w:sz w:val="15"/>
                <w:szCs w:val="15"/>
              </w:rPr>
              <w:t xml:space="preserve">(Current: Azure Backup)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Snapshot backup and vaulted backup</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Share snapshots, share soft delete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Confirm Cross Region Restore option for the vaulted tier and share type</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Azure Backup</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AKS persistent volumes</w:t>
            </w:r>
          </w:p>
          <w:p>
            <w:pPr>
              <w:keepNext w:val="false"/>
              <w:spacing w:after="20"/>
            </w:pPr>
            <w:r>
              <w:rPr>
                <w:b/>
                <w:bCs/>
                <w:sz w:val="15"/>
                <w:szCs w:val="15"/>
              </w:rPr>
              <w:t xml:space="preserve">(Current: to confirm)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Backup for AKS (Azure Disk CSI volumes, cluster resources)</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GitOps / IaC for cluster configuration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Covers Azure Disk CSI volumes on Linux nodes; Azure Files / Blob volumes and Windows node pools not covered; confirm vault tier and CRR availability in Canada</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5"/>
                <w:szCs w:val="15"/>
              </w:rPr>
              <w:t xml:space="preserve">Security and key management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Key Vault</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Protected by the service’s built-in recovery</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Soft delete and purge protection; per-object backup/restore within the same subscription and geography</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Vault configuration (access policies, network rules, rotation) is best held in IaC</w:t>
            </w:r>
          </w:p>
        </w:tc>
        <w:tc>
          <w:tcPr>
            <w:tcW w:type="dxa" w:w="12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vAlign w:val="top"/>
          </w:tcPr>
          <w:p>
            <w:pPr>
              <w:keepNext w:val="false"/>
              <w:spacing w:after="20"/>
            </w:pPr>
            <w:r>
              <w:rPr>
                <w:b w:val="false"/>
                <w:bCs w:val="false"/>
                <w:sz w:val="15"/>
                <w:szCs w:val="15"/>
              </w:rPr>
              <w:t xml:space="preserve">Platform-native</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5"/>
                <w:szCs w:val="15"/>
              </w:rPr>
              <w:t xml:space="preserve">Integration, analytics and automation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Logic Apps</w:t>
            </w:r>
          </w:p>
          <w:p>
            <w:pPr>
              <w:keepNext w:val="false"/>
              <w:spacing w:after="20"/>
            </w:pPr>
            <w:r>
              <w:rPr>
                <w:b/>
                <w:bCs/>
                <w:sz w:val="15"/>
                <w:szCs w:val="15"/>
              </w:rPr>
              <w:t xml:space="preserve">(Current: IaC / source control)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Designed to be redeployed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Definitions in IaC / source control</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Workflow definitions and connections redeploy from Git; run history is operational data, not retained for recovery</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5"/>
                <w:szCs w:val="15"/>
              </w:rPr>
              <w:t xml:space="preserve">Rebuild by design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Functions</w:t>
            </w:r>
          </w:p>
          <w:p>
            <w:pPr>
              <w:keepNext w:val="false"/>
              <w:spacing w:after="20"/>
            </w:pPr>
            <w:r>
              <w:rPr>
                <w:b/>
                <w:bCs/>
                <w:sz w:val="15"/>
                <w:szCs w:val="15"/>
              </w:rPr>
              <w:t xml:space="preserve">(Current: IaC / source control)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Designed to be redeployed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App Service backup (dedicated / Premium plans); restore of deleted apps for a limited period; code in source control</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Coverage depends on hosting plan; settings and identities in IaC</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Synapse Analytics</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Protected by the service’s built-in recovery</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Dedicated SQL pool restore points (automatic + user-defined) and geo-backup; workspace artifacts via Git integration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Workspace artifacts are protected when Git integration is enabled; data lake protected through storage</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Data Factory</w:t>
            </w:r>
          </w:p>
          <w:p>
            <w:pPr>
              <w:keepNext w:val="false"/>
              <w:spacing w:after="20"/>
            </w:pPr>
            <w:r>
              <w:rPr>
                <w:b/>
                <w:bCs/>
                <w:sz w:val="15"/>
                <w:szCs w:val="15"/>
              </w:rPr>
              <w:t xml:space="preserve">(Current: IaC / source control)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Designed to be redeployed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Git integration; ARM template export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Factory, pipelines and linked services redeploy from Git</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5"/>
                <w:szCs w:val="15"/>
              </w:rPr>
              <w:t xml:space="preserve">Rebuild by design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Automation accounts</w:t>
            </w:r>
          </w:p>
          <w:p>
            <w:pPr>
              <w:keepNext w:val="false"/>
              <w:spacing w:after="20"/>
            </w:pPr>
            <w:r>
              <w:rPr>
                <w:b/>
                <w:bCs/>
                <w:sz w:val="15"/>
                <w:szCs w:val="15"/>
              </w:rPr>
              <w:t xml:space="preserve">(Current: to confirm)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Designed to be redeployed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Runbook source control; deleted-account recovery for a limited period (confirm)</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Keep variables, schedules and modules in IaC</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Supported with conditions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Log Analytics workspaces</w:t>
            </w:r>
          </w:p>
          <w:p>
            <w:pPr>
              <w:keepNext w:val="false"/>
              <w:spacing w:after="20"/>
            </w:pPr>
            <w:r>
              <w:rPr>
                <w:b/>
                <w:bCs/>
                <w:sz w:val="15"/>
                <w:szCs w:val="15"/>
              </w:rPr>
              <w:t xml:space="preserve">(Current: platform-native)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Protected by the service’s built-in recovery</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Soft-delete recovery (14 days); data export to storage; table retention</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Export to storage where long-term copies of log data are required</w:t>
            </w:r>
          </w:p>
        </w:tc>
        <w:tc>
          <w:tcPr>
            <w:tcW w:type="dxa" w:w="12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vAlign w:val="top"/>
          </w:tcPr>
          <w:p>
            <w:pPr>
              <w:keepNext w:val="false"/>
              <w:spacing w:after="20"/>
            </w:pPr>
            <w:r>
              <w:rPr>
                <w:b w:val="false"/>
                <w:bCs w:val="false"/>
                <w:sz w:val="15"/>
                <w:szCs w:val="15"/>
              </w:rPr>
              <w:t xml:space="preserve">Platform-native</w:t>
            </w:r>
          </w:p>
        </w:tc>
      </w:tr>
      <w:tr>
        <w:trPr>
          <w:cantSplit/>
        </w:trPr>
        <w:tc>
          <w:tcPr>
            <w:tcW w:type="dxa" w:w="9360"/>
            <w:gridSpan w:val="5"/>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5"/>
                <w:szCs w:val="15"/>
              </w:rPr>
              <w:t xml:space="preserve">AI and platform resources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AI Foundry hubs / projects</w:t>
            </w:r>
          </w:p>
          <w:p>
            <w:pPr>
              <w:keepNext w:val="false"/>
              <w:spacing w:after="20"/>
            </w:pPr>
            <w:r>
              <w:rPr>
                <w:b/>
                <w:bCs/>
                <w:sz w:val="15"/>
                <w:szCs w:val="15"/>
              </w:rPr>
              <w:t xml:space="preserve">(Current: IaC)</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Designed to be redeployed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IaC redeploy; dependent Storage, Key Vault, AI Search and Container Registry protected individually</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Workspace configuration, connections and deployments held in IaC</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5"/>
                <w:szCs w:val="15"/>
              </w:rPr>
              <w:t xml:space="preserve">Rebuild by design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Resource groups, VNets, NSGs, route tables, private endpoints, DNS</w:t>
            </w:r>
          </w:p>
          <w:p>
            <w:pPr>
              <w:keepNext w:val="false"/>
              <w:spacing w:after="20"/>
            </w:pPr>
            <w:r>
              <w:rPr>
                <w:b/>
                <w:bCs/>
                <w:sz w:val="15"/>
                <w:szCs w:val="15"/>
              </w:rPr>
              <w:t xml:space="preserve">(Current: IaC + locks)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Designed to be redeployed</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Resource locks and Azure Policy (preventive); IaC redeploy; Activity Log</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Recovery depends on IaC completeness; a deleted resource group removes all member resources</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5"/>
                <w:szCs w:val="15"/>
              </w:rPr>
              <w:t xml:space="preserve">Rebuild by design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DevOps and GitHub (hosted)</w:t>
            </w:r>
          </w:p>
          <w:p>
            <w:pPr>
              <w:keepNext w:val="false"/>
              <w:spacing w:after="20"/>
            </w:pPr>
            <w:r>
              <w:rPr>
                <w:b/>
                <w:bCs/>
                <w:sz w:val="15"/>
                <w:szCs w:val="15"/>
              </w:rPr>
              <w:t xml:space="preserve">(Current: native retention only)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Outside Azure Backup’s scope (SaaS developer platforms)</w:t>
            </w:r>
          </w:p>
        </w:tc>
        <w:tc>
          <w:tcPr>
            <w:tcW w:type="dxa" w:w="19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DevOps: deleted projects restorable for 28 days. GitHub: deleted repositories restorable for 90 days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No customer-controlled, long-term or point-in-time copy; see 2.2.6 for vendor options</w:t>
            </w:r>
          </w:p>
        </w:tc>
        <w:tc>
          <w:tcPr>
            <w:tcW w:type="dxa" w:w="1200"/>
            <w:tcBorders>
              <w:top w:val="single" w:color="BFBFBF" w:sz="4"/>
              <w:left w:val="single" w:color="BFBFBF" w:sz="4"/>
              <w:bottom w:val="single" w:color="BFBFBF" w:sz="4"/>
              <w:right w:val="single" w:color="BFBFBF" w:sz="4"/>
            </w:tcBorders>
            <w:shd w:fill="FCE4D6" w:color="auto" w:val="clear"/>
            <w:tcMar>
              <w:top w:type="dxa" w:w="50"/>
              <w:left w:type="dxa" w:w="90"/>
              <w:bottom w:type="dxa" w:w="50"/>
              <w:right w:type="dxa" w:w="90"/>
            </w:tcMar>
            <w:vAlign w:val="top"/>
          </w:tcPr>
          <w:p>
            <w:pPr>
              <w:keepNext w:val="false"/>
              <w:spacing w:after="20"/>
            </w:pPr>
            <w:r>
              <w:rPr>
                <w:b w:val="false"/>
                <w:bCs w:val="false"/>
                <w:sz w:val="15"/>
                <w:szCs w:val="15"/>
              </w:rPr>
              <w:t xml:space="preserve">Complement needed</w:t>
            </w:r>
          </w:p>
        </w:tc>
      </w:tr>
    </w:tbl>
    <w:p>
      <w:pPr>
        <w:pStyle w:val="Heading3"/>
      </w:pPr>
      <w:bookmarkStart w:id="906" w:name="_Toc1006"/>
      <w:r>
        <w:t xml:space="preserve">1.1.2   Limitations of the Current Azure Backup Approach</w:t>
      </w:r>
      <w:bookmarkEnd w:id="906"/>
    </w:p>
    <w:p>
      <w:pPr>
        <w:spacing w:after="120" w:line="264"/>
      </w:pPr>
      <w:r>
        <w:t xml:space="preserve">The current approach meets its design goals for in-region protection of supported Azure workloads. The considerations below arise from the </w:t>
      </w:r>
      <w:r>
        <w:rPr>
          <w:b/>
          <w:bCs/>
        </w:rPr>
        <w:t xml:space="preserve">enterprise-wide, multi-cloud requirements</w:t>
      </w:r>
      <w:r>
        <w:t xml:space="preserve"> of this KDD, which are broader than Azure Backup’s intended scope. For each item, the table shows what Azure already offers and what would close the gap, so the findings can be read as design choices rather than product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2800"/>
        <w:gridCol w:w="1400"/>
      </w:tblGrid>
      <w:tr>
        <w:trPr>
          <w:cantSplit/>
          <w:tblHeader/>
        </w:trPr>
        <w:tc>
          <w:tcPr>
            <w:tcW w:type="dxa" w:w="1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Area</w:t>
            </w:r>
          </w:p>
        </w:tc>
        <w:tc>
          <w:tcPr>
            <w:tcW w:type="dxa" w:w="34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Consideration</w:t>
            </w:r>
          </w:p>
        </w:tc>
        <w:tc>
          <w:tcPr>
            <w:tcW w:type="dxa" w:w="2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What Azure offers today</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Type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Workload coverage</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Some services are protected by their own built-in backup rather than Azure Backup (SQL DB/MI, Cosmos DB, MySQL, Key Vault); some by design rely on IaC (Logic Apps, Data Factory, AI Foundry).</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Native PITR/LTR and soft delete for PaaS; Git / IaC for integration services</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Design choice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Deleted resource groups</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 undelete for resource groups; data is restored item by item after the group is recreated.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Resource locks and Azure Policy to prevent deletion; IaC redeploy</w:t>
            </w:r>
          </w:p>
        </w:tc>
        <w:tc>
          <w:tcPr>
            <w:tcW w:type="dxa" w:w="1400"/>
            <w:tcBorders>
              <w:top w:val="single" w:color="BFBFBF" w:sz="4"/>
              <w:left w:val="single" w:color="BFBFBF" w:sz="4"/>
              <w:bottom w:val="single" w:color="BFBFBF" w:sz="4"/>
              <w:right w:val="single" w:color="BFBFBF" w:sz="4"/>
            </w:tcBorders>
            <w:shd w:fill="FCE4D6" w:color="auto" w:val="clear"/>
            <w:tcMar>
              <w:top w:type="dxa" w:w="50"/>
              <w:left w:type="dxa" w:w="90"/>
              <w:bottom w:type="dxa" w:w="50"/>
              <w:right w:type="dxa" w:w="90"/>
            </w:tcMar>
            <w:vAlign w:val="top"/>
          </w:tcPr>
          <w:p>
            <w:pPr>
              <w:keepNext w:val="false"/>
              <w:spacing w:after="20"/>
            </w:pPr>
            <w:r>
              <w:rPr>
                <w:b w:val="false"/>
                <w:bCs w:val="false"/>
                <w:sz w:val="16"/>
                <w:szCs w:val="16"/>
              </w:rPr>
              <w:t xml:space="preserve">Complement needed (IaC)</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VNets and infrastructure</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Network configuration is not captured by a backup service; VM restore expects a target network.</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 redeploy; Azure Resource Graph and Activity Log for reconstruction</w:t>
            </w:r>
          </w:p>
        </w:tc>
        <w:tc>
          <w:tcPr>
            <w:tcW w:type="dxa" w:w="1400"/>
            <w:tcBorders>
              <w:top w:val="single" w:color="BFBFBF" w:sz="4"/>
              <w:left w:val="single" w:color="BFBFBF" w:sz="4"/>
              <w:bottom w:val="single" w:color="BFBFBF" w:sz="4"/>
              <w:right w:val="single" w:color="BFBFBF" w:sz="4"/>
            </w:tcBorders>
            <w:shd w:fill="FCE4D6" w:color="auto" w:val="clear"/>
            <w:tcMar>
              <w:top w:type="dxa" w:w="50"/>
              <w:left w:type="dxa" w:w="90"/>
              <w:bottom w:type="dxa" w:w="50"/>
              <w:right w:type="dxa" w:w="90"/>
            </w:tcMar>
            <w:vAlign w:val="top"/>
          </w:tcPr>
          <w:p>
            <w:pPr>
              <w:keepNext w:val="false"/>
              <w:spacing w:after="20"/>
            </w:pPr>
            <w:r>
              <w:rPr>
                <w:b w:val="false"/>
                <w:bCs w:val="false"/>
                <w:sz w:val="16"/>
                <w:szCs w:val="16"/>
              </w:rPr>
              <w:t xml:space="preserve">Complement needed (IaC)</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SaaS and PaaS services</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Retention and restore behaviour differ by service (7–35 days PITR; LTR for SQL; restore to new resource).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Built-in PITR, LTR and geo-restore per service</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Configuration-dependent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Cross-region and offsite copy</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Offsite copy is a GRS replica in Canada East with Cross Region Restore; CRR is set at vault creation and is not yet available for every workload (for example, vaulted blobs).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GRS vaults, CRR for VMs, SQL on VMs, PostgreSQL and others</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Configuration-dependent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Isolation of the offsite copy</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The replica is administered within the same Azure tenant as production.</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Locked immutable vaults, soft delete, MUA with a Resource Guard in a separate subscription or tenant</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Configuration-dependent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Recovery into Canada East</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 workloads run in Canada East because of capacity constraints; restoring VMs there needs compute at the time.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Capacity reservations; restore to Canada Central in another subscription</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Configuration-dependent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Multi-cloud management</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Backup protects Azure; AWS and GCP would use their own native services and consoles.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Business Continuity Center for an Azure-wide view</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Outside product scope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Azure DevOps and GitHub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SaaS developer platforms are outside Azure Backup’s scope; native retention is time-limited.</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Project restore (28 days); repository restore (90 days, GitHub)</w:t>
            </w:r>
          </w:p>
        </w:tc>
        <w:tc>
          <w:tcPr>
            <w:tcW w:type="dxa" w:w="1400"/>
            <w:tcBorders>
              <w:top w:val="single" w:color="BFBFBF" w:sz="4"/>
              <w:left w:val="single" w:color="BFBFBF" w:sz="4"/>
              <w:bottom w:val="single" w:color="BFBFBF" w:sz="4"/>
              <w:right w:val="single" w:color="BFBFBF" w:sz="4"/>
            </w:tcBorders>
            <w:shd w:fill="FCE4D6" w:color="auto" w:val="clear"/>
            <w:tcMar>
              <w:top w:type="dxa" w:w="50"/>
              <w:left w:type="dxa" w:w="90"/>
              <w:bottom w:type="dxa" w:w="50"/>
              <w:right w:type="dxa" w:w="90"/>
            </w:tcMar>
            <w:vAlign w:val="top"/>
          </w:tcPr>
          <w:p>
            <w:pPr>
              <w:keepNext w:val="false"/>
              <w:spacing w:after="20"/>
            </w:pPr>
            <w:r>
              <w:rPr>
                <w:b w:val="false"/>
                <w:bCs w:val="false"/>
                <w:sz w:val="16"/>
                <w:szCs w:val="16"/>
              </w:rPr>
              <w:t xml:space="preserve">Complement needed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Data residency</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Fully met: data and replicas remain in Canada Central and Canada East.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Regional vaults, GRS to paired region</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Meets requirement</w:t>
            </w:r>
          </w:p>
        </w:tc>
      </w:tr>
    </w:tbl>
    <w:p>
      <w:pPr>
        <w:pStyle w:val="Heading3"/>
      </w:pPr>
      <w:bookmarkStart w:id="907" w:name="_Toc1007"/>
      <w:r>
        <w:t xml:space="preserve">1.1.3   Data Residency and Resilience Requirements</w:t>
      </w:r>
      <w:bookmarkEnd w:id="907"/>
    </w:p>
    <w:p>
      <w:pPr>
        <w:spacing w:after="120" w:line="264"/>
      </w:pPr>
      <w:r>
        <w:t xml:space="preserve">Data residency is mandatory: production workload data, all backup copies, replicas, backup metadata and any supporting services that hold customer data must remain within Canadian geographic boundaries. The evaluation treats three levels of resilience separately, and </w:t>
      </w:r>
      <w:r>
        <w:rPr>
          <w:b/>
          <w:bCs/>
        </w:rPr>
        <w:t xml:space="preserve">zone redundancy within Canada Central is not a substitute for a separate regional or offsite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760"/>
        <w:gridCol w:w="1600"/>
      </w:tblGrid>
      <w:tr>
        <w:trPr>
          <w:cantSplit/>
          <w:tblHeader/>
        </w:trPr>
        <w:tc>
          <w:tcPr>
            <w:tcW w:type="dxa" w:w="21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Resilience level</w:t>
            </w:r>
          </w:p>
        </w:tc>
        <w:tc>
          <w:tcPr>
            <w:tcW w:type="dxa" w:w="2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What it protects against</w:t>
            </w:r>
          </w:p>
        </w:tc>
        <w:tc>
          <w:tcPr>
            <w:tcW w:type="dxa" w:w="27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Example in Azure</w:t>
            </w:r>
          </w:p>
        </w:tc>
        <w:tc>
          <w:tcPr>
            <w:tcW w:type="dxa" w:w="1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Counts as offsite copy?</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Availability-zone resilience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Loss of a single data centre or zone in Canada Central</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ZRS storage, zone-redundant VMs and databases</w:t>
            </w:r>
          </w:p>
        </w:tc>
        <w:tc>
          <w:tcPr>
            <w:tcW w:type="dxa" w:w="16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keepNext w:val="false"/>
              <w:spacing w:after="20"/>
            </w:pPr>
            <w:r>
              <w:rPr>
                <w:b w:val="false"/>
                <w:bCs w:val="false"/>
                <w:sz w:val="17"/>
                <w:szCs w:val="17"/>
              </w:rPr>
              <w:t xml:space="preserve">No</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Regional redundancy</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Loss of the Canada Central region</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GRS vault replica in Canada East; geo-redundant PaaS backups</w:t>
            </w:r>
          </w:p>
        </w:tc>
        <w:tc>
          <w:tcPr>
            <w:tcW w:type="dxa" w:w="16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Yes, geographically; same administrative domain</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Offsite (logically isolated) copy</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Region loss plus malicious deletion or credential compromise in the production tenant</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Vendor-managed immutable vault in Canada; copy to on-premises Canadian data centres</w:t>
            </w:r>
          </w:p>
        </w:tc>
        <w:tc>
          <w:tcPr>
            <w:tcW w:type="dxa" w:w="16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cantSplit/>
          <w:tblHeader/>
        </w:trPr>
        <w:tc>
          <w:tcPr>
            <w:tcW w:type="dxa" w:w="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ID</w:t>
            </w:r>
          </w:p>
        </w:tc>
        <w:tc>
          <w:tcPr>
            <w:tcW w:type="dxa" w:w="8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Data residency and resilience requirement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DR1</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Keep all production workload data and backup copies within Canada.</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DR2</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Keep resilient backup copies in the appropriate Azure region and maintain an additional offsite backup copy within Canada.</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DR3</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Support cross-region replication and recovery to Canada East or another eligible Canadian location, subject to service availability and capacity.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DR4</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Identify dependencies on service-specific regional availability, vault configuration, replication architecture and third-party infrastructure.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DR5</w:t>
            </w:r>
          </w:p>
        </w:tc>
        <w:tc>
          <w:tcPr>
            <w:tcW w:type="dxa" w:w="8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Confirm the location of backup storage, replicas, metadata, telemetry and support access for each option.</w:t>
            </w:r>
          </w:p>
        </w:tc>
      </w:tr>
    </w:tbl>
    <w:p>
      <w:pPr>
        <w:pStyle w:val="Heading2"/>
      </w:pPr>
      <w:bookmarkStart w:id="908" w:name="_Toc1008"/>
      <w:r>
        <w:t xml:space="preserve">1.2   Assumptions</w:t>
      </w:r>
      <w:bookmarkEnd w:id="908"/>
    </w:p>
    <w:p>
      <w:pPr>
        <w:spacing w:after="120" w:line="264"/>
      </w:pPr>
      <w:r>
        <w:t xml:space="preserve">Assumptions marked </w:t>
      </w:r>
      <w:r>
        <w:rPr>
          <w:b/>
          <w:bCs/>
        </w:rPr>
        <w:t xml:space="preserve">Yes</w:t>
      </w:r>
      <w:r>
        <w:t xml:space="preserve"> in the last column must be validated by the vendor (in writing or in the PoC) before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1700"/>
        <w:gridCol w:w="1500"/>
        <w:gridCol w:w="1500"/>
      </w:tblGrid>
      <w:tr>
        <w:trPr>
          <w:cantSplit/>
          <w:tblHeader/>
        </w:trPr>
        <w:tc>
          <w:tcPr>
            <w:tcW w:type="dxa" w:w="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ID</w:t>
            </w:r>
          </w:p>
        </w:tc>
        <w:tc>
          <w:tcPr>
            <w:tcW w:type="dxa" w:w="40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Assumption</w:t>
            </w:r>
          </w:p>
        </w:tc>
        <w:tc>
          <w:tcPr>
            <w:tcW w:type="dxa" w:w="1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Impact if wrong</w:t>
            </w:r>
          </w:p>
        </w:tc>
        <w:tc>
          <w:tcPr>
            <w:tcW w:type="dxa" w:w="1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Owner</w:t>
            </w:r>
          </w:p>
        </w:tc>
        <w:tc>
          <w:tcPr>
            <w:tcW w:type="dxa" w:w="1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Vendor validation</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A1</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production is in Canada Central, zone-redundant where supported; no workloads in Canada East.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Copy and recovery design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Lead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A2</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front-end protected data (FETB) ~100 TB, growing ~25%/yr.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Licence and storage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Lead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A3</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AWS and GCP adoption assumed at 40 / 80 / 120 TB in Years 3–5 (planning scenario only).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Multi-cloud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Lead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A4</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~600 Azure DevOps / GitHub users; repositories hosted as SaaS and/or self-hosted.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DevOps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DevOps Lead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A5</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Native PITR for SQL DB/MI, PostgreSQL, MySQL and Cosmos DB stays enabled in every option; its cost is common and excluded.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Cost comparability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Database Lead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A6</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Commvault offsite copy uses AirGap Protect in a Canadian region; Rubrik uses Rubrik Cloud Vault in a Canadian region.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Residency compliance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Procurement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A7</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SaaS control planes (Commvault Cloud, Cloud Rewind, Rubrik Security Cloud) can keep metadata, telemetry and support access in Canada, or an in-country alternative exists.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Residency compliance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Compliance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A8</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Commvault Cloud Rewind covers the listed Azure resource types; pricing is per protected resource (indicative ~USD 60k per cloud per year).</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Functional fit and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Procurement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A9</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Indicative list prices at 1.37 CAD/USD; ROM accuracy −40% / +50%.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Final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Procurement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A10</w:t>
            </w:r>
          </w:p>
        </w:tc>
        <w:tc>
          <w:tcPr>
            <w:tcW w:type="dxa" w:w="4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Compute capacity in Canada East can be secured for recovery (for example, capacity reservations) if cross-region recovery is required.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Cross-region RTO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Lead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 (Microsoft)</w:t>
            </w:r>
          </w:p>
        </w:tc>
      </w:tr>
    </w:tbl>
    <w:p>
      <w:pPr>
        <w:pStyle w:val="Heading2"/>
      </w:pPr>
      <w:bookmarkStart w:id="909" w:name="_Toc1009"/>
      <w:r>
        <w:t xml:space="preserve">1.3   Use Cases In Scope</w:t>
      </w:r>
      <w:bookmarkEnd w:id="9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60"/>
        <w:gridCol w:w="2040"/>
        <w:gridCol w:w="2020"/>
        <w:gridCol w:w="2040"/>
      </w:tblGrid>
      <w:tr>
        <w:trPr>
          <w:cantSplit/>
          <w:tblHeader/>
        </w:trPr>
        <w:tc>
          <w:tcPr>
            <w:tcW w:type="dxa" w:w="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ID</w:t>
            </w:r>
          </w:p>
        </w:tc>
        <w:tc>
          <w:tcPr>
            <w:tcW w:type="dxa" w:w="25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Use case</w:t>
            </w:r>
          </w:p>
        </w:tc>
        <w:tc>
          <w:tcPr>
            <w:tcW w:type="dxa" w:w="204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 A: Commvault</w:t>
            </w:r>
          </w:p>
        </w:tc>
        <w:tc>
          <w:tcPr>
            <w:tcW w:type="dxa" w:w="202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 B: Rubrik</w:t>
            </w:r>
          </w:p>
        </w:tc>
        <w:tc>
          <w:tcPr>
            <w:tcW w:type="dxa" w:w="204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 C: Azure Backup</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UC-01</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VMs, scale sets, managed disks, SQL and Oracle on VMs</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Commvault (agentless + agents)</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Rubrik (agentless + agents)</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Backup (Oracle at VM level)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UC-02</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SQL DB / MI, PostgreSQL, MySQL, Cosmos DB</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Native PITR + Commvault copy (validate per service)</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Native PITR + Rubrik copy (validate per service)</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Native PITR/LTR; Azure Backup for PostgreSQL only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UC-03</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Blob / ADLS, Azure Files, AKS persistent volumes</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Commvault</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Rubrik (validate AKS)</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Backup (with conditions)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UC-04</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Key Vault, Logic Apps, Functions, Synapse, Data Factory, Automation, Log Analytics, AI Foundry</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Rewind where covered + IaC (validate)</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 + platform-native recovery</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 + platform-native recovery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UC-05</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Rebuild deleted resource group, VNet and dependent resources</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Rewind</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IaC-based rebuild</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IaC-based rebuild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UC-06</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DevOps and GitHub repositories and metadata</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Commvault</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Rubrik</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Specialist DevOps backup service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UC-07</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Additional offsite copy within Canada</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AirGap Protect (+ optional on-premises copy)</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Rubrik Cloud Vault (Canada to confirm)</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GRS replica in Canada East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UC-08</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Restore to alternate subscription or region in Canada</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Supported (validate per service)</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Supported (validate per service)</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CRR / CSR where supported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UC-09</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Ransomware or credential-compromise recovery</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Immutable AirGap + Cleanroom + Threat Scan</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Immutable vault + Threat Hunting</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Immutable vault + MUA</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UC-10</w:t>
            </w:r>
          </w:p>
        </w:tc>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AWS and GCP workload protection (future)</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Same platform</w:t>
            </w:r>
          </w:p>
        </w:tc>
        <w:tc>
          <w:tcPr>
            <w:tcW w:type="dxa" w:w="202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Same platform</w:t>
            </w:r>
          </w:p>
        </w:tc>
        <w:tc>
          <w:tcPr>
            <w:tcW w:type="dxa" w:w="20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Native tool per cloud</w:t>
            </w:r>
          </w:p>
        </w:tc>
      </w:tr>
    </w:tbl>
    <w:p>
      <w:pPr>
        <w:spacing w:after="160" w:before="60"/>
      </w:pPr>
      <w:r>
        <w:rPr>
          <w:b/>
          <w:bCs/>
          <w:i/>
          <w:iCs/>
          <w:color w:val="404040"/>
          <w:sz w:val="18"/>
          <w:szCs w:val="18"/>
        </w:rPr>
        <w:t xml:space="preserve">Out of scope:</w:t>
      </w:r>
      <w:r>
        <w:rPr>
          <w:i/>
          <w:iCs/>
          <w:color w:val="404040"/>
          <w:sz w:val="18"/>
          <w:szCs w:val="18"/>
        </w:rPr>
        <w:t xml:space="preserve"> re-evaluation of on-premises backup and Microsoft 365 backup (considered only for integration and operational consistency); endpoint protection; application high availability (for example, SQL failover groups); commercial negotiation outcomes.</w:t>
      </w:r>
    </w:p>
    <w:p>
      <w:pPr>
        <w:pStyle w:val="Heading2"/>
      </w:pPr>
      <w:bookmarkStart w:id="910" w:name="_Toc1010"/>
      <w:r>
        <w:t xml:space="preserve">1.4   Privileged Access as the Access Layer</w:t>
      </w:r>
      <w:bookmarkEnd w:id="910"/>
    </w:p>
    <w:p>
      <w:pPr>
        <w:spacing w:after="120" w:line="264"/>
      </w:pPr>
      <w:r>
        <w:t xml:space="preserve">All options sit behind one privileged-access layer. The offsite copy must not be deletable with the credentials that manage production subscriptions or the primary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Control</w:t>
            </w:r>
          </w:p>
        </w:tc>
        <w:tc>
          <w:tcPr>
            <w:tcW w:type="dxa" w:w="68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Requirement (all options)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Identity</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Entra ID SSO for every backup console; local accounts limited to vaulted break-glass.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MFA</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Phishing-resistant MFA (FIDO2 / Windows Hello for Business) via Conditional Access.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Just-in-time elevation</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Entra PIM for Azure roles; PAM checkout for backup console admin roles.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Separation of duties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Backup administrators cannot reduce retention or delete; restore and rebuild roles are separate from discovery roles.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Separation of the backup estate</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Backup vaults and storage in a dedicated backup subscription with its own Owner group; offsite copy custodian is a separate team.</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Multi-person approval</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Commvault Multi-Person Authorization, Rubrik Quorum Authorization or Azure Backup Multi-User Authorization (Resource Guard) for destructive actions.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Immutability</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Locked immutability on all backup storage (Commvault WORM / Compliance Lock, Rubrik Retention Lock, Azure Backup immutable vault in locked state).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Preventive guardrails</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Resource locks on critical resource groups and VNets; Azure Policy deny rules; Key Vault soft delete and purge protection.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Logging</w:t>
            </w:r>
          </w:p>
        </w:tc>
        <w:tc>
          <w:tcPr>
            <w:tcW w:type="dxa" w:w="6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All audit events to Microsoft Sentinel; alerts on retention changes, mass deletion, lock removal and break-glass use.</w:t>
            </w:r>
          </w:p>
        </w:tc>
      </w:tr>
    </w:tbl>
    <w:p>
      <w:pPr>
        <w:pStyle w:val="Heading1"/>
        <w:pageBreakBefore/>
      </w:pPr>
      <w:bookmarkStart w:id="911" w:name="_Toc1011"/>
      <w:r>
        <w:t xml:space="preserve">2   Decision Criteria</w:t>
      </w:r>
      <w:bookmarkEnd w:id="911"/>
    </w:p>
    <w:p>
      <w:pPr>
        <w:spacing w:after="120" w:line="264"/>
      </w:pPr>
      <w:r>
        <w:t xml:space="preserve">Commvault, Rubrik and Azure Backup are compared consistently against ten criteria. Each is scored 1–5 (5 = most favourable) in the decision matrix (2.6.6). The requirements below underpin the functional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cantSplit/>
          <w:tblHeader/>
        </w:trPr>
        <w:tc>
          <w:tcPr>
            <w:tcW w:type="dxa" w:w="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w:t>
            </w:r>
          </w:p>
        </w:tc>
        <w:tc>
          <w:tcPr>
            <w:tcW w:type="dxa" w:w="3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Evaluation criterion</w:t>
            </w:r>
          </w:p>
        </w:tc>
        <w:tc>
          <w:tcPr>
            <w:tcW w:type="dxa" w:w="56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What is assessed</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Multi-cloud readiness</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Support for AWS and GCP from the same platform, without re-platforming</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2</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Azure workload coverage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Coverage of the workload list in 1.1.1 and service-specific limitations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3</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Azure DevOps and GitHub protection</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Repositories and metadata, SaaS and self-hosted</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4</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Data residency</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Location of backup storage, replicas, metadata and supporting services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5</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In-region, cross-region and offsite copies</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Resilient copies and an isolated offsite copy within Canada</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6</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Recovery of infrastructure, SaaS and PaaS</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Resource group, VNet and environment rebuild; PaaS recovery</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7</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Security and ransomware resilience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Immutability, access controls, multi-person approval, threat detection</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8</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Retention, monitoring and operations</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Retention, RPO/RTO, reporting, policy and operational effort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9</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Integration and implementation complexity</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Dependencies, integration with existing estate, implementation effort</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10</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Cost, risks and overall suitability</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5-year ROM cost, key risks and fitness for enterprise adoption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260"/>
        <w:gridCol w:w="1400"/>
      </w:tblGrid>
      <w:tr>
        <w:trPr>
          <w:cantSplit/>
          <w:tblHeader/>
        </w:trPr>
        <w:tc>
          <w:tcPr>
            <w:tcW w:type="dxa" w:w="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ID</w:t>
            </w:r>
          </w:p>
        </w:tc>
        <w:tc>
          <w:tcPr>
            <w:tcW w:type="dxa" w:w="72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Requirement</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Priority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Production data, backup copies, replicas and metadata remain in Canada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Constraint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R2</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Resilient in-region backup plus an additional offsite copy in Canada; zone redundancy is not a substitute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R3</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Cross-region recovery to Canada East or another eligible Canadian location, subject to availability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R4</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Coverage of the Azure workloads listed in 1.1.1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R5</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Recovery or rebuild of deleted resource groups, VNets, infrastructure and dependent resources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R6</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Recovery of SaaS and PaaS workloads within service limits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R7</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Protection of Azure DevOps and GitHub repositories and metadata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R8</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Ransomware resilience: immutability, multi-person approval, isolation from production credentials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R9</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Point-in-time recovery, defined retention and regular recovery testing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Must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R10</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Support for AWS and GCP without re-platforming</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Should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R11</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Centralised management and reporting, consistent with the existing enterprise backup estate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Should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R12</w:t>
            </w:r>
          </w:p>
        </w:tc>
        <w:tc>
          <w:tcPr>
            <w:tcW w:type="dxa" w:w="7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Predictable, supportable cost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Should</w:t>
            </w:r>
          </w:p>
        </w:tc>
      </w:tr>
    </w:tbl>
    <w:p>
      <w:pPr>
        <w:pStyle w:val="Heading2"/>
      </w:pPr>
      <w:bookmarkStart w:id="912" w:name="_Toc1012"/>
      <w:r>
        <w:t xml:space="preserve">2.1   Alternatives to the Decision</w:t>
      </w:r>
      <w:bookmarkEnd w:id="912"/>
    </w:p>
    <w:p>
      <w:pPr>
        <w:keepNext/>
        <w:spacing w:after="40" w:before="120"/>
        <w:jc w:val="center"/>
      </w:pPr>
      <w:r>
        <w:drawing>
          <wp:inline distT="0" distB="0" distL="0" distR="0">
            <wp:extent cx="5943600" cy="3120390"/>
            <wp:effectExtent t="0" r="0" b="0" l="0"/>
            <wp:docPr id="1" name="options3.png" descr="options3.png" title="option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20390"/>
                    </a:xfrm>
                    <a:prstGeom prst="rect">
                      <a:avLst/>
                    </a:prstGeom>
                  </pic:spPr>
                </pic:pic>
              </a:graphicData>
            </a:graphic>
          </wp:inline>
        </w:drawing>
      </w:r>
    </w:p>
    <w:p>
      <w:pPr>
        <w:spacing w:after="200" w:before="60"/>
      </w:pPr>
      <w:r>
        <w:rPr>
          <w:i/>
          <w:iCs/>
          <w:color w:val="595959"/>
          <w:sz w:val="18"/>
          <w:szCs w:val="18"/>
        </w:rPr>
        <w:t xml:space="preserve">Figure 1: Options A, B and C at a glance. Editable source: Figure1_Options.drawio (open in draw.io / diagrams.net).</w:t>
      </w:r>
    </w:p>
    <w:p>
      <w:pPr>
        <w:pStyle w:val="Heading3"/>
      </w:pPr>
      <w:bookmarkStart w:id="913" w:name="_Toc1013"/>
      <w:r>
        <w:t xml:space="preserve">2.1.1   Option A: Commvault for Multi-Cloud Workloads</w:t>
      </w:r>
      <w:bookmarkEnd w:id="913"/>
    </w:p>
    <w:p>
      <w:pPr>
        <w:spacing w:after="120" w:line="264"/>
      </w:pPr>
      <w:r>
        <w:t xml:space="preserve">Commvault protects Azure workloads (and AWS and GCP when adopted) using access nodes in the Azure landing zone, with backups in customer immutable storage in Canada Central and an offsite copy in Commvault AirGap Protect in Canada. Cloud Rewind rebuilds deleted resources and configuration. Native PITR for PaaS databases is retained. This is the same platform already used for on-premises and Microsoft 365 backup, and it would replace the current Azure Backup protection over a transition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Pros</w:t>
            </w:r>
          </w:p>
        </w:tc>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Cons</w:t>
            </w:r>
          </w:p>
        </w:tc>
      </w:tr>
      <w:tr>
        <w:trPr>
          <w:cantSplit/>
        </w:trP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keepNext w:val="false"/>
              <w:numPr>
                <w:ilvl w:val="0"/>
                <w:numId w:val="3"/>
              </w:numPr>
              <w:spacing w:after="30"/>
            </w:pPr>
            <w:r>
              <w:rPr>
                <w:sz w:val="17"/>
                <w:szCs w:val="17"/>
              </w:rPr>
              <w:t xml:space="preserve">One platform, team and policy model across on-premises, Microsoft 365 and cloud.</w:t>
            </w:r>
          </w:p>
          <w:p>
            <w:pPr>
              <w:pStyle w:val="ListParagraph"/>
              <w:keepNext w:val="false"/>
              <w:numPr>
                <w:ilvl w:val="0"/>
                <w:numId w:val="3"/>
              </w:numPr>
              <w:spacing w:after="30"/>
            </w:pPr>
            <w:r>
              <w:rPr>
                <w:sz w:val="17"/>
                <w:szCs w:val="17"/>
              </w:rPr>
              <w:t xml:space="preserve">Cloud Rewind rebuilds deleted resource groups, VNets, compute and PaaS configuration, then restores data.</w:t>
            </w:r>
          </w:p>
          <w:p>
            <w:pPr>
              <w:pStyle w:val="ListParagraph"/>
              <w:keepNext w:val="false"/>
              <w:numPr>
                <w:ilvl w:val="0"/>
                <w:numId w:val="3"/>
              </w:numPr>
              <w:spacing w:after="30"/>
            </w:pPr>
            <w:r>
              <w:rPr>
                <w:sz w:val="17"/>
                <w:szCs w:val="17"/>
              </w:rPr>
              <w:t xml:space="preserve">Isolated, immutable offsite copy in a vendor-managed tenant; optional copy to on-premises Canadian data centres.</w:t>
            </w:r>
          </w:p>
          <w:p>
            <w:pPr>
              <w:pStyle w:val="ListParagraph"/>
              <w:keepNext w:val="false"/>
              <w:numPr>
                <w:ilvl w:val="0"/>
                <w:numId w:val="3"/>
              </w:numPr>
              <w:spacing w:after="30"/>
            </w:pPr>
            <w:r>
              <w:rPr>
                <w:sz w:val="17"/>
                <w:szCs w:val="17"/>
              </w:rPr>
              <w:t xml:space="preserve">Broad coverage of DevOps, databases and multi-cloud from one vendor.</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keepNext w:val="false"/>
              <w:numPr>
                <w:ilvl w:val="0"/>
                <w:numId w:val="3"/>
              </w:numPr>
              <w:spacing w:after="30"/>
            </w:pPr>
            <w:r>
              <w:rPr>
                <w:sz w:val="17"/>
                <w:szCs w:val="17"/>
              </w:rPr>
              <w:t xml:space="preserve">Replaces a working Azure Backup deployment; transition effort and a short period of dual retention.</w:t>
            </w:r>
          </w:p>
          <w:p>
            <w:pPr>
              <w:pStyle w:val="ListParagraph"/>
              <w:keepNext w:val="false"/>
              <w:numPr>
                <w:ilvl w:val="0"/>
                <w:numId w:val="3"/>
              </w:numPr>
              <w:spacing w:after="30"/>
            </w:pPr>
            <w:r>
              <w:rPr>
                <w:sz w:val="17"/>
                <w:szCs w:val="17"/>
              </w:rPr>
              <w:t xml:space="preserve">Higher cost than enhancing Azure Backup (~CAD 1.9M more over 5 years at ROM).</w:t>
            </w:r>
          </w:p>
          <w:p>
            <w:pPr>
              <w:pStyle w:val="ListParagraph"/>
              <w:keepNext w:val="false"/>
              <w:numPr>
                <w:ilvl w:val="0"/>
                <w:numId w:val="3"/>
              </w:numPr>
              <w:spacing w:after="30"/>
            </w:pPr>
            <w:r>
              <w:rPr>
                <w:sz w:val="17"/>
                <w:szCs w:val="17"/>
              </w:rPr>
              <w:t xml:space="preserve">Cloud Rewind: selected-resource recovery is same-region and same-resource-group; coverage of Logic Apps, Synapse, Data Factory, Key Vault and AI Foundry to confirm.</w:t>
            </w:r>
          </w:p>
          <w:p>
            <w:pPr>
              <w:pStyle w:val="ListParagraph"/>
              <w:keepNext w:val="false"/>
              <w:numPr>
                <w:ilvl w:val="0"/>
                <w:numId w:val="3"/>
              </w:numPr>
              <w:spacing w:after="30"/>
            </w:pPr>
            <w:r>
              <w:rPr>
                <w:sz w:val="17"/>
                <w:szCs w:val="17"/>
              </w:rPr>
              <w:t xml:space="preserve">Canadian hosting of Commvault Cloud and Cloud Rewind metadata to confirm.</w:t>
            </w:r>
          </w:p>
          <w:p>
            <w:pPr>
              <w:pStyle w:val="ListParagraph"/>
              <w:keepNext w:val="false"/>
              <w:numPr>
                <w:ilvl w:val="0"/>
                <w:numId w:val="3"/>
              </w:numPr>
              <w:spacing w:after="30"/>
            </w:pPr>
            <w:r>
              <w:rPr>
                <w:sz w:val="17"/>
                <w:szCs w:val="17"/>
              </w:rPr>
              <w:t xml:space="preserve">GitHub backup does not include issues, Actions or Projects (see 2.2.6).</w:t>
            </w:r>
          </w:p>
        </w:tc>
      </w:tr>
    </w:tbl>
    <w:p>
      <w:pPr>
        <w:pStyle w:val="Heading3"/>
      </w:pPr>
      <w:bookmarkStart w:id="914" w:name="_Toc1014"/>
      <w:r>
        <w:t xml:space="preserve">2.1.2   Option B: Rubrik for Multi-Cloud Workloads</w:t>
      </w:r>
      <w:bookmarkEnd w:id="914"/>
    </w:p>
    <w:p>
      <w:pPr>
        <w:spacing w:after="120" w:line="264"/>
      </w:pPr>
      <w:r>
        <w:t xml:space="preserve">Rubrik Security Cloud protects Azure workloads (and AWS and GCP later), with snapshots in the customer subscription and an offsite copy in Rubrik Cloud Vault. Deleted resource groups and networks are rebuilt from IaC. Commvault continues for on-premises and Microsoft 365, so the enterprise runs two backup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Pros</w:t>
            </w:r>
          </w:p>
        </w:tc>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Cons</w:t>
            </w:r>
          </w:p>
        </w:tc>
      </w:tr>
      <w:tr>
        <w:trPr>
          <w:cantSplit/>
        </w:trP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keepNext w:val="false"/>
              <w:numPr>
                <w:ilvl w:val="0"/>
                <w:numId w:val="3"/>
              </w:numPr>
              <w:spacing w:after="30"/>
            </w:pPr>
            <w:r>
              <w:rPr>
                <w:sz w:val="17"/>
                <w:szCs w:val="17"/>
              </w:rPr>
              <w:t xml:space="preserve">Strongest default security: always-on immutability, Quorum Authorization, Retention Lock, Threat Hunting.</w:t>
            </w:r>
          </w:p>
          <w:p>
            <w:pPr>
              <w:pStyle w:val="ListParagraph"/>
              <w:keepNext w:val="false"/>
              <w:numPr>
                <w:ilvl w:val="0"/>
                <w:numId w:val="3"/>
              </w:numPr>
              <w:spacing w:after="30"/>
            </w:pPr>
            <w:r>
              <w:rPr>
                <w:sz w:val="17"/>
                <w:szCs w:val="17"/>
              </w:rPr>
              <w:t xml:space="preserve">Good coverage of Azure VMs, SQL, Blob and Files; native AWS and GCP support.</w:t>
            </w:r>
          </w:p>
          <w:p>
            <w:pPr>
              <w:pStyle w:val="ListParagraph"/>
              <w:keepNext w:val="false"/>
              <w:numPr>
                <w:ilvl w:val="0"/>
                <w:numId w:val="3"/>
              </w:numPr>
              <w:spacing w:after="30"/>
            </w:pPr>
            <w:r>
              <w:rPr>
                <w:sz w:val="17"/>
                <w:szCs w:val="17"/>
              </w:rPr>
              <w:t xml:space="preserve">Azure DevOps protection (GA December 2025) with restore to another project, organisation or tenant.</w:t>
            </w:r>
          </w:p>
          <w:p>
            <w:pPr>
              <w:pStyle w:val="ListParagraph"/>
              <w:keepNext w:val="false"/>
              <w:numPr>
                <w:ilvl w:val="0"/>
                <w:numId w:val="3"/>
              </w:numPr>
              <w:spacing w:after="30"/>
            </w:pPr>
            <w:r>
              <w:rPr>
                <w:sz w:val="17"/>
                <w:szCs w:val="17"/>
              </w:rPr>
              <w:t xml:space="preserve">Simple SaaS operating model for the cloud tier.</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keepNext w:val="false"/>
              <w:numPr>
                <w:ilvl w:val="0"/>
                <w:numId w:val="3"/>
              </w:numPr>
              <w:spacing w:after="30"/>
            </w:pPr>
            <w:r>
              <w:rPr>
                <w:sz w:val="17"/>
                <w:szCs w:val="17"/>
              </w:rPr>
              <w:t xml:space="preserve">Second enterprise backup platform alongside Commvault: two consoles, policy models, skill sets and contracts.</w:t>
            </w:r>
          </w:p>
          <w:p>
            <w:pPr>
              <w:pStyle w:val="ListParagraph"/>
              <w:keepNext w:val="false"/>
              <w:numPr>
                <w:ilvl w:val="0"/>
                <w:numId w:val="3"/>
              </w:numPr>
              <w:spacing w:after="30"/>
            </w:pPr>
            <w:r>
              <w:rPr>
                <w:sz w:val="17"/>
                <w:szCs w:val="17"/>
              </w:rPr>
              <w:t xml:space="preserve">No documented resource and configuration rebuild; relies on IaC.</w:t>
            </w:r>
          </w:p>
          <w:p>
            <w:pPr>
              <w:pStyle w:val="ListParagraph"/>
              <w:keepNext w:val="false"/>
              <w:numPr>
                <w:ilvl w:val="0"/>
                <w:numId w:val="3"/>
              </w:numPr>
              <w:spacing w:after="30"/>
            </w:pPr>
            <w:r>
              <w:rPr>
                <w:sz w:val="17"/>
                <w:szCs w:val="17"/>
              </w:rPr>
              <w:t xml:space="preserve">Rubrik Security Cloud metadata residency and Cloud Vault Canadian region to confirm.</w:t>
            </w:r>
          </w:p>
          <w:p>
            <w:pPr>
              <w:pStyle w:val="ListParagraph"/>
              <w:keepNext w:val="false"/>
              <w:numPr>
                <w:ilvl w:val="0"/>
                <w:numId w:val="3"/>
              </w:numPr>
              <w:spacing w:after="30"/>
            </w:pPr>
            <w:r>
              <w:rPr>
                <w:sz w:val="17"/>
                <w:szCs w:val="17"/>
              </w:rPr>
              <w:t xml:space="preserve">Highest ROM cost (~CAD 5.5M) and ~1.0 FTE additional operations effort.</w:t>
            </w:r>
          </w:p>
          <w:p>
            <w:pPr>
              <w:pStyle w:val="ListParagraph"/>
              <w:keepNext w:val="false"/>
              <w:numPr>
                <w:ilvl w:val="0"/>
                <w:numId w:val="3"/>
              </w:numPr>
              <w:spacing w:after="30"/>
            </w:pPr>
            <w:r>
              <w:rPr>
                <w:sz w:val="17"/>
                <w:szCs w:val="17"/>
              </w:rPr>
              <w:t xml:space="preserve">GitHub protection is recent (announced March 2026); scope to confirm.</w:t>
            </w:r>
          </w:p>
        </w:tc>
      </w:tr>
    </w:tbl>
    <w:p>
      <w:pPr>
        <w:pStyle w:val="Heading3"/>
      </w:pPr>
      <w:bookmarkStart w:id="915" w:name="_Toc1015"/>
      <w:r>
        <w:t xml:space="preserve">2.1.3   Option C: Azure Backup for Azure Workloads</w:t>
      </w:r>
      <w:bookmarkEnd w:id="915"/>
    </w:p>
    <w:p>
      <w:pPr>
        <w:spacing w:after="120" w:line="264"/>
      </w:pPr>
      <w:r>
        <w:t xml:space="preserve">Azure Backup and Azure-native mechanisms continue as they run today, with targeted enhancements: lock immutability and enable Multi-User Authorization on all vaults, confirm GRS and Cross Region Restore where required, extend protection to supported workloads not yet covered, formalise IaC-based rebuild for platform resources, and add a specialist backup service for Azure DevOps and GitHub. AWS and GCP would use their own native backup services when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Pros</w:t>
            </w:r>
          </w:p>
        </w:tc>
        <w:tc>
          <w:tcPr>
            <w:tcW w:type="dxa" w:w="46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Cons</w:t>
            </w:r>
          </w:p>
        </w:tc>
      </w:tr>
      <w:tr>
        <w:trPr>
          <w:cantSplit/>
        </w:trPr>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keepNext w:val="false"/>
              <w:numPr>
                <w:ilvl w:val="0"/>
                <w:numId w:val="3"/>
              </w:numPr>
              <w:spacing w:after="30"/>
            </w:pPr>
            <w:r>
              <w:rPr>
                <w:sz w:val="17"/>
                <w:szCs w:val="17"/>
              </w:rPr>
              <w:t xml:space="preserve">Already deployed and running: no migration, lowest implementation effort and risk.</w:t>
            </w:r>
          </w:p>
          <w:p>
            <w:pPr>
              <w:pStyle w:val="ListParagraph"/>
              <w:keepNext w:val="false"/>
              <w:numPr>
                <w:ilvl w:val="0"/>
                <w:numId w:val="3"/>
              </w:numPr>
              <w:spacing w:after="30"/>
            </w:pPr>
            <w:r>
              <w:rPr>
                <w:sz w:val="17"/>
                <w:szCs w:val="17"/>
              </w:rPr>
              <w:t xml:space="preserve">Lowest ROM cost (~CAD 2.6M including enhancements).</w:t>
            </w:r>
          </w:p>
          <w:p>
            <w:pPr>
              <w:pStyle w:val="ListParagraph"/>
              <w:keepNext w:val="false"/>
              <w:numPr>
                <w:ilvl w:val="0"/>
                <w:numId w:val="3"/>
              </w:numPr>
              <w:spacing w:after="30"/>
            </w:pPr>
            <w:r>
              <w:rPr>
                <w:sz w:val="17"/>
                <w:szCs w:val="17"/>
              </w:rPr>
              <w:t xml:space="preserve">Fully Azure-native and Canadian-resident; no third-party data path for Azure.</w:t>
            </w:r>
          </w:p>
          <w:p>
            <w:pPr>
              <w:pStyle w:val="ListParagraph"/>
              <w:keepNext w:val="false"/>
              <w:numPr>
                <w:ilvl w:val="0"/>
                <w:numId w:val="3"/>
              </w:numPr>
              <w:spacing w:after="30"/>
            </w:pPr>
            <w:r>
              <w:rPr>
                <w:sz w:val="17"/>
                <w:szCs w:val="17"/>
              </w:rPr>
              <w:t xml:space="preserve">Strong for VMs, SQL Server on VMs, Azure Files and PostgreSQL; immutable vaults and MUA available.</w:t>
            </w:r>
          </w:p>
          <w:p>
            <w:pPr>
              <w:pStyle w:val="ListParagraph"/>
              <w:keepNext w:val="false"/>
              <w:numPr>
                <w:ilvl w:val="0"/>
                <w:numId w:val="3"/>
              </w:numPr>
              <w:spacing w:after="30"/>
            </w:pPr>
            <w:r>
              <w:rPr>
                <w:sz w:val="17"/>
                <w:szCs w:val="17"/>
              </w:rPr>
              <w:t xml:space="preserve">No new vendor for core Azure protection.</w:t>
            </w:r>
          </w:p>
        </w:tc>
        <w:tc>
          <w:tcPr>
            <w:tcW w:type="dxa" w:w="46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pStyle w:val="ListParagraph"/>
              <w:keepNext w:val="false"/>
              <w:numPr>
                <w:ilvl w:val="0"/>
                <w:numId w:val="3"/>
              </w:numPr>
              <w:spacing w:after="30"/>
            </w:pPr>
            <w:r>
              <w:rPr>
                <w:sz w:val="17"/>
                <w:szCs w:val="17"/>
              </w:rPr>
              <w:t xml:space="preserve">Protection is spread across Azure Backup, service-native backups and IaC, with separate policies per workload type.</w:t>
            </w:r>
          </w:p>
          <w:p>
            <w:pPr>
              <w:pStyle w:val="ListParagraph"/>
              <w:keepNext w:val="false"/>
              <w:numPr>
                <w:ilvl w:val="0"/>
                <w:numId w:val="3"/>
              </w:numPr>
              <w:spacing w:after="30"/>
            </w:pPr>
            <w:r>
              <w:rPr>
                <w:sz w:val="17"/>
                <w:szCs w:val="17"/>
              </w:rPr>
              <w:t xml:space="preserve">Offsite copy is a GRS replica administered in the same tenant (mitigated by Resource Guard and locked immutability).</w:t>
            </w:r>
          </w:p>
          <w:p>
            <w:pPr>
              <w:pStyle w:val="ListParagraph"/>
              <w:keepNext w:val="false"/>
              <w:numPr>
                <w:ilvl w:val="0"/>
                <w:numId w:val="3"/>
              </w:numPr>
              <w:spacing w:after="30"/>
            </w:pPr>
            <w:r>
              <w:rPr>
                <w:sz w:val="17"/>
                <w:szCs w:val="17"/>
              </w:rPr>
              <w:t xml:space="preserve">DevOps / GitHub needs a specialist backup service (a further vendor and console).</w:t>
            </w:r>
          </w:p>
          <w:p>
            <w:pPr>
              <w:pStyle w:val="ListParagraph"/>
              <w:keepNext w:val="false"/>
              <w:numPr>
                <w:ilvl w:val="0"/>
                <w:numId w:val="3"/>
              </w:numPr>
              <w:spacing w:after="30"/>
            </w:pPr>
            <w:r>
              <w:rPr>
                <w:sz w:val="17"/>
                <w:szCs w:val="17"/>
              </w:rPr>
              <w:t xml:space="preserve">No multi-cloud path: AWS and GCP would each add a native tool.</w:t>
            </w:r>
          </w:p>
          <w:p>
            <w:pPr>
              <w:pStyle w:val="ListParagraph"/>
              <w:keepNext w:val="false"/>
              <w:numPr>
                <w:ilvl w:val="0"/>
                <w:numId w:val="3"/>
              </w:numPr>
              <w:spacing w:after="30"/>
            </w:pPr>
            <w:r>
              <w:rPr>
                <w:sz w:val="17"/>
                <w:szCs w:val="17"/>
              </w:rPr>
              <w:t xml:space="preserve">Not integrated with the existing Commvault estate; separate reporting and runbooks.</w:t>
            </w:r>
          </w:p>
        </w:tc>
      </w:tr>
    </w:tbl>
    <w:p>
      <w:pPr>
        <w:pStyle w:val="Heading3"/>
      </w:pPr>
      <w:bookmarkStart w:id="916" w:name="_Toc1016"/>
      <w:r>
        <w:t xml:space="preserve">2.1.4   Summary Comparison</w:t>
      </w:r>
      <w:bookmarkEnd w:id="9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cantSplit/>
          <w:tblHeader/>
        </w:trPr>
        <w:tc>
          <w:tcPr>
            <w:tcW w:type="dxa" w:w="2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Dimension</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A: Commvault</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B: Rubrik</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C: Azure Backup</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Multi-cloud (AWS / GCP)</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Same platform</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Same platform</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pPr>
            <w:r>
              <w:rPr>
                <w:b w:val="false"/>
                <w:bCs w:val="false"/>
                <w:sz w:val="17"/>
                <w:szCs w:val="17"/>
              </w:rPr>
              <w:t xml:space="preserve">Native service per cloud</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Resource and configuration rebuild</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Cloud Rewind</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pPr>
            <w:r>
              <w:rPr>
                <w:b w:val="false"/>
                <w:bCs w:val="false"/>
                <w:sz w:val="17"/>
                <w:szCs w:val="17"/>
              </w:rPr>
              <w:t xml:space="preserve">IaC-based rebuild</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pPr>
            <w:r>
              <w:rPr>
                <w:b w:val="false"/>
                <w:bCs w:val="false"/>
                <w:sz w:val="17"/>
                <w:szCs w:val="17"/>
              </w:rPr>
              <w:t xml:space="preserve">IaC-based rebuild</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DevOps / GitHub</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Commvault</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Rubrik</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pPr>
            <w:r>
              <w:rPr>
                <w:b w:val="false"/>
                <w:bCs w:val="false"/>
                <w:sz w:val="17"/>
                <w:szCs w:val="17"/>
              </w:rPr>
              <w:t xml:space="preserve">Specialist backup service</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Offsite copy in Canada</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Isolated vendor vault + optional on-premises</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Isolated vendor vault</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pPr>
            <w:r>
              <w:rPr>
                <w:b w:val="false"/>
                <w:bCs w:val="false"/>
                <w:sz w:val="17"/>
                <w:szCs w:val="17"/>
              </w:rPr>
              <w:t xml:space="preserve">GRS replica, same tenant</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Data residency</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Strong (confirm SaaS metadata)</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pPr>
            <w:r>
              <w:rPr>
                <w:b w:val="false"/>
                <w:bCs w:val="false"/>
                <w:sz w:val="17"/>
                <w:szCs w:val="17"/>
              </w:rPr>
              <w:t xml:space="preserve">Conditional (confirm RSC metadata)</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Strong (Azure-native)</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Relationship to existing estate</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Commvault (existing vendor)</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spacing w:after="20"/>
            </w:pPr>
            <w:r>
              <w:rPr>
                <w:b w:val="false"/>
                <w:bCs w:val="false"/>
                <w:sz w:val="17"/>
                <w:szCs w:val="17"/>
              </w:rPr>
              <w:t xml:space="preserve">Second vendor</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spacing w:after="20"/>
            </w:pPr>
            <w:r>
              <w:rPr>
                <w:b w:val="false"/>
                <w:bCs w:val="false"/>
                <w:sz w:val="17"/>
                <w:szCs w:val="17"/>
              </w:rPr>
              <w:t xml:space="preserve">Azure-native (already running)</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5-year ROM cost (CAD)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$4.58M ($2.75M–$6.87M)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$5.49M ($3.29M–$8.23M)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$2.64M ($1.58M–$3.96M)</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Implementation effort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~154 person-days; 4–6 months (incl. transition)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~250 person-days; 6–9 months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~93 person-days; 2–4 months (enhancements only)</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Decision matrix score (2.6.6)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4.1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3.4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val="false"/>
                <w:bCs w:val="false"/>
                <w:sz w:val="17"/>
                <w:szCs w:val="17"/>
              </w:rPr>
              <w:t xml:space="preserve">3.3</w:t>
            </w:r>
          </w:p>
        </w:tc>
      </w:tr>
      <w:tr>
        <w:trPr>
          <w:cantSplit/>
        </w:trPr>
        <w:tc>
          <w:tcPr>
            <w:tcW w:type="dxa" w:w="21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b/>
                <w:bCs/>
                <w:sz w:val="17"/>
                <w:szCs w:val="17"/>
              </w:rPr>
              <w:t xml:space="preserve">Overall</w:t>
            </w:r>
          </w:p>
        </w:tc>
        <w:tc>
          <w:tcPr>
            <w:tcW w:type="dxa" w:w="2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b/>
                <w:bCs/>
                <w:sz w:val="17"/>
                <w:szCs w:val="17"/>
              </w:rPr>
              <w:t xml:space="preserve">Recommended</w:t>
            </w:r>
          </w:p>
        </w:tc>
        <w:tc>
          <w:tcPr>
            <w:tcW w:type="dxa" w:w="2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b/>
                <w:bCs/>
                <w:sz w:val="17"/>
                <w:szCs w:val="17"/>
              </w:rPr>
              <w:t xml:space="preserve">Not recommended</w:t>
            </w:r>
          </w:p>
        </w:tc>
        <w:tc>
          <w:tcPr>
            <w:tcW w:type="dxa" w:w="2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b/>
                <w:bCs/>
                <w:sz w:val="17"/>
                <w:szCs w:val="17"/>
              </w:rPr>
              <w:t xml:space="preserve">Credible lower-cost alternative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582873" w:sz="24"/>
              <w:bottom w:val="single" w:color="BFBFBF" w:sz="4"/>
              <w:right w:val="single" w:color="BFBFBF" w:sz="4"/>
            </w:tcBorders>
            <w:shd w:fill="F3EAF7" w:color="auto" w:val="clear"/>
            <w:tcMar>
              <w:top w:type="dxa" w:w="120"/>
              <w:left w:type="dxa" w:w="180"/>
              <w:bottom w:type="dxa" w:w="120"/>
              <w:right w:type="dxa" w:w="180"/>
            </w:tcMar>
          </w:tcPr>
          <w:p>
            <w:pPr>
              <w:spacing w:after="100"/>
            </w:pPr>
            <w:r>
              <w:rPr>
                <w:b/>
                <w:bCs/>
                <w:color w:val="582873"/>
                <w:sz w:val="22"/>
                <w:szCs w:val="22"/>
              </w:rPr>
              <w:t xml:space="preserve">What “IaC-based rebuild” means for Options B and C</w:t>
            </w:r>
          </w:p>
          <w:p>
            <w:pPr>
              <w:spacing w:after="100" w:line="260"/>
            </w:pPr>
            <w:r>
              <w:t xml:space="preserve">Backup products protect </w:t>
            </w:r>
            <w:r>
              <w:rPr>
                <w:b/>
                <w:bCs/>
              </w:rPr>
              <w:t xml:space="preserve">data</w:t>
            </w:r>
            <w:r>
              <w:t xml:space="preserve"> (disks, databases, files). Rebuilding a deleted resource group or VNet also needs the </w:t>
            </w:r>
            <w:r>
              <w:rPr>
                <w:b/>
                <w:bCs/>
              </w:rPr>
              <w:t xml:space="preserve">resource definitions</w:t>
            </w:r>
            <w:r>
              <w:t xml:space="preserve">: names, address spaces, subnets, NSG rules, private endpoints, settings and dependencies. Commvault provides this with Cloud Rewind. Rubrik and Azure Backup do not, so Options B and C use Infrastructure as Code.</w:t>
            </w:r>
          </w:p>
          <w:p>
            <w:pPr>
              <w:spacing w:after="100" w:line="260"/>
            </w:pPr>
            <w:r>
              <w:t xml:space="preserve">This is </w:t>
            </w:r>
            <w:r>
              <w:rPr>
                <w:b/>
                <w:bCs/>
              </w:rPr>
              <w:t xml:space="preserve">one capability, not two separate tools</w:t>
            </w:r>
            <w:r>
              <w:t xml:space="preserve">: the platform team keeps Bicep or Terraform definitions in Git (protected by the DevOps backup) and redeploys them through a pipeline, then restores data with the backup product. Where IaC coverage is incomplete, current configuration can be captured with Microsoft’s free export tooling (for example, Azure Export for Terraform). A commercial configuration-backup product is optional and is not included in the base cost (see 2.5).</w:t>
            </w:r>
          </w:p>
          <w:p>
            <w:pPr>
              <w:spacing w:after="100" w:line="260"/>
            </w:pPr>
            <w:r>
              <w:t xml:space="preserve">IaC is good practice in every option, including Option A; the difference is that in Options B and C it is the </w:t>
            </w:r>
            <w:r>
              <w:rPr>
                <w:b/>
                <w:bCs/>
              </w:rPr>
              <w:t xml:space="preserve">only</w:t>
            </w:r>
            <w:r>
              <w:t xml:space="preserve"> rebuild path, so its completeness and testing become critical.</w:t>
            </w:r>
          </w:p>
        </w:tc>
      </w:tr>
    </w:tbl>
    <w:p>
      <w:pPr>
        <w:pStyle w:val="Heading2"/>
      </w:pPr>
      <w:bookmarkStart w:id="917" w:name="_Toc1017"/>
      <w:r>
        <w:t xml:space="preserve">2.2   Management Comparison: Commvault, Rubrik and Azure Backup</w:t>
      </w:r>
      <w:bookmarkEnd w:id="917"/>
    </w:p>
    <w:p>
      <w:pPr>
        <w:pStyle w:val="Heading3"/>
      </w:pPr>
      <w:bookmarkStart w:id="918" w:name="_Toc1018"/>
      <w:r>
        <w:t xml:space="preserve">2.2.1   Features and Limitations</w:t>
      </w:r>
      <w:bookmarkEnd w:id="918"/>
    </w:p>
    <w:p>
      <w:pPr>
        <w:spacing w:after="120" w:line="264"/>
      </w:pPr>
      <w:r>
        <w:t xml:space="preserve">Third-party capabilities are based on vendor documentation and must be confirmed in the PoC where marked "validate". Colour key: green = supported; blue = platform-native mechanism; amber = supported with conditions or to validate; orange = add-on needed; grey = outside the product’s scope or not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90"/>
        <w:gridCol w:w="2180"/>
        <w:gridCol w:w="2190"/>
      </w:tblGrid>
      <w:tr>
        <w:trPr>
          <w:cantSplit/>
          <w:tblHeader/>
        </w:trPr>
        <w:tc>
          <w:tcPr>
            <w:tcW w:type="dxa" w:w="2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Workload / capability</w:t>
            </w:r>
          </w:p>
        </w:tc>
        <w:tc>
          <w:tcPr>
            <w:tcW w:type="dxa" w:w="219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Commvault</w:t>
            </w:r>
          </w:p>
        </w:tc>
        <w:tc>
          <w:tcPr>
            <w:tcW w:type="dxa" w:w="21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Rubrik</w:t>
            </w:r>
          </w:p>
        </w:tc>
        <w:tc>
          <w:tcPr>
            <w:tcW w:type="dxa" w:w="219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Azure Backup / native</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6"/>
                <w:szCs w:val="16"/>
              </w:rPr>
              <w:t xml:space="preserve">Compute and infrastructure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Windows / Linux VMs</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Native (VM backup, CRR with GRS)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VM Scale Sets</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(VM-level; validate)</w:t>
            </w:r>
          </w:p>
        </w:tc>
        <w:tc>
          <w:tcPr>
            <w:tcW w:type="dxa" w:w="218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Validate</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(Flexible only)</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Standalone managed disks</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(snapshot tier only)</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Oracle on VMs (RMAN)</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(agent)</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(agent; validate in Azure)</w:t>
            </w:r>
          </w:p>
        </w:tc>
        <w:tc>
          <w:tcPr>
            <w:tcW w:type="dxa" w:w="2190"/>
            <w:tcBorders>
              <w:top w:val="single" w:color="BFBFBF" w:sz="4"/>
              <w:left w:val="single" w:color="BFBFBF" w:sz="4"/>
              <w:bottom w:val="single" w:color="BFBFBF" w:sz="4"/>
              <w:right w:val="single" w:color="BFBFBF" w:sz="4"/>
            </w:tcBorders>
            <w:shd w:fill="FCE4D6" w:color="auto" w:val="clear"/>
            <w:tcMar>
              <w:top w:type="dxa" w:w="50"/>
              <w:left w:type="dxa" w:w="90"/>
              <w:bottom w:type="dxa" w:w="50"/>
              <w:right w:type="dxa" w:w="90"/>
            </w:tcMar>
            <w:vAlign w:val="top"/>
          </w:tcPr>
          <w:p>
            <w:pPr>
              <w:keepNext w:val="false"/>
              <w:spacing w:after="20"/>
            </w:pPr>
            <w:r>
              <w:rPr>
                <w:b w:val="false"/>
                <w:bCs w:val="false"/>
                <w:sz w:val="16"/>
                <w:szCs w:val="16"/>
              </w:rPr>
              <w:t xml:space="preserve">Add-on (RMAN scripts)</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6"/>
                <w:szCs w:val="16"/>
              </w:rPr>
              <w:t xml:space="preserve">Databases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SQL Server on VMs</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(agent)</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(agent)</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Native (15-min log backup)</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Azure SQL DB / SQL MI</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(validate)</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Platform-native: PITR / LTR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PostgreSQL / MySQL Flexible</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(validate)</w:t>
            </w:r>
          </w:p>
        </w:tc>
        <w:tc>
          <w:tcPr>
            <w:tcW w:type="dxa" w:w="218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Validate</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(PostgreSQL vaulted ≤ 1 TB; MySQL native only)</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Cosmos DB</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(validate APIs)</w:t>
            </w:r>
          </w:p>
        </w:tc>
        <w:tc>
          <w:tcPr>
            <w:tcW w:type="dxa" w:w="218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Validate</w:t>
            </w:r>
          </w:p>
        </w:tc>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Platform-native: continuous / periodic</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6"/>
                <w:szCs w:val="16"/>
              </w:rPr>
              <w:t xml:space="preserve">Storage and containers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Blob / ADLS Gen2</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(all tiers)</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with conditions (vaulted incl. ADLS Gen2; no Archive tier; CRR not yet available)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Azure Files</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Native (snapshot + vaulted)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AKS persistent volumes</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(Kubernetes)</w:t>
            </w:r>
          </w:p>
        </w:tc>
        <w:tc>
          <w:tcPr>
            <w:tcW w:type="dxa" w:w="218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Validate</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(Azure Disk CSI only)</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6"/>
                <w:szCs w:val="16"/>
              </w:rPr>
              <w:t xml:space="preserve">Security, integration and platform</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Key Vault</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Validate</w:t>
            </w:r>
          </w:p>
        </w:tc>
        <w:tc>
          <w:tcPr>
            <w:tcW w:type="dxa" w:w="21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Not documented</w:t>
            </w:r>
          </w:p>
        </w:tc>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Platform-native: soft delete; per-object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Logic Apps / Functions</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Function Apps via Cloud Rewind; Logic Apps validate</w:t>
            </w:r>
          </w:p>
        </w:tc>
        <w:tc>
          <w:tcPr>
            <w:tcW w:type="dxa" w:w="21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Not documented</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(Functions on dedicated plans)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Synapse / Data Factory</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Validate (Cloud Rewind roadmap)</w:t>
            </w:r>
          </w:p>
        </w:tc>
        <w:tc>
          <w:tcPr>
            <w:tcW w:type="dxa" w:w="218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(data only)</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(SQL pool restore points; Git)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Automation / Log Analytics / AI Foundry</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Validate</w:t>
            </w:r>
          </w:p>
        </w:tc>
        <w:tc>
          <w:tcPr>
            <w:tcW w:type="dxa" w:w="21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Not documented</w:t>
            </w:r>
          </w:p>
        </w:tc>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Platform-native (soft delete) / IaC</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Resource group / VNet / NSG / private endpoint rebuild</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(Cloud Rewind; same region and RG for selected resources)</w:t>
            </w:r>
          </w:p>
        </w:tc>
        <w:tc>
          <w:tcPr>
            <w:tcW w:type="dxa" w:w="21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Outside scope: IaC-based rebuild</w:t>
            </w:r>
          </w:p>
        </w:tc>
        <w:tc>
          <w:tcPr>
            <w:tcW w:type="dxa" w:w="219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Outside scope: IaC-based rebuild</w:t>
            </w:r>
          </w:p>
        </w:tc>
      </w:tr>
      <w:tr>
        <w:trPr>
          <w:cantSplit/>
        </w:trPr>
        <w:tc>
          <w:tcPr>
            <w:tcW w:type="dxa" w:w="9360"/>
            <w:gridSpan w:val="4"/>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sz w:val="16"/>
                <w:szCs w:val="16"/>
              </w:rPr>
              <w:t xml:space="preserve">DevOps, copies and multi-cloud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Azure DevOps / GitHub (hosted)</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(some objects excluded; see 2.2.6)</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(Azure DevOps GA; GitHub new; see 2.2.6)</w:t>
            </w:r>
          </w:p>
        </w:tc>
        <w:tc>
          <w:tcPr>
            <w:tcW w:type="dxa" w:w="219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Outside scope: specialist service (see 2.2.6)</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Offsite copy in Canada</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(AirGap Protect; on-premises)</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(Cloud Vault; region to confirm)</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(GRS replica, same domain)</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Cross-region / alternate-location restore</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(validate per service)</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 (validate per service)</w:t>
            </w:r>
          </w:p>
        </w:tc>
        <w:tc>
          <w:tcPr>
            <w:tcW w:type="dxa" w:w="219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(CRR where supported)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AWS / GCP</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8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Supported</w:t>
            </w:r>
          </w:p>
        </w:tc>
        <w:tc>
          <w:tcPr>
            <w:tcW w:type="dxa" w:w="219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Outside scope: native service per cloud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Single console with on-premises and M365</w:t>
            </w:r>
          </w:p>
        </w:tc>
        <w:tc>
          <w:tcPr>
            <w:tcW w:type="dxa" w:w="219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Yes (existing Commvault)</w:t>
            </w:r>
          </w:p>
        </w:tc>
        <w:tc>
          <w:tcPr>
            <w:tcW w:type="dxa" w:w="21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keepNext w:val="false"/>
              <w:spacing w:after="20"/>
            </w:pPr>
            <w:r>
              <w:rPr>
                <w:b w:val="false"/>
                <w:bCs w:val="false"/>
                <w:sz w:val="16"/>
                <w:szCs w:val="16"/>
              </w:rPr>
              <w:t xml:space="preserve">No (second platform)</w:t>
            </w:r>
          </w:p>
        </w:tc>
        <w:tc>
          <w:tcPr>
            <w:tcW w:type="dxa" w:w="219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bl>
    <w:p>
      <w:pPr>
        <w:pStyle w:val="Heading3"/>
      </w:pPr>
      <w:bookmarkStart w:id="919" w:name="_Toc1019"/>
      <w:r>
        <w:t xml:space="preserve">2.2.2   Commvault as the Common Management Plane</w:t>
      </w:r>
      <w:bookmarkEnd w:id="919"/>
    </w:p>
    <w:p>
      <w:pPr>
        <w:pStyle w:val="ListParagraph"/>
        <w:numPr>
          <w:ilvl w:val="0"/>
          <w:numId w:val="2"/>
        </w:numPr>
        <w:spacing w:after="60" w:line="252"/>
      </w:pPr>
      <w:r>
        <w:rPr>
          <w:b/>
          <w:bCs/>
        </w:rPr>
        <w:t xml:space="preserve">One estate:</w:t>
      </w:r>
      <w:r>
        <w:t xml:space="preserve"> cloud workloads join the Commvault platform already used for on-premises and Microsoft 365, with the same team, runbooks, reporting and support contract.</w:t>
      </w:r>
    </w:p>
    <w:p>
      <w:pPr>
        <w:pStyle w:val="ListParagraph"/>
        <w:numPr>
          <w:ilvl w:val="0"/>
          <w:numId w:val="2"/>
        </w:numPr>
        <w:spacing w:after="60" w:line="252"/>
      </w:pPr>
      <w:r>
        <w:rPr>
          <w:b/>
          <w:bCs/>
        </w:rPr>
        <w:t xml:space="preserve">One policy model:</w:t>
      </w:r>
      <w:r>
        <w:t xml:space="preserve"> plans define primary, offsite and optional on-premises copies once for every workload.</w:t>
      </w:r>
    </w:p>
    <w:p>
      <w:pPr>
        <w:pStyle w:val="ListParagraph"/>
        <w:numPr>
          <w:ilvl w:val="0"/>
          <w:numId w:val="2"/>
        </w:numPr>
        <w:spacing w:after="60" w:line="252"/>
      </w:pPr>
      <w:r>
        <w:rPr>
          <w:b/>
          <w:bCs/>
        </w:rPr>
        <w:t xml:space="preserve">Data and configuration together:</w:t>
      </w:r>
      <w:r>
        <w:t xml:space="preserve"> Cloud Rewind rebuilds the environment (resource group, VNet, compute, PaaS) and Commvault restores the data into it.</w:t>
      </w:r>
    </w:p>
    <w:p>
      <w:pPr>
        <w:pStyle w:val="ListParagraph"/>
        <w:numPr>
          <w:ilvl w:val="0"/>
          <w:numId w:val="2"/>
        </w:numPr>
        <w:spacing w:after="60" w:line="252"/>
      </w:pPr>
      <w:r>
        <w:rPr>
          <w:b/>
          <w:bCs/>
        </w:rPr>
        <w:t xml:space="preserve">One immutability and approval scheme:</w:t>
      </w:r>
      <w:r>
        <w:t xml:space="preserve"> Compliance Lock / WORM storage and Multi-Person Authorization across all tiers.</w:t>
      </w:r>
    </w:p>
    <w:p>
      <w:pPr>
        <w:pStyle w:val="ListParagraph"/>
        <w:numPr>
          <w:ilvl w:val="0"/>
          <w:numId w:val="2"/>
        </w:numPr>
        <w:spacing w:after="60" w:line="252"/>
      </w:pPr>
      <w:r>
        <w:rPr>
          <w:b/>
          <w:bCs/>
        </w:rPr>
        <w:t xml:space="preserve">Residency option:</w:t>
      </w:r>
      <w:r>
        <w:t xml:space="preserve"> the existing self-hosted CommServe in Canada can manage cloud workloads, keeping core backup metadata in-country if SaaS hosting cannot be confirmed.</w:t>
      </w:r>
    </w:p>
    <w:p>
      <w:pPr>
        <w:pStyle w:val="Heading3"/>
      </w:pPr>
      <w:bookmarkStart w:id="920" w:name="_Toc1020"/>
      <w:r>
        <w:t xml:space="preserve">2.2.3   Day 2 Operations, Side by Side</w:t>
      </w:r>
      <w:bookmarkEnd w:id="9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cantSplit/>
          <w:tblHeader/>
        </w:trPr>
        <w:tc>
          <w:tcPr>
            <w:tcW w:type="dxa" w:w="2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Activity</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A: Commvault</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B: Rubrik</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C: Azure Backup</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Policy management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One plan set across on-premises, M365 and cloud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Rubrik SLA Domains + Commvault plans + configuration tool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Existing per-workload vault policies + DevOps service + IaC</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Monitoring and reporting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Commvault Command Center (existing)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Rubrik console + Commvault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Business Continuity Center (existing) + DevOps service console</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Resource / configuration recovery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Same console (Cloud Rewind)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IaC pipeline (platform team)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IaC pipeline (platform team)</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Immutability and lock audits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One scheme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Two schemes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Per-vault settings + tool settings</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Recovery testing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One exercise with existing team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Two coordinated exercises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Per-service tests (existing runbooks)</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Licence management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Existing agreement extended</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New agreement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Existing Azure consumption + DevOps service contract</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Indicative incremental staffing</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+0.3 FTE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+1.0 FTE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+0.2 FTE (existing team), +0.7 FTE with multi-cloud</w:t>
            </w:r>
          </w:p>
        </w:tc>
      </w:tr>
    </w:tbl>
    <w:p>
      <w:pPr>
        <w:pStyle w:val="Heading3"/>
      </w:pPr>
      <w:bookmarkStart w:id="921" w:name="_Toc1021"/>
      <w:r>
        <w:t xml:space="preserve">2.2.4   Data Residency and Backup Copy Locations</w:t>
      </w:r>
      <w:bookmarkEnd w:id="9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cantSplit/>
          <w:tblHeader/>
        </w:trPr>
        <w:tc>
          <w:tcPr>
            <w:tcW w:type="dxa" w:w="2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Item</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 A: Commvault</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 B: Rubrik</w:t>
            </w:r>
          </w:p>
        </w:tc>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 C: Azure Backup</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Primary backup copy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Customer immutable Blob, Canada Central (backup subscription)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Snapshots in customer subscription, Canada Central</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Recovery Services / Backup vault, Canada Central</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Regional / offsite copy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AirGap Protect in a Canadian region (vendor tenant); optional copy to on-premises Canadian DCs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Rubrik Cloud Vault in a Canadian region (to confirm)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GRS replica in Canada East (paired region)</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Logical isolation of offsite copy</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Yes: separate vendor-managed tenant</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Yes: separate vendor-managed tenant</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Partial: same tenant; immutable vault + MUA</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Backup metadata / control plane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Self-hosted CommServe in Canada and/or Commvault Cloud (Canadian region to confirm)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Rubrik Security Cloud SaaS (location to confirm; Sovereign option)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Vault metadata in vault region</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Supporting services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Access nodes in Canada Central; Cloud Rewind SaaS (residency to confirm)</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Exocompute in Canada Central; RSC SaaS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Business Continuity Center (global view; validate data handling)</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Dependency on Canada East capacity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Storage only; recovery can target Canada Central, Canada East or on-premises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Storage only; recovery to Canada Central or Canada East</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CRR into Canada East needs compute capacity at recovery time</w:t>
            </w:r>
          </w:p>
        </w:tc>
      </w:tr>
      <w:tr>
        <w:trPr>
          <w:cantSplit/>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Residency rating</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Strong (conditional on SaaS confirmation)</w:t>
            </w:r>
          </w:p>
        </w:tc>
        <w:tc>
          <w:tcPr>
            <w:tcW w:type="dxa" w:w="2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6"/>
                <w:szCs w:val="16"/>
              </w:rPr>
              <w:t xml:space="preserve">Conditional</w:t>
            </w:r>
          </w:p>
        </w:tc>
        <w:tc>
          <w:tcPr>
            <w:tcW w:type="dxa" w:w="2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6"/>
                <w:szCs w:val="16"/>
              </w:rPr>
              <w:t xml:space="preserve">Strong</w:t>
            </w:r>
          </w:p>
        </w:tc>
      </w:tr>
    </w:tbl>
    <w:p>
      <w:pPr>
        <w:pStyle w:val="Heading3"/>
      </w:pPr>
      <w:bookmarkStart w:id="922" w:name="_Toc1022"/>
      <w:r>
        <w:t xml:space="preserve">2.2.5   Recovery Capabilities and Scenarios</w:t>
      </w:r>
      <w:bookmarkEnd w:id="922"/>
    </w:p>
    <w:p>
      <w:pPr>
        <w:spacing w:after="120" w:line="264"/>
      </w:pPr>
      <w:r>
        <w:t xml:space="preserve">Each scenario is classified as </w:t>
      </w:r>
      <w:r>
        <w:rPr>
          <w:b/>
          <w:bCs/>
        </w:rPr>
        <w:t xml:space="preserve">Native</w:t>
      </w:r>
      <w:r>
        <w:t xml:space="preserve"> (supported out of the box), </w:t>
      </w:r>
      <w:r>
        <w:rPr>
          <w:b/>
          <w:bCs/>
        </w:rPr>
        <w:t xml:space="preserve">Config</w:t>
      </w:r>
      <w:r>
        <w:t xml:space="preserve"> (needs additional configuration or Azure services), </w:t>
      </w:r>
      <w:r>
        <w:rPr>
          <w:b/>
          <w:bCs/>
        </w:rPr>
        <w:t xml:space="preserve">Add-on</w:t>
      </w:r>
      <w:r>
        <w:t xml:space="preserve"> (depends on a third-party or separate tool), or </w:t>
      </w:r>
      <w:r>
        <w:rPr>
          <w:b/>
          <w:bCs/>
        </w:rPr>
        <w:t xml:space="preserve">Limited</w:t>
      </w:r>
      <w:r>
        <w:t xml:space="preserve"> (subject to material limitations). Where full recovery is not possible, the rebuild approach is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cantSplit/>
          <w:tblHeader/>
        </w:trPr>
        <w:tc>
          <w:tcPr>
            <w:tcW w:type="dxa" w:w="21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Recovery scenario</w:t>
            </w:r>
          </w:p>
        </w:tc>
        <w:tc>
          <w:tcPr>
            <w:tcW w:type="dxa" w:w="242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Option A: Commvault</w:t>
            </w:r>
          </w:p>
        </w:tc>
        <w:tc>
          <w:tcPr>
            <w:tcW w:type="dxa" w:w="242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Option B: Rubrik</w:t>
            </w:r>
          </w:p>
        </w:tc>
        <w:tc>
          <w:tcPr>
            <w:tcW w:type="dxa" w:w="242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Option C: Azure Backup</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Deleted resource group and its resources</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Cloud Rewind rebuilds the group, configuration and dependencies, then data is restored (selected resources: same region and RG)</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IaC rebuilds the group; Rubrik restores data</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IaC rebuilds the group, then data is restored from each vault</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Deleted or corrupted VM, disk, infrastructure</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full VM, disk or file restore, in-place or out-of-place</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full VM, disk or file restore</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for VMs; Config for disks (snapshot tier in same subscription)</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VNets, network configuration, dependent resources</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Cloud Rewind rebuilds VNets, subnets, NSGs, private endpoints and DNS (validate scope)</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IaC-based rebuild</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IaC-based rebuild</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SaaS and PaaS workloads</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native PITR plus Commvault copy; Cloud Rewind for app configuration (validate per service)</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native PITR plus Rubrik copy where supported; IaC for configuration</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service-specific PITR (7–35 days), LTR for SQL; restore to new resource; configuration via IaC</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Databases, storage, AKS persistent volumes</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for SQL, Oracle, Blob, Files, AKS; Config for PaaS databases (validate)</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for SQL, Blob, Files; Config for AKS and PaaS databases (validate)</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for SQL on VMs and Files; Limited for PostgreSQL (≤ 1 TB, restore to files), MySQL (native only), AKS (Azure Disk CSI)</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DevOps and GitHub repositories</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repos, PRs, LFS; metadata gaps via exports</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Azure DevOps protection; GitHub new (validate scope)</w:t>
            </w:r>
          </w:p>
        </w:tc>
        <w:tc>
          <w:tcPr>
            <w:tcW w:type="dxa" w:w="2420"/>
            <w:tcBorders>
              <w:top w:val="single" w:color="BFBFBF" w:sz="4"/>
              <w:left w:val="single" w:color="BFBFBF" w:sz="4"/>
              <w:bottom w:val="single" w:color="BFBFBF" w:sz="4"/>
              <w:right w:val="single" w:color="BFBFBF" w:sz="4"/>
            </w:tcBorders>
            <w:shd w:fill="FCE4D6" w:color="auto" w:val="clear"/>
            <w:tcMar>
              <w:top w:type="dxa" w:w="50"/>
              <w:left w:type="dxa" w:w="90"/>
              <w:bottom w:type="dxa" w:w="50"/>
              <w:right w:type="dxa" w:w="90"/>
            </w:tcMar>
            <w:vAlign w:val="top"/>
          </w:tcPr>
          <w:p>
            <w:pPr>
              <w:keepNext w:val="false"/>
              <w:spacing w:after="20"/>
            </w:pPr>
            <w:r>
              <w:rPr>
                <w:b w:val="false"/>
                <w:bCs w:val="false"/>
                <w:sz w:val="15"/>
                <w:szCs w:val="15"/>
              </w:rPr>
              <w:t xml:space="preserve">Add-on: specialist DevOps backup service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Ransomware, malicious deletion, credential compromise</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immutable AirGap copy in separate tenant; Threat Scan; Cleanroom recovery</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immutable vault, Quorum Authorization, Threat Hunting</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immutable vault (locked), soft delete, MUA; replica in same tenant</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Restore to alternate location or region in Canada</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for data (Canada Central, Canada East or on-premises); Limited for Cloud Rewind cross-region rebuild (validate)</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for data (Canada Central or Canada East; validate per service)</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CRR to Canada East where enabled; capacity-dependent; not all workloads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Point-in-time recovery, retention and testing</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policy-based retention, PITR for databases, automated recovery validation</w:t>
            </w:r>
          </w:p>
        </w:tc>
        <w:tc>
          <w:tcPr>
            <w:tcW w:type="dxa" w:w="242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5"/>
                <w:szCs w:val="15"/>
              </w:rPr>
              <w:t xml:space="preserve">Native: SLA-based retention, PITR, recovery validation</w:t>
            </w:r>
          </w:p>
        </w:tc>
        <w:tc>
          <w:tcPr>
            <w:tcW w:type="dxa" w:w="24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5"/>
                <w:szCs w:val="15"/>
              </w:rPr>
              <w:t xml:space="preserve">Config: per-service retention; manual or scripted restore testing</w:t>
            </w:r>
          </w:p>
        </w:tc>
      </w:tr>
    </w:tbl>
    <w:p>
      <w:pPr>
        <w:pStyle w:val="Heading3"/>
      </w:pPr>
      <w:bookmarkStart w:id="923" w:name="_Toc1023"/>
      <w:r>
        <w:t xml:space="preserve">2.2.6   Azure DevOps and GitHub (Hosted Services): Backup Options</w:t>
      </w:r>
      <w:bookmarkEnd w:id="923"/>
    </w:p>
    <w:p>
      <w:pPr>
        <w:spacing w:after="120" w:line="264"/>
      </w:pPr>
      <w:r>
        <w:t xml:space="preserve">Azure DevOps Services and GitHub Enterprise Cloud are SaaS platforms. Microsoft and GitHub keep the services resilient, but customer-controlled backup (long-term retention, point-in-time recovery, protection from malicious deletion) is the customer’s responsibility. The table summarises what each provider and vendor offers for the hosted services, based on current vendor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60"/>
        <w:gridCol w:w="2000"/>
      </w:tblGrid>
      <w:tr>
        <w:trPr>
          <w:cantSplit/>
          <w:tblHeader/>
        </w:trPr>
        <w:tc>
          <w:tcPr>
            <w:tcW w:type="dxa" w:w="17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Provider</w:t>
            </w:r>
          </w:p>
        </w:tc>
        <w:tc>
          <w:tcPr>
            <w:tcW w:type="dxa" w:w="2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Azure DevOps Services (hosted)</w:t>
            </w:r>
          </w:p>
        </w:tc>
        <w:tc>
          <w:tcPr>
            <w:tcW w:type="dxa" w:w="27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GitHub Enterprise Cloud (hosted)</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Points to confirm</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Native platform (Microsoft / GitHub)</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Deleted projects can be restored for 28 days; deleted repositories held in a recycle bin for a limited period. No customer-controlled backup or point-in-time restore.</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Organisation owners can restore deleted repositories for 90 days (not if part of a non-empty fork network); team permissions are not restored. Migration / export APIs for metadata.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Native retention is short and sits in the same tenant as the source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Commvault (Option A)</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Backs up projects, Git repositories (incl. LFS), YAML build and classic release pipelines, boards and work items, and feeds. Not included: work-item attachments, classic build pipelines, TFVC repositories, organisation-level settings; repositories over 5 GB cannot be restored directly.</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Backs up repositories (commits, branches, tags, LFS), pull requests and repository metadata. Not included: issues, GitHub Actions workflows and variables, Projects, permissions, secrets.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GitHub issues and Actions need compensating exports; scheduled and on-demand backups; restore to original or alternate location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Rubrik (Option B)</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Rubrik DevOps Protection (available since December 2025): SLA-based protection of organisations, projects and repositories with their pipelines; restore to a new project, another organisation or another tenant; processing in the customer subscription (Exocompute).</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GitHub support announced March 2026; immutable, air-gapped backups with auto-discovery of repositories.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Object-level scope (work items, wikis, issues, Actions) to confirm; Canadian location of backup data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Backup (Option C)</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Not in scope of Azure Backup.</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Not in scope of Azure Backup.</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 specialist SaaS backup service would be added; several vendors cover repositories, work items, pipelines and wikis (illustrative examples: GitProtect, HYCU R-Cloud, Rewind, Xopero). Not evaluated here; confirm Canadian storage and security before selection.</w:t>
            </w:r>
          </w:p>
        </w:tc>
      </w:tr>
    </w:tbl>
    <w:p>
      <w:pPr>
        <w:spacing w:after="160" w:before="60"/>
      </w:pPr>
      <w:r>
        <w:rPr>
          <w:i/>
          <w:iCs/>
          <w:color w:val="404040"/>
          <w:sz w:val="18"/>
          <w:szCs w:val="18"/>
        </w:rPr>
        <w:t xml:space="preserve">Self-hosted Azure DevOps Server or GitHub Enterprise Server on Azure VMs is protected differently: SQL-consistent database backups (Azure DevOps Server) or GitHub backup-utils (GitHub Enterprise Server), with the VM protected by the chosen platform.</w:t>
      </w:r>
    </w:p>
    <w:p>
      <w:pPr>
        <w:pStyle w:val="Heading2"/>
      </w:pPr>
      <w:bookmarkStart w:id="924" w:name="_Toc1024"/>
      <w:r>
        <w:t xml:space="preserve">2.3   Implementation Effort</w:t>
      </w:r>
      <w:bookmarkEnd w:id="924"/>
    </w:p>
    <w:p>
      <w:pPr>
        <w:spacing w:after="120" w:line="264"/>
      </w:pPr>
      <w:r>
        <w:t xml:space="preserve">Azure Backup is already implemented, so Option C effort covers </w:t>
      </w:r>
      <w:r>
        <w:rPr>
          <w:b/>
          <w:bCs/>
        </w:rPr>
        <w:t xml:space="preserve">enhancements only</w:t>
      </w:r>
      <w:r>
        <w:t xml:space="preserve">. Options A and B include onboarding a new platform and the transition from the current Azure Backup policies. Effort is shown in person-days at ROM accuracy (−40%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cantSplit/>
          <w:tblHeader/>
        </w:trPr>
        <w:tc>
          <w:tcPr>
            <w:tcW w:type="dxa" w:w="5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Workstream</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A</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B</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C (enhance current)</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Design (A/B: HLD/LLD; C: review of current design)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Procurement and vendor onboarding (C: DevOps backup service only)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Landing-zone integration (access nodes / Exocompute, private endpoints, identities)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Security hardening (C: lock immutability, MUA / Resource Guard, alerts)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8</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Workload onboarding (C: extend to unprotected supported workloads, confirm GRS / CRR)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Offsite copy (C: CRR drills to Canada East)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3</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Resource and configuration recovery (Cloud Rewind or IaC-based rebuild)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DevOps / GitHub protection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Alternate-subscription and cross-region restore runbooks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Transition from current Azure Backup policies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Testing and recovery drills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12</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Runbooks, training and handover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5</w:t>
            </w:r>
          </w:p>
        </w:tc>
      </w:tr>
      <w:tr>
        <w:trPr>
          <w:cantSplit/>
        </w:trPr>
        <w:tc>
          <w:tcPr>
            <w:tcW w:type="dxa" w:w="51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b/>
                <w:bCs/>
                <w:sz w:val="17"/>
                <w:szCs w:val="17"/>
              </w:rPr>
              <w:t xml:space="preserve">Total (person-days)</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7"/>
                <w:szCs w:val="17"/>
              </w:rPr>
              <w:t xml:space="preserve">154</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7"/>
                <w:szCs w:val="17"/>
              </w:rPr>
              <w:t xml:space="preserve">250</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7"/>
                <w:szCs w:val="17"/>
              </w:rPr>
              <w:t xml:space="preserve">93</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ROM range (−40% / +50%)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90–230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150–375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55–140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Indicative duration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4–6 months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6–9 months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2–4 months</w:t>
            </w:r>
          </w:p>
        </w:tc>
      </w:tr>
    </w:tbl>
    <w:p>
      <w:pPr>
        <w:spacing w:after="160" w:before="60"/>
      </w:pPr>
      <w:r>
        <w:rPr>
          <w:i/>
          <w:iCs/>
          <w:color w:val="404040"/>
          <w:sz w:val="18"/>
          <w:szCs w:val="18"/>
        </w:rPr>
        <w:t xml:space="preserve">Option C: add about 15 person-days if existing vaults are LRS or ZRS and new GRS vaults are needed for Cross Region Restore (redundancy cannot be changed after protection starts). Discovery will confirm the current vault configuration.</w:t>
      </w:r>
    </w:p>
    <w:p>
      <w:pPr>
        <w:pStyle w:val="Heading3"/>
      </w:pPr>
      <w:bookmarkStart w:id="925" w:name="_Toc1025"/>
      <w:r>
        <w:t xml:space="preserve">2.3.1   Annual Run Cost</w:t>
      </w:r>
      <w:bookmarkEnd w:id="925"/>
    </w:p>
    <w:p>
      <w:pPr>
        <w:keepNext/>
        <w:spacing w:after="120" w:line="264"/>
      </w:pPr>
      <w:r>
        <w:t xml:space="preserve">Annual run cost is the recurring cost of each option, excluding one-time implementation. </w:t>
      </w:r>
      <w:r>
        <w:rPr>
          <w:b/>
          <w:bCs/>
        </w:rPr>
        <w:t xml:space="preserve">It is not taken from invoices or vendor quotes:</w:t>
      </w:r>
      <w:r>
        <w:t xml:space="preserve"> it is calculated in the ROM model (2.5) by multiplying the assumed protected data volume (FETB) by indicative unit rates, and adding staffing and add-on services. For Option C, most of the Year-1 figure is the existing Azure Backup spend, so it </w:t>
      </w:r>
      <w:r>
        <w:rPr>
          <w:b/>
          <w:bCs/>
        </w:rPr>
        <w:t xml:space="preserve">should be replaced by the actual figure from Azure Cost Management</w:t>
      </w:r>
      <w:r>
        <w:t xml:space="preserve"> before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blHeader/>
        </w:trPr>
        <w:tc>
          <w:tcPr>
            <w:tcW w:type="dxa" w:w="3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Recurring run cost (CAD, ROM)</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A</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B</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C</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Year 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$0.52M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$0.66M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$0.27M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Year 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$0.56M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$0.72M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$0.31M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Year 3 (AWS/GCP added)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$0.91M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$0.99M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$0.53M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Year 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$1.12M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$1.25M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$0.66M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Year 5 (run-rate)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$1.36M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$1.55M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$0.80M</w:t>
            </w:r>
          </w:p>
        </w:tc>
      </w:tr>
      <w:tr>
        <w:trPr>
          <w:cantSplit/>
        </w:trPr>
        <w:tc>
          <w:tcPr>
            <w:tcW w:type="dxa" w:w="39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spacing w:after="20"/>
            </w:pPr>
            <w:r>
              <w:rPr>
                <w:b/>
                <w:bCs/>
                <w:sz w:val="17"/>
                <w:szCs w:val="17"/>
              </w:rPr>
              <w:t xml:space="preserve">5-year average annual run cost</w:t>
            </w:r>
          </w:p>
        </w:tc>
        <w:tc>
          <w:tcPr>
            <w:tcW w:type="dxa" w:w="18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spacing w:after="20"/>
              <w:jc w:val="center"/>
            </w:pPr>
            <w:r>
              <w:rPr>
                <w:b/>
                <w:bCs/>
                <w:sz w:val="17"/>
                <w:szCs w:val="17"/>
              </w:rPr>
              <w:t xml:space="preserve">$0.90M</w:t>
            </w:r>
          </w:p>
        </w:tc>
        <w:tc>
          <w:tcPr>
            <w:tcW w:type="dxa" w:w="18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spacing w:after="20"/>
              <w:jc w:val="center"/>
            </w:pPr>
            <w:r>
              <w:rPr>
                <w:b/>
                <w:bCs/>
                <w:sz w:val="17"/>
                <w:szCs w:val="17"/>
              </w:rPr>
              <w:t xml:space="preserve">$1.03M</w:t>
            </w:r>
          </w:p>
        </w:tc>
        <w:tc>
          <w:tcPr>
            <w:tcW w:type="dxa" w:w="18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spacing w:after="20"/>
              <w:jc w:val="center"/>
            </w:pPr>
            <w:r>
              <w:rPr>
                <w:b/>
                <w:bCs/>
                <w:sz w:val="17"/>
                <w:szCs w:val="17"/>
              </w:rPr>
              <w:t xml:space="preserve">$0.52M</w:t>
            </w:r>
          </w:p>
        </w:tc>
      </w:tr>
      <w:tr>
        <w:trPr>
          <w:cantSplit/>
        </w:trP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ROM range of average (−40% / +50%)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$0.54M–$1.34M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$0.62M–$1.55M</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$0.31M–$0.77M</w:t>
            </w:r>
          </w:p>
        </w:tc>
      </w:tr>
    </w:tbl>
    <w:p>
      <w:pPr>
        <w:keepNext/>
        <w:spacing w:after="80" w:before="160"/>
      </w:pPr>
      <w:r>
        <w:rPr>
          <w:b/>
          <w:bCs/>
          <w:color w:val="582873"/>
        </w:rPr>
        <w:t xml:space="preserve">How the Year-1 run cost is built (Azure ~100 TB FETB)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3860"/>
      </w:tblGrid>
      <w:tr>
        <w:trPr>
          <w:cantSplit/>
          <w:tblHeader/>
        </w:trPr>
        <w:tc>
          <w:tcPr>
            <w:tcW w:type="dxa" w:w="2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Cost line</w:t>
            </w:r>
          </w:p>
        </w:tc>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Option A</w:t>
            </w:r>
          </w:p>
        </w:tc>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Option B</w:t>
            </w:r>
          </w:p>
        </w:tc>
        <w:tc>
          <w:tcPr>
            <w:tcW w:type="dxa" w:w="1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Option C</w:t>
            </w:r>
          </w:p>
        </w:tc>
        <w:tc>
          <w:tcPr>
            <w:tcW w:type="dxa" w:w="38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Basis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Backup licence / protected-instance fees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$178k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$206k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$41k</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FETB × USD 1,300 (A) / 1,500 (B) per TB-yr; C: ~USD 25 per TB-month × 12</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Backup storage and offsite copy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$73k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$106k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$113k</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 1.2× FETB Blob + AirGap; B: Blob + Cloud Vault; C: 1.5× FETB GRS vault storage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Data transfer (offsite replication)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$15k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$15k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~CAD 150 per FETB-yr; GRS replication included for C</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Cloud compute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$16k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$25k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Access nodes (A) / Exocompute (B)</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Resource and configuration recovery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$82k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$45k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$45k</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 Cloud Rewind (~USD 60k per cloud); B/C: IaC maintenance ~0.3 FTE</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DevOps / GitHub protection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$37k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$41k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$41k</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~600 users at vendor per-user rates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Azure Backup retention during transition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$77k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$77k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Existing recovery points kept until they expire (50% in Year 1)</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Incremental operations staffing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$45k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$150k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5"/>
                <w:szCs w:val="15"/>
              </w:rPr>
              <w:t xml:space="preserve">$30k</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CAD 150k per FTE: A +0.3, B +1.0, C +0.2</w:t>
            </w:r>
          </w:p>
        </w:tc>
      </w:tr>
      <w:tr>
        <w:trPr>
          <w:cantSplit/>
        </w:trPr>
        <w:tc>
          <w:tcPr>
            <w:tcW w:type="dxa" w:w="25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b/>
                <w:bCs/>
                <w:sz w:val="15"/>
                <w:szCs w:val="15"/>
              </w:rPr>
              <w:t xml:space="preserve">Year-1 recurring run cost</w:t>
            </w:r>
          </w:p>
        </w:tc>
        <w:tc>
          <w:tcPr>
            <w:tcW w:type="dxa" w:w="10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5"/>
                <w:szCs w:val="15"/>
              </w:rPr>
              <w:t xml:space="preserve">$523k</w:t>
            </w:r>
          </w:p>
        </w:tc>
        <w:tc>
          <w:tcPr>
            <w:tcW w:type="dxa" w:w="10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5"/>
                <w:szCs w:val="15"/>
              </w:rPr>
              <w:t xml:space="preserve">$664k</w:t>
            </w:r>
          </w:p>
        </w:tc>
        <w:tc>
          <w:tcPr>
            <w:tcW w:type="dxa" w:w="10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5"/>
                <w:szCs w:val="15"/>
              </w:rPr>
              <w:t xml:space="preserve">$271k</w:t>
            </w:r>
          </w:p>
        </w:tc>
        <w:tc>
          <w:tcPr>
            <w:tcW w:type="dxa" w:w="38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p>
        </w:tc>
      </w:tr>
    </w:tbl>
    <w:p>
      <w:pPr>
        <w:spacing w:after="160" w:before="60"/>
      </w:pPr>
      <w:r>
        <w:rPr>
          <w:i/>
          <w:iCs/>
          <w:color w:val="404040"/>
          <w:sz w:val="18"/>
          <w:szCs w:val="18"/>
        </w:rPr>
        <w:t xml:space="preserve">USD rates converted at 1.37 CAD/USD. All unit rates are indicative and require vendor validation (2.5).</w:t>
      </w:r>
    </w:p>
    <w:p>
      <w:pPr>
        <w:pStyle w:val="Heading2"/>
      </w:pPr>
      <w:bookmarkStart w:id="926" w:name="_Toc1026"/>
      <w:r>
        <w:t xml:space="preserve">2.4   Commvault and Rubrik Access Patterns</w:t>
      </w:r>
      <w:bookmarkEnd w:id="926"/>
    </w:p>
    <w:p>
      <w:pPr>
        <w:spacing w:after="120" w:line="264"/>
      </w:pPr>
      <w:r>
        <w:t xml:space="preserve">Azure Backup is included for consistent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rPr>
          <w:cantSplit/>
          <w:tblHeader/>
        </w:trPr>
        <w:tc>
          <w:tcPr>
            <w:tcW w:type="dxa" w:w="1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Access path</w:t>
            </w:r>
          </w:p>
        </w:tc>
        <w:tc>
          <w:tcPr>
            <w:tcW w:type="dxa" w:w="2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Commvault</w:t>
            </w:r>
          </w:p>
        </w:tc>
        <w:tc>
          <w:tcPr>
            <w:tcW w:type="dxa" w:w="24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Rubrik</w:t>
            </w:r>
          </w:p>
        </w:tc>
        <w:tc>
          <w:tcPr>
            <w:tcW w:type="dxa" w:w="248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Azure Backup</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Admin console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Command Center (self-hosted CommServe in Canada) and/or Commvault Cloud; Entra SAML SSO</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Rubrik Security Cloud SaaS console; Entra SAML SSO; IP allow-list</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portal / Business Continuity Center; Entra ID + PIM</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Network (admin)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PAM jump hosts; no internet exposure for CommServe</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Internet (TLS 1.2+) restricted by IP allow-list and compliant-device Conditional Access</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Resource Manager; Conditional Access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Network (data)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Access nodes in Canada Central; private endpoints to storage; AirGap over Azure backbone</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Exocompute in Canada Central; private connectivity to Cloud Vault (validate)</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backbone; private endpoints for vaults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Cloud identity (data)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Access nodes with managed identity</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App registration / service principal</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Vault managed identity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Cloud identity (configuration recovery)</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Rewind read-only discovery role; separate just-in-time rebuild role</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 pipeline identity (workload identity federation)</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 pipeline identity (workload identity federation)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Destructive-action control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Multi-Person Authorization; Compliance Lock</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Quorum Authorization; Retention Lock</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Multi-User Authorization (Resource Guard); locked immutable vault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Audit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Command Center / Cloud Rewind audit to Sentinel</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RSC webhooks to Sentinel</w:t>
            </w:r>
          </w:p>
        </w:tc>
        <w:tc>
          <w:tcPr>
            <w:tcW w:type="dxa" w:w="24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Activity Log and vault diagnostics to Sentinel</w:t>
            </w:r>
          </w:p>
        </w:tc>
      </w:tr>
    </w:tbl>
    <w:p>
      <w:pPr>
        <w:pStyle w:val="Heading3"/>
      </w:pPr>
      <w:bookmarkStart w:id="927" w:name="_Toc1027"/>
      <w:r>
        <w:t xml:space="preserve">2.4.1   Common Pattern Across All Workspaces</w:t>
      </w:r>
      <w:bookmarkEnd w:id="927"/>
    </w:p>
    <w:p>
      <w:pPr>
        <w:pStyle w:val="ListParagraph"/>
        <w:numPr>
          <w:ilvl w:val="0"/>
          <w:numId w:val="2"/>
        </w:numPr>
        <w:spacing w:after="60" w:line="252"/>
      </w:pPr>
      <w:r>
        <w:t xml:space="preserve">Entra ID authentication with phishing-resistant MFA from a privileged-access workstation.</w:t>
      </w:r>
    </w:p>
    <w:p>
      <w:pPr>
        <w:pStyle w:val="ListParagraph"/>
        <w:numPr>
          <w:ilvl w:val="0"/>
          <w:numId w:val="2"/>
        </w:numPr>
        <w:spacing w:after="60" w:line="252"/>
      </w:pPr>
      <w:r>
        <w:t xml:space="preserve">Just-in-time elevation through PIM (Azure) or PAM checkout (consoles), approved and time-bound.</w:t>
      </w:r>
    </w:p>
    <w:p>
      <w:pPr>
        <w:pStyle w:val="ListParagraph"/>
        <w:numPr>
          <w:ilvl w:val="0"/>
          <w:numId w:val="2"/>
        </w:numPr>
        <w:spacing w:after="60" w:line="252"/>
      </w:pPr>
      <w:r>
        <w:t xml:space="preserve">Least-privilege roles mapped from Entra groups; no single role can change policy and reduce retention.</w:t>
      </w:r>
    </w:p>
    <w:p>
      <w:pPr>
        <w:pStyle w:val="ListParagraph"/>
        <w:numPr>
          <w:ilvl w:val="0"/>
          <w:numId w:val="2"/>
        </w:numPr>
        <w:spacing w:after="60" w:line="252"/>
      </w:pPr>
      <w:r>
        <w:t xml:space="preserve">Read-only discovery identities kept separate from restore and rebuild identities.</w:t>
      </w:r>
    </w:p>
    <w:p>
      <w:pPr>
        <w:pStyle w:val="ListParagraph"/>
        <w:numPr>
          <w:ilvl w:val="0"/>
          <w:numId w:val="2"/>
        </w:numPr>
        <w:spacing w:after="60" w:line="252"/>
      </w:pPr>
      <w:r>
        <w:t xml:space="preserve">Multi-person approval for deletion, retention reduction and lock changes.</w:t>
      </w:r>
    </w:p>
    <w:p>
      <w:pPr>
        <w:pStyle w:val="ListParagraph"/>
        <w:numPr>
          <w:ilvl w:val="0"/>
          <w:numId w:val="2"/>
        </w:numPr>
        <w:spacing w:after="60" w:line="252"/>
      </w:pPr>
      <w:r>
        <w:t xml:space="preserve">Separate custodian group for the offsite copy and the backup subscription.</w:t>
      </w:r>
    </w:p>
    <w:p>
      <w:pPr>
        <w:pStyle w:val="ListParagraph"/>
        <w:numPr>
          <w:ilvl w:val="0"/>
          <w:numId w:val="2"/>
        </w:numPr>
        <w:spacing w:after="60" w:line="252"/>
      </w:pPr>
      <w:r>
        <w:t xml:space="preserve">All events to Sentinel; quarterly access reviews and break-glass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360"/>
        <w:gridCol w:w="1800"/>
      </w:tblGrid>
      <w:tr>
        <w:trPr>
          <w:cantSplit/>
          <w:tblHeader/>
        </w:trPr>
        <w:tc>
          <w:tcPr>
            <w:tcW w:type="dxa" w:w="21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Role</w:t>
            </w:r>
          </w:p>
        </w:tc>
        <w:tc>
          <w:tcPr>
            <w:tcW w:type="dxa" w:w="21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Holder</w:t>
            </w:r>
          </w:p>
        </w:tc>
        <w:tc>
          <w:tcPr>
            <w:tcW w:type="dxa" w:w="3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Permissions</w:t>
            </w:r>
          </w:p>
        </w:tc>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Approval</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Backup Operator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Service desk / NOC</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Monitor, ad-hoc backups, out-of-place restores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None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Restore Approver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Application / repo owner</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Approve in-place restores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n/a</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Backup Administrator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Backup team</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Policies, storage, copies; cannot reduce retention or delete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PIM/PAM</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Cloud Rebuild Operator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Cloud platform team</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Run configuration rebuild into an approved scope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PIM + approval</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Offsite Copy Custodian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Security (separate team)</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Backup subscription, locks, Resource Guard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PIM + quorum</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Break-glass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Vaulted, dual control</w:t>
            </w:r>
          </w:p>
        </w:tc>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Full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Two-person checkout + alert</w:t>
            </w:r>
          </w:p>
        </w:tc>
      </w:tr>
    </w:tbl>
    <w:p>
      <w:pPr>
        <w:pStyle w:val="Heading2"/>
      </w:pPr>
      <w:bookmarkStart w:id="928" w:name="_Toc1028"/>
      <w:r>
        <w:t xml:space="preserve">2.5   Cost Comparison (Rough Order of Magnitude)</w:t>
      </w:r>
      <w:bookmarkEnd w:id="928"/>
    </w:p>
    <w:p>
      <w:pPr>
        <w:spacing w:after="120" w:line="264"/>
      </w:pPr>
      <w:r>
        <w:t xml:space="preserve">Costs are </w:t>
      </w:r>
      <w:r>
        <w:rPr>
          <w:b/>
          <w:bCs/>
        </w:rPr>
        <w:t xml:space="preserve">Rough Order of Magnitude (ROM)</w:t>
      </w:r>
      <w:r>
        <w:t xml:space="preserve"> estimates for 5 years in CAD, covering cloud workloads only. Each point estimate carries an accuracy band of </w:t>
      </w:r>
      <w:r>
        <w:rPr>
          <w:b/>
          <w:bCs/>
        </w:rPr>
        <w:t xml:space="preserve">−40% / +50%</w:t>
      </w:r>
      <w:r>
        <w:t xml:space="preserve">. They are for comparing options, not for setting a budget; final costs depend on vendor quotes, actual Azure Backup spend, discovered data volumes and negotiation.</w:t>
      </w:r>
    </w:p>
    <w:p>
      <w:pPr>
        <w:keepNext/>
        <w:spacing w:after="80" w:before="160"/>
      </w:pPr>
      <w:r>
        <w:rPr>
          <w:b/>
          <w:bCs/>
          <w:color w:val="582873"/>
        </w:rPr>
        <w:t xml:space="preserve">Estimating basis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60"/>
        <w:gridCol w:w="1500"/>
      </w:tblGrid>
      <w:tr>
        <w:trPr>
          <w:cantSplit/>
          <w:tblHeader/>
        </w:trPr>
        <w:tc>
          <w:tcPr>
            <w:tcW w:type="dxa" w:w="1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Item</w:t>
            </w:r>
          </w:p>
        </w:tc>
        <w:tc>
          <w:tcPr>
            <w:tcW w:type="dxa" w:w="60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Assumption</w:t>
            </w:r>
          </w:p>
        </w:tc>
        <w:tc>
          <w:tcPr>
            <w:tcW w:type="dxa" w:w="15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Vendor validation</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Scope</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workloads in 1.1.1; AWS + GCP planning scenario from Year 3; DevOps/GitHub; offsite copy in Canada; resource and configuration recovery. Native PaaS PITR excluded as a common 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Currency and pricing</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CAD at 1.37 CAD/USD; indicative list prices; no discounts; taxes excluded.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Volumes</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Azure ~100 TB FETB, +25%/yr; AWS + GCP 40 / 80 / 120 TB in Years 3–5; ~600 DevOps users.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 (discovery)</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Commvault (A)</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Licence ~USD 1,300/FETB-yr; primary storage 1.2× FETB at ~USD 16/TB-month; AirGap Protect ~USD 25/TB-month; Cloud Rewind ~USD 60k per cloud per year; access nodes ~CAD 16k/yr per cloud.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Rubrik (B)</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Licence ~USD 1,500/FETB-yr; primary storage as A; Rubrik Cloud Vault ~USD 360/TB-yr at 1.5× FETB; Exocompute ~CAD 25k/yr per cloud.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Azure Backup (C)</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Already running. Protected-instance fees ~USD 25/TB-month blended; GRS vault storage ~USD 46/TB-month at 1.5× FETB (includes Canada East replica). Replace with actual Azure Cost Management data.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 (actuals)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Resource and configuration recovery</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Cloud Rewind. B and C: IaC-based rebuild, ~0.3 FTE (~CAD 45k/yr), ~0.5 FTE with AWS/GCP. A commercial configuration-backup product (~USD 60–80k per cloud per year) is optional and excluded.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 (A)</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DevOps / GitHub</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Commvault ~CAD 37k/yr; B: Rubrik ~CAD 41k/yr; C: specialist SaaS backup service ~CAD 41k/yr.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Transition (A, B)</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Existing Azure Backup recovery points retained until expiry: ~50% of current Azure Backup cost in Year 1 and ~25% in Year 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Staffing</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~CAD 150k per loaded FTE. Incremental: A +0.3; B +1.0 (second platform); C +0.2, rising to +0.7 when AWS/GCP native tools are added.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No</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Implementation (one-time)</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~CAD 100k; B ~CAD 315k; C ~CAD 60k (enhancements, DevOps service onboarding, IaC pipeline).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Excluded</w:t>
            </w:r>
          </w:p>
        </w:tc>
        <w:tc>
          <w:tcPr>
            <w:tcW w:type="dxa" w:w="60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Internal project management; native PaaS backup storage; ExpressRoute (existing); restore egress during incidents; exit costs.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n/a</w:t>
            </w:r>
          </w:p>
        </w:tc>
      </w:tr>
    </w:tbl>
    <w:p>
      <w:pPr>
        <w:keepNext/>
        <w:spacing w:after="80" w:before="160"/>
      </w:pPr>
      <w:r>
        <w:rPr>
          <w:b/>
          <w:bCs/>
          <w:color w:val="582873"/>
        </w:rPr>
        <w:t xml:space="preserve">ROM estimate by option (5-year,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Cost category (5-year)</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A: Commvault</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B: Rubrik</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C: Azure Backup</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Licensing / protected-instance fees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$1.89M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$2.18M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$0.44M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Backup storage (primary) and offsite copy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$0.77M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$1.12M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$1.20M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Data transfer (offsite replication)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$0.16M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$0.16M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Included</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Cloud compute (access nodes / Exocompute)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$0.18M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$0.27M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Resource and configuration recovery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$0.91M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$0.32M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$0.32M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DevOps / GitHub protection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$0.23M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$0.25M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$0.25M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Azure Backup retention during transition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$0.13M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$0.13M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Operations staffing (incremental)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$0.23M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$0.75M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$0.38M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Implementation (one-time)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$0.10M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$0.32M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$0.06M</w:t>
            </w:r>
          </w:p>
        </w:tc>
      </w:tr>
      <w:tr>
        <w:trPr>
          <w:cantSplit/>
        </w:trPr>
        <w:tc>
          <w:tcPr>
            <w:tcW w:type="dxa" w:w="33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pPr>
            <w:r>
              <w:rPr>
                <w:b/>
                <w:bCs/>
                <w:sz w:val="17"/>
                <w:szCs w:val="17"/>
              </w:rPr>
              <w:t xml:space="preserve">ROM point estimate</w:t>
            </w:r>
          </w:p>
        </w:tc>
        <w:tc>
          <w:tcPr>
            <w:tcW w:type="dxa" w:w="20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7"/>
                <w:szCs w:val="17"/>
              </w:rPr>
              <w:t xml:space="preserve">$4.58M</w:t>
            </w:r>
          </w:p>
        </w:tc>
        <w:tc>
          <w:tcPr>
            <w:tcW w:type="dxa" w:w="20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7"/>
                <w:szCs w:val="17"/>
              </w:rPr>
              <w:t xml:space="preserve">$5.49M</w:t>
            </w:r>
          </w:p>
        </w:tc>
        <w:tc>
          <w:tcPr>
            <w:tcW w:type="dxa" w:w="20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keepNext w:val="false"/>
              <w:spacing w:after="20"/>
              <w:jc w:val="center"/>
            </w:pPr>
            <w:r>
              <w:rPr>
                <w:b/>
                <w:bCs/>
                <w:sz w:val="17"/>
                <w:szCs w:val="17"/>
              </w:rPr>
              <w:t xml:space="preserve">$2.64M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ROM range (−40% / +50%)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$2.75M–$6.87M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$3.29M–$8.23M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$1.58M–$3.96M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Difference vs. Option 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+$0.91M (+20%)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−$1.94M (−42%)</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Year-1 cost (incl. one-time)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$0.62M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$0.98M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$0.33M</w:t>
            </w:r>
          </w:p>
        </w:tc>
      </w:tr>
    </w:tbl>
    <w:p>
      <w:pPr>
        <w:keepNext/>
        <w:spacing w:after="40" w:before="120"/>
        <w:jc w:val="center"/>
      </w:pPr>
      <w:r>
        <w:drawing>
          <wp:inline distT="0" distB="0" distL="0" distR="0">
            <wp:extent cx="5760720" cy="2448306"/>
            <wp:effectExtent t="0" r="0" b="0" l="0"/>
            <wp:docPr id="1" name="rom_chart3.png" descr="rom_chart3.png" title="rom_ch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448306"/>
                    </a:xfrm>
                    <a:prstGeom prst="rect">
                      <a:avLst/>
                    </a:prstGeom>
                  </pic:spPr>
                </pic:pic>
              </a:graphicData>
            </a:graphic>
          </wp:inline>
        </w:drawing>
      </w:r>
    </w:p>
    <w:p>
      <w:pPr>
        <w:spacing w:after="200" w:before="60"/>
      </w:pPr>
      <w:r>
        <w:rPr>
          <w:i/>
          <w:iCs/>
          <w:color w:val="595959"/>
          <w:sz w:val="18"/>
          <w:szCs w:val="18"/>
        </w:rPr>
        <w:t xml:space="preserve">Figure 2: 5-year ROM cost by option, with point estimate and accuracy range.</w:t>
      </w:r>
    </w:p>
    <w:p>
      <w:pPr>
        <w:spacing w:after="120" w:line="264"/>
      </w:pPr>
      <w:r>
        <w:t xml:space="preserve">Option C is clearly the lowest-cost option: it builds on an existing, consumption-priced service and adds only a DevOps backup service and IaC effort. Option A costs about CAD 1.9M more over five years, mainly for licences and Cloud Rewind; in return it provides the isolated offsite copy, integrated environment rebuild and one platform with the existing Commvault estate. Option B is the most expensive because it adds a second enterprise platform and staffing.</w:t>
      </w:r>
    </w:p>
    <w:p>
      <w:pPr>
        <w:keepNext/>
        <w:spacing w:after="80" w:before="160"/>
      </w:pPr>
      <w:r>
        <w:rPr>
          <w:b/>
          <w:bCs/>
          <w:color w:val="582873"/>
        </w:rPr>
        <w:t xml:space="preserve">Key factors that could affect the final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rPr>
          <w:cantSplit/>
          <w:tblHeader/>
        </w:trPr>
        <w:tc>
          <w:tcPr>
            <w:tcW w:type="dxa" w:w="2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Factor</w:t>
            </w:r>
          </w:p>
        </w:tc>
        <w:tc>
          <w:tcPr>
            <w:tcW w:type="dxa" w:w="5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Effect on cost</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Options most affected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Actual Azure Backup spend</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Replacing the modelled Option C cost with actuals from Azure Cost Management may move it either way and sets the baseline for A and 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 (and A/B baseline)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Actual protected data volume and growth</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Every 10% change in FETB moves licence, storage and offsite costs by roughly the same proportion.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Commercial negotiation</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Multi-year discounts (often 25–40% off list) would lower A and B; extending the existing Commvault agreement may improve A further.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B</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Configuration recovery approach</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Rewind is metered per protected resource. For B and C, adding an optional commercial configuration-backup product would add ~USD 60–80k per cloud per year.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Retention policy and change rate</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Longer retention and higher change rates increase storage; Azure Backup storage is not deduplicated across instances.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 most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Multi-cloud timing and volume</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Earlier or larger AWS/GCP adoption increases cost for all options; Option C also adds a native tool and staff per cloud.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Canada East capacity reservations</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Reserving compute to guarantee cross-region recovery adds ongoing cost.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Residency-driven SKUs</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sovereign or in-country SaaS option may carry a premium.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B</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Foreign exchange</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Most licences are USD-priced; a 5% move in CAD/USD changes A and B by roughly ±CAD 0.2M.</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B</w:t>
            </w:r>
          </w:p>
        </w:tc>
      </w:tr>
    </w:tbl>
    <w:p>
      <w:pPr>
        <w:pStyle w:val="Heading3"/>
      </w:pPr>
      <w:bookmarkStart w:id="929" w:name="_Toc1029"/>
      <w:r>
        <w:t xml:space="preserve">2.5.1   Use Case: Azure-Only Scope vs. Multi-Cloud Scope</w:t>
      </w:r>
      <w:bookmarkEnd w:id="929"/>
    </w:p>
    <w:p>
      <w:pPr>
        <w:keepNext/>
        <w:spacing w:after="120" w:line="264"/>
      </w:pPr>
      <w:r>
        <w:t xml:space="preserve">Because AWS and GCP adoption is not confirmed, the table shows the 5-year ROM for Azure only alongside the planning scenario that adds AWS and GCP from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Scope (5-year, CAD)</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A: Commvault</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B: Rubrik</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spacing w:after="20"/>
            </w:pPr>
            <w:r>
              <w:rPr>
                <w:b/>
                <w:bCs/>
                <w:color w:val="FFFFFF"/>
                <w:sz w:val="17"/>
                <w:szCs w:val="17"/>
              </w:rPr>
              <w:t xml:space="preserve">Option C: Azure Backup</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Azure only (point)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$3.35M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$4.47M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$1.95M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Azure only (range −40% / +50%)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$2.01M–$5.02M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$2.68M–$6.70M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$1.17M–$2.93M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pPr>
            <w:r>
              <w:rPr>
                <w:b/>
                <w:bCs/>
                <w:sz w:val="17"/>
                <w:szCs w:val="17"/>
              </w:rPr>
              <w:t xml:space="preserve">Azure + AWS + GCP (point)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$4.58M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$5.49M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spacing w:after="20"/>
              <w:jc w:val="center"/>
            </w:pPr>
            <w:r>
              <w:rPr>
                <w:b w:val="false"/>
                <w:bCs w:val="false"/>
                <w:sz w:val="17"/>
                <w:szCs w:val="17"/>
              </w:rPr>
              <w:t xml:space="preserve">$2.64M</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Increase for multi-cloud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+$1.23M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+$1.02M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jc w:val="center"/>
            </w:pPr>
            <w:r>
              <w:rPr>
                <w:b w:val="false"/>
                <w:bCs w:val="false"/>
                <w:sz w:val="17"/>
                <w:szCs w:val="17"/>
              </w:rPr>
              <w:t xml:space="preserve">+$0.69M (plus a native tool per cloud)</w:t>
            </w:r>
          </w:p>
        </w:tc>
      </w:tr>
    </w:tbl>
    <w:p>
      <w:pPr>
        <w:pStyle w:val="Heading2"/>
      </w:pPr>
      <w:bookmarkStart w:id="930" w:name="_Toc1030"/>
      <w:r>
        <w:t xml:space="preserve">2.6   Decision Rationale</w:t>
      </w:r>
      <w:bookmarkEnd w:id="930"/>
    </w:p>
    <w:p>
      <w:pPr>
        <w:pStyle w:val="Heading3"/>
      </w:pPr>
      <w:bookmarkStart w:id="931" w:name="_Toc1031"/>
      <w:r>
        <w:t xml:space="preserve">2.6.1   Cost</w:t>
      </w:r>
      <w:bookmarkEnd w:id="931"/>
    </w:p>
    <w:p>
      <w:pPr>
        <w:spacing w:after="120" w:line="264"/>
      </w:pPr>
      <w:r>
        <w:t xml:space="preserve">Option C has the lowest ROM cost at about </w:t>
      </w:r>
      <w:r>
        <w:rPr>
          <w:b/>
          <w:bCs/>
        </w:rPr>
        <w:t xml:space="preserve">CAD 2.6M</w:t>
      </w:r>
      <w:r>
        <w:t xml:space="preserve"> over five years, because Azure Backup is already running and only targeted enhancements are added. Option A costs about </w:t>
      </w:r>
      <w:r>
        <w:rPr>
          <w:b/>
          <w:bCs/>
        </w:rPr>
        <w:t xml:space="preserve">CAD 4.6M</w:t>
      </w:r>
      <w:r>
        <w:t xml:space="preserve"> (+CAD 1.9M), and Option B about </w:t>
      </w:r>
      <w:r>
        <w:rPr>
          <w:b/>
          <w:bCs/>
        </w:rPr>
        <w:t xml:space="preserve">CAD 5.5M</w:t>
      </w:r>
      <w:r>
        <w:t xml:space="preserve">. The premium for Option A is material and should be weighed against the capabilities it adds; it should be confirmed with a quote extending the existing Commvault agreement and compared with actual Azure Backup spend.</w:t>
      </w:r>
    </w:p>
    <w:p>
      <w:pPr>
        <w:pStyle w:val="Heading3"/>
      </w:pPr>
      <w:bookmarkStart w:id="932" w:name="_Toc1032"/>
      <w:r>
        <w:t xml:space="preserve">2.6.2   Functional Fit</w:t>
      </w:r>
      <w:bookmarkEnd w:id="932"/>
    </w:p>
    <w:p>
      <w:pPr>
        <w:pStyle w:val="ListParagraph"/>
        <w:numPr>
          <w:ilvl w:val="0"/>
          <w:numId w:val="2"/>
        </w:numPr>
        <w:spacing w:after="60" w:line="252"/>
      </w:pPr>
      <w:r>
        <w:rPr>
          <w:b/>
          <w:bCs/>
        </w:rPr>
        <w:t xml:space="preserve">Azure coverage:</w:t>
      </w:r>
      <w:r>
        <w:t xml:space="preserve"> all three options protect the core workloads well. Azure Backup and platform-native backups cover most services; Commvault adds broader database and storage coverage from one console; Rubrik has several items to confirm.</w:t>
      </w:r>
    </w:p>
    <w:p>
      <w:pPr>
        <w:pStyle w:val="ListParagraph"/>
        <w:numPr>
          <w:ilvl w:val="0"/>
          <w:numId w:val="2"/>
        </w:numPr>
        <w:spacing w:after="60" w:line="252"/>
      </w:pPr>
      <w:r>
        <w:rPr>
          <w:b/>
          <w:bCs/>
        </w:rPr>
        <w:t xml:space="preserve">Infrastructure recovery:</w:t>
      </w:r>
      <w:r>
        <w:t xml:space="preserve"> Option A rebuilds deleted resource groups, VNets and dependent resources from the backup platform (Cloud Rewind). Options B and C rebuild from IaC, which works well when IaC is complete and tested.</w:t>
      </w:r>
    </w:p>
    <w:p>
      <w:pPr>
        <w:pStyle w:val="ListParagraph"/>
        <w:numPr>
          <w:ilvl w:val="0"/>
          <w:numId w:val="2"/>
        </w:numPr>
        <w:spacing w:after="60" w:line="252"/>
      </w:pPr>
      <w:r>
        <w:rPr>
          <w:b/>
          <w:bCs/>
        </w:rPr>
        <w:t xml:space="preserve">DevOps and GitHub:</w:t>
      </w:r>
      <w:r>
        <w:t xml:space="preserve"> A and B protect hosted repositories from the same platform, with different object coverage (2.2.6); C adds a specialist service.</w:t>
      </w:r>
    </w:p>
    <w:p>
      <w:pPr>
        <w:pStyle w:val="ListParagraph"/>
        <w:numPr>
          <w:ilvl w:val="0"/>
          <w:numId w:val="2"/>
        </w:numPr>
        <w:spacing w:after="60" w:line="252"/>
      </w:pPr>
      <w:r>
        <w:rPr>
          <w:b/>
          <w:bCs/>
        </w:rPr>
        <w:t xml:space="preserve">Data residency and offsite copy:</w:t>
      </w:r>
      <w:r>
        <w:t xml:space="preserve"> C is natively Canadian; its offsite copy is a same-tenant replica that can be hardened with Resource Guard and locked immutability. A and B provide an isolated vendor-managed copy in Canada, subject to confirming SaaS metadata residency.</w:t>
      </w:r>
    </w:p>
    <w:p>
      <w:pPr>
        <w:pStyle w:val="Heading3"/>
      </w:pPr>
      <w:bookmarkStart w:id="933" w:name="_Toc1033"/>
      <w:r>
        <w:t xml:space="preserve">2.6.3   Management Complexity</w:t>
      </w:r>
      <w:bookmarkEnd w:id="933"/>
    </w:p>
    <w:p>
      <w:pPr>
        <w:spacing w:after="120" w:line="264"/>
      </w:pPr>
      <w:r>
        <w:t xml:space="preserve">Option A extends the platform and team that already run on-premises and Microsoft 365 backup, giving one console and policy model across the estate. Option C keeps the familiar Azure-native model with low operational overhead, but spreads protection across Azure Backup, service-native backups, IaC and a DevOps service, and would add a native tool per cloud later. Option B introduces a second enterprise backup platform.</w:t>
      </w:r>
    </w:p>
    <w:p>
      <w:pPr>
        <w:pStyle w:val="Heading3"/>
      </w:pPr>
      <w:bookmarkStart w:id="934" w:name="_Toc1034"/>
      <w:r>
        <w:t xml:space="preserve">2.6.4   Future Equivalent Capability</w:t>
      </w:r>
      <w:bookmarkEnd w:id="934"/>
    </w:p>
    <w:p>
      <w:pPr>
        <w:spacing w:after="120" w:line="264"/>
      </w:pPr>
      <w:r>
        <w:t xml:space="preserve">Options A and B both protect AWS and GCP from the same platform, and Commvault documents configuration rebuild for AWS, Azure and GCP. Option C would use AWS Backup and Google Cloud Backup and DR, which are capable services but bring separate policies and reporting. This criterion matters most if multi-cloud adoption is confirmed.</w:t>
      </w:r>
    </w:p>
    <w:p>
      <w:pPr>
        <w:pStyle w:val="Heading3"/>
      </w:pPr>
      <w:bookmarkStart w:id="935" w:name="_Toc1035"/>
      <w:r>
        <w:t xml:space="preserve">2.6.5   Security</w:t>
      </w:r>
      <w:bookmarkEnd w:id="935"/>
    </w:p>
    <w:p>
      <w:pPr>
        <w:spacing w:after="120" w:line="264"/>
      </w:pPr>
      <w:r>
        <w:t xml:space="preserve">Option B has the strongest default security posture. Option A reaches an equivalent posture once the hardening baseline is enforced, and its AirGap copy in a separate tenant directly addresses credential-compromise scenarios. Option C provides immutable vaults, soft delete and Multi-User Authorization; placing the Resource Guard in a separate subscription or tenant and locking vault immutability gives a strong, Azure-native posture.</w:t>
      </w:r>
    </w:p>
    <w:p>
      <w:pPr>
        <w:pStyle w:val="Heading3"/>
        <w:pageBreakBefore/>
      </w:pPr>
      <w:bookmarkStart w:id="936" w:name="_Toc1036"/>
      <w:r>
        <w:t xml:space="preserve">2.6.6   Comparison Heat Map</w:t>
      </w:r>
      <w:bookmarkEnd w:id="9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400"/>
        <w:gridCol w:w="1400"/>
        <w:gridCol w:w="1400"/>
      </w:tblGrid>
      <w:tr>
        <w:trPr>
          <w:tblHeader/>
        </w:trPr>
        <w:tc>
          <w:tcPr>
            <w:tcW w:type="dxa" w:w="5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pPr>
            <w:r>
              <w:rPr>
                <w:b/>
                <w:bCs/>
                <w:color w:val="FFFFFF"/>
                <w:sz w:val="17"/>
                <w:szCs w:val="17"/>
              </w:rPr>
              <w:t xml:space="preserve">Criterion</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jc w:val="center"/>
            </w:pPr>
            <w:r>
              <w:rPr>
                <w:b/>
                <w:bCs/>
                <w:color w:val="FFFFFF"/>
                <w:sz w:val="17"/>
                <w:szCs w:val="17"/>
              </w:rPr>
              <w:t xml:space="preserve">Option A: Commvault</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jc w:val="center"/>
            </w:pPr>
            <w:r>
              <w:rPr>
                <w:b/>
                <w:bCs/>
                <w:color w:val="FFFFFF"/>
                <w:sz w:val="17"/>
                <w:szCs w:val="17"/>
              </w:rPr>
              <w:t xml:space="preserve">Option B: Rubrik</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spacing w:after="20"/>
              <w:jc w:val="center"/>
            </w:pPr>
            <w:r>
              <w:rPr>
                <w:b/>
                <w:bCs/>
                <w:color w:val="FFFFFF"/>
                <w:sz w:val="17"/>
                <w:szCs w:val="17"/>
              </w:rPr>
              <w:t xml:space="preserve">Option C: Azure Backup</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1. Multi-cloud readiness (AWS / GCP)</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E99A9A" w:color="auto" w:val="clear"/>
            <w:tcMar>
              <w:top w:type="dxa" w:w="50"/>
              <w:left w:type="dxa" w:w="90"/>
              <w:bottom w:type="dxa" w:w="50"/>
              <w:right w:type="dxa" w:w="90"/>
            </w:tcMar>
            <w:vAlign w:val="top"/>
          </w:tcPr>
          <w:p>
            <w:pPr>
              <w:spacing w:after="20"/>
              <w:jc w:val="center"/>
            </w:pPr>
            <w:r>
              <w:rPr>
                <w:b/>
                <w:bCs/>
                <w:sz w:val="17"/>
                <w:szCs w:val="17"/>
              </w:rPr>
              <w:t xml:space="preserve">1.5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2. Azure workload coverage and service limitations</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3. Azure DevOps and GitHub protection</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c>
          <w:tcPr>
            <w:tcW w:type="dxa" w:w="1400"/>
            <w:tcBorders>
              <w:top w:val="single" w:color="BFBFBF" w:sz="4"/>
              <w:left w:val="single" w:color="BFBFBF" w:sz="4"/>
              <w:bottom w:val="single" w:color="BFBFBF" w:sz="4"/>
              <w:right w:val="single" w:color="BFBFBF" w:sz="4"/>
            </w:tcBorders>
            <w:shd w:fill="F4B183" w:color="auto" w:val="clear"/>
            <w:tcMar>
              <w:top w:type="dxa" w:w="50"/>
              <w:left w:type="dxa" w:w="90"/>
              <w:bottom w:type="dxa" w:w="50"/>
              <w:right w:type="dxa" w:w="90"/>
            </w:tcMar>
            <w:vAlign w:val="top"/>
          </w:tcPr>
          <w:p>
            <w:pPr>
              <w:spacing w:after="20"/>
              <w:jc w:val="center"/>
            </w:pPr>
            <w:r>
              <w:rPr>
                <w:b/>
                <w:bCs/>
                <w:sz w:val="17"/>
                <w:szCs w:val="17"/>
              </w:rPr>
              <w:t xml:space="preserve">2.0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4. Data residency (data, replicas, metadata)</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5. In-region, cross-region and offsite copies</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6. Recovery of infrastructure, SaaS and PaaS</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top"/>
          </w:tcPr>
          <w:p>
            <w:pPr>
              <w:spacing w:after="20"/>
              <w:jc w:val="center"/>
            </w:pPr>
            <w:r>
              <w:rPr>
                <w:b/>
                <w:bCs/>
                <w:sz w:val="17"/>
                <w:szCs w:val="17"/>
              </w:rPr>
              <w:t xml:space="preserve">2.5</w:t>
            </w:r>
          </w:p>
        </w:tc>
        <w:tc>
          <w:tcPr>
            <w:tcW w:type="dxa" w:w="14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top"/>
          </w:tcPr>
          <w:p>
            <w:pPr>
              <w:spacing w:after="20"/>
              <w:jc w:val="center"/>
            </w:pPr>
            <w:r>
              <w:rPr>
                <w:b/>
                <w:bCs/>
                <w:sz w:val="17"/>
                <w:szCs w:val="17"/>
              </w:rPr>
              <w:t xml:space="preserve">2.5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7. Security, immutability and ransomware resilience</w:t>
            </w:r>
          </w:p>
        </w:tc>
        <w:tc>
          <w:tcPr>
            <w:tcW w:type="dxa" w:w="14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spacing w:after="20"/>
              <w:jc w:val="center"/>
            </w:pPr>
            <w:r>
              <w:rPr>
                <w:b/>
                <w:bCs/>
                <w:sz w:val="17"/>
                <w:szCs w:val="17"/>
              </w:rPr>
              <w:t xml:space="preserve">4.0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8. Retention, monitoring and operational effort</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9. Integration and implementation complexity</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spacing w:after="20"/>
              <w:jc w:val="center"/>
            </w:pPr>
            <w:r>
              <w:rPr>
                <w:b/>
                <w:bCs/>
                <w:sz w:val="17"/>
                <w:szCs w:val="17"/>
              </w:rPr>
              <w:t xml:space="preserve">3.5</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10. Cost (5-year ROM)</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F4B183" w:color="auto" w:val="clear"/>
            <w:tcMar>
              <w:top w:type="dxa" w:w="50"/>
              <w:left w:type="dxa" w:w="90"/>
              <w:bottom w:type="dxa" w:w="50"/>
              <w:right w:type="dxa" w:w="90"/>
            </w:tcMar>
            <w:vAlign w:val="top"/>
          </w:tcPr>
          <w:p>
            <w:pPr>
              <w:spacing w:after="20"/>
              <w:jc w:val="center"/>
            </w:pPr>
            <w:r>
              <w:rPr>
                <w:b/>
                <w:bCs/>
                <w:sz w:val="17"/>
                <w:szCs w:val="17"/>
              </w:rPr>
              <w:t xml:space="preserve">2.0</w:t>
            </w:r>
          </w:p>
        </w:tc>
        <w:tc>
          <w:tcPr>
            <w:tcW w:type="dxa" w:w="1400"/>
            <w:tcBorders>
              <w:top w:val="single" w:color="BFBFBF" w:sz="4"/>
              <w:left w:val="single" w:color="BFBFBF" w:sz="4"/>
              <w:bottom w:val="single" w:color="BFBFBF" w:sz="4"/>
              <w:right w:val="single" w:color="BFBFBF" w:sz="4"/>
            </w:tcBorders>
            <w:shd w:fill="A9D18E" w:color="auto" w:val="clear"/>
            <w:tcMar>
              <w:top w:type="dxa" w:w="50"/>
              <w:left w:type="dxa" w:w="90"/>
              <w:bottom w:type="dxa" w:w="50"/>
              <w:right w:type="dxa" w:w="90"/>
            </w:tcMar>
            <w:vAlign w:val="top"/>
          </w:tcPr>
          <w:p>
            <w:pPr>
              <w:spacing w:after="20"/>
              <w:jc w:val="center"/>
            </w:pPr>
            <w:r>
              <w:rPr>
                <w:b/>
                <w:bCs/>
                <w:sz w:val="17"/>
                <w:szCs w:val="17"/>
              </w:rPr>
              <w:t xml:space="preserve">5.0</w:t>
            </w:r>
          </w:p>
        </w:tc>
      </w:tr>
      <w:tr>
        <w:trPr>
          <w:cantSplit/>
        </w:trPr>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sz w:val="17"/>
                <w:szCs w:val="17"/>
              </w:rPr>
              <w:t xml:space="preserve">11. Risks and overall suitability for enterprise adoption</w:t>
            </w:r>
          </w:p>
        </w:tc>
        <w:tc>
          <w:tcPr>
            <w:tcW w:type="dxa" w:w="1400"/>
            <w:tcBorders>
              <w:top w:val="single" w:color="BFBFBF" w:sz="4"/>
              <w:left w:val="single" w:color="BFBFBF" w:sz="4"/>
              <w:bottom w:val="single" w:color="BFBFBF" w:sz="4"/>
              <w:right w:val="single" w:color="BFBFBF" w:sz="4"/>
            </w:tcBorders>
            <w:shd w:fill="C5E0B4" w:color="auto" w:val="clear"/>
            <w:tcMar>
              <w:top w:type="dxa" w:w="50"/>
              <w:left w:type="dxa" w:w="90"/>
              <w:bottom w:type="dxa" w:w="50"/>
              <w:right w:type="dxa" w:w="90"/>
            </w:tcMar>
            <w:vAlign w:val="top"/>
          </w:tcPr>
          <w:p>
            <w:pPr>
              <w:spacing w:after="20"/>
              <w:jc w:val="center"/>
            </w:pPr>
            <w:r>
              <w:rPr>
                <w:b/>
                <w:bCs/>
                <w:sz w:val="17"/>
                <w:szCs w:val="17"/>
              </w:rPr>
              <w:t xml:space="preserve">4.5</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c>
          <w:tcPr>
            <w:tcW w:type="dxa" w:w="1400"/>
            <w:tcBorders>
              <w:top w:val="single" w:color="BFBFBF" w:sz="4"/>
              <w:left w:val="single" w:color="BFBFBF" w:sz="4"/>
              <w:bottom w:val="single" w:color="BFBFBF" w:sz="4"/>
              <w:right w:val="single" w:color="BFBFBF" w:sz="4"/>
            </w:tcBorders>
            <w:shd w:fill="FFE699" w:color="auto" w:val="clear"/>
            <w:tcMar>
              <w:top w:type="dxa" w:w="50"/>
              <w:left w:type="dxa" w:w="90"/>
              <w:bottom w:type="dxa" w:w="50"/>
              <w:right w:type="dxa" w:w="90"/>
            </w:tcMar>
            <w:vAlign w:val="top"/>
          </w:tcPr>
          <w:p>
            <w:pPr>
              <w:spacing w:after="20"/>
              <w:jc w:val="center"/>
            </w:pPr>
            <w:r>
              <w:rPr>
                <w:b/>
                <w:bCs/>
                <w:sz w:val="17"/>
                <w:szCs w:val="17"/>
              </w:rPr>
              <w:t xml:space="preserve">3.0</w:t>
            </w:r>
          </w:p>
        </w:tc>
      </w:tr>
      <w:tr>
        <w:tc>
          <w:tcPr>
            <w:tcW w:type="dxa" w:w="516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pPr>
            <w:r>
              <w:rPr>
                <w:sz w:val="17"/>
                <w:szCs w:val="17"/>
              </w:rPr>
              <w:t xml:space="preserve">Average score</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4.1</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3.4</w:t>
            </w:r>
          </w:p>
        </w:tc>
        <w:tc>
          <w:tcPr>
            <w:tcW w:type="dxa" w:w="1400"/>
            <w:tcBorders>
              <w:top w:val="single" w:color="BFBFBF" w:sz="4"/>
              <w:left w:val="single" w:color="BFBFBF" w:sz="4"/>
              <w:bottom w:val="single" w:color="BFBFBF" w:sz="4"/>
              <w:right w:val="single" w:color="BFBFBF" w:sz="4"/>
            </w:tcBorders>
            <w:shd w:fill="EFE7F4" w:color="auto" w:val="clear"/>
            <w:tcMar>
              <w:top w:type="dxa" w:w="50"/>
              <w:left w:type="dxa" w:w="90"/>
              <w:bottom w:type="dxa" w:w="50"/>
              <w:right w:type="dxa" w:w="90"/>
            </w:tcMar>
            <w:vAlign w:val="top"/>
          </w:tcPr>
          <w:p>
            <w:pPr>
              <w:spacing w:after="20"/>
              <w:jc w:val="center"/>
            </w:pPr>
            <w:r>
              <w:rPr>
                <w:b/>
                <w:bCs/>
                <w:sz w:val="17"/>
                <w:szCs w:val="17"/>
              </w:rPr>
              <w:t xml:space="preserve">3.3</w:t>
            </w:r>
          </w:p>
        </w:tc>
      </w:tr>
    </w:tbl>
    <w:p>
      <w:pPr>
        <w:spacing w:after="160" w:before="60"/>
      </w:pPr>
      <w:r>
        <w:rPr>
          <w:i/>
          <w:iCs/>
          <w:color w:val="404040"/>
          <w:sz w:val="18"/>
          <w:szCs w:val="18"/>
        </w:rPr>
        <w:t xml:space="preserve">Scores: 1 = least favourable, 5 = most favourable; unweighted average. Criteria 1–9 reflect the revised requirements; criteria 10–11 cover cost, risk and suitability.</w:t>
      </w:r>
    </w:p>
    <w:p>
      <w:pPr>
        <w:pStyle w:val="Heading1"/>
        <w:pageBreakBefore/>
      </w:pPr>
      <w:bookmarkStart w:id="937" w:name="_Toc1037"/>
      <w:r>
        <w:t xml:space="preserve">3   Final Decision Outcome</w:t>
      </w:r>
      <w:bookmarkEnd w:id="9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582873" w:sz="24"/>
              <w:bottom w:val="single" w:color="BFBFBF" w:sz="4"/>
              <w:right w:val="single" w:color="BFBFBF" w:sz="4"/>
            </w:tcBorders>
            <w:shd w:fill="F3EAF7" w:color="auto" w:val="clear"/>
            <w:tcMar>
              <w:top w:type="dxa" w:w="120"/>
              <w:left w:type="dxa" w:w="180"/>
              <w:bottom w:type="dxa" w:w="120"/>
              <w:right w:type="dxa" w:w="180"/>
            </w:tcMar>
          </w:tcPr>
          <w:p>
            <w:pPr>
              <w:spacing w:after="100"/>
            </w:pPr>
            <w:r>
              <w:rPr>
                <w:b/>
                <w:bCs/>
                <w:color w:val="582873"/>
                <w:sz w:val="22"/>
                <w:szCs w:val="22"/>
              </w:rPr>
              <w:t xml:space="preserve">Recommendation: Option A, Commvault for Multi-Cloud Workloads (with Option C as the lower-cost alternative)</w:t>
            </w:r>
          </w:p>
          <w:p>
            <w:pPr>
              <w:spacing w:after="100" w:line="260"/>
            </w:pPr>
            <w:r>
              <w:t xml:space="preserve">Adopt Commvault as the enterprise backup and recovery platform for cloud workloads, extending the platform already used for on-premises and Microsoft 365. Azure workloads are protected to immutable storage in Canada Central with an isolated offsite copy in Commvault AirGap Protect in Canada, and optionally a further copy in the on-premises Canadian data centres. Cloud Rewind provides recovery of deleted resource groups, VNets and dependent resources. Native Azure PITR/LTR is retained for PaaS databases, and Azure Backup continues for any workload not validated in the PoC and until existing recovery points expire.</w:t>
            </w:r>
          </w:p>
          <w:p>
            <w:pPr>
              <w:spacing w:after="100" w:line="260"/>
            </w:pPr>
            <w:r>
              <w:rPr>
                <w:b/>
                <w:bCs/>
              </w:rPr>
              <w:t xml:space="preserve">Key trade-offs:</w:t>
            </w:r>
            <w:r>
              <w:t xml:space="preserve"> Option A costs about CAD 1.9M more than enhancing the current Azure Backup deployment over five years and replaces a solution that works today. In return it closes the infrastructure-rebuild, DevOps and offsite-isolation gaps on one platform shared with the rest of the enterprise, and is ready for AWS and GCP. Option B is not recommended because it adds a second enterprise platform at the highest cost.</w:t>
            </w:r>
          </w:p>
          <w:p>
            <w:pPr>
              <w:spacing w:after="100" w:line="260"/>
            </w:pPr>
            <w:r>
              <w:rPr>
                <w:b/>
                <w:bCs/>
              </w:rPr>
              <w:t xml:space="preserve">When Option C is the better choice:</w:t>
            </w:r>
            <w:r>
              <w:t xml:space="preserve"> if AWS/GCP adoption is not expected within the planning horizon, the security team accepts a same-tenant replica protected by Resource Guard and locked immutability, and IaC covers critical environments, then enhancing the current Azure Backup deployment (Option C) meets the core requirements at the lowest cost and risk.</w:t>
            </w:r>
          </w:p>
          <w:p>
            <w:pPr>
              <w:spacing w:after="100" w:line="260"/>
            </w:pPr>
            <w:r>
              <w:rPr>
                <w:b/>
                <w:bCs/>
              </w:rPr>
              <w:t xml:space="preserve">Expected business benefits (Option A):</w:t>
            </w:r>
            <w:r>
              <w:t xml:space="preserve"> faster, predictable recovery of whole cloud applications after deletion or ransomware; one operating model, team and audit trail across on-premises, Microsoft 365 and cloud; Canadian residency with an isolated offsite copy; and no re-platforming when AWS or GCP are adopted.</w:t>
            </w:r>
          </w:p>
        </w:tc>
      </w:tr>
    </w:tbl>
    <w:p>
      <w:pPr>
        <w:keepNext/>
        <w:spacing w:after="40" w:before="120"/>
        <w:jc w:val="center"/>
      </w:pPr>
      <w:r>
        <w:drawing>
          <wp:inline distT="0" distB="0" distL="0" distR="0">
            <wp:extent cx="5852160" cy="3586808"/>
            <wp:effectExtent t="0" r="0" b="0" l="0"/>
            <wp:docPr id="1" name="topology3.png" descr="topology3.png" title="topolog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586808"/>
                    </a:xfrm>
                    <a:prstGeom prst="rect">
                      <a:avLst/>
                    </a:prstGeom>
                  </pic:spPr>
                </pic:pic>
              </a:graphicData>
            </a:graphic>
          </wp:inline>
        </w:drawing>
      </w:r>
    </w:p>
    <w:p>
      <w:pPr>
        <w:spacing w:after="200" w:before="60"/>
      </w:pPr>
      <w:r>
        <w:rPr>
          <w:i/>
          <w:iCs/>
          <w:color w:val="595959"/>
          <w:sz w:val="18"/>
          <w:szCs w:val="18"/>
        </w:rPr>
        <w:t xml:space="preserve">Figure 3: Target cloud backup topology (Option A). Editable source: Figure3_Target_Topology.drawio (open in draw.io / diagrams.net).</w:t>
      </w:r>
    </w:p>
    <w:p>
      <w:pPr>
        <w:pStyle w:val="Heading2"/>
      </w:pPr>
      <w:bookmarkStart w:id="938" w:name="_Toc1038"/>
      <w:r>
        <w:t xml:space="preserve">3.1   Decision Statement</w:t>
      </w:r>
      <w:bookmarkEnd w:id="9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Item</w:t>
            </w:r>
          </w:p>
        </w:tc>
        <w:tc>
          <w:tcPr>
            <w:tcW w:type="dxa" w:w="69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Outcome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Selected option</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Option A: Commvault for multi-cloud workloads, with native Azure PITR/LTR retained for PaaS databases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Alternative</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Option C: enhance the current Azure Backup deployment, if the conditions in the recommendation apply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Rejected option</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Option B: Rubrik (second enterprise platform, highest cost, IaC-only rebuild)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Indicative budget</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ROM CAD 4.58M over 5 years (range CAD 2.75M–6.87M), including AWS/GCP from Year 3; Azure only CAD 3.35M. To be replaced by quote-based figures before spend approval.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Immediate actions (any option)</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1) Protect Azure DevOps and GitHub. 2) Apply resource locks and Azure Policy to critical resource groups and VNets. 3) Lock immutability and enable Multi-User Authorization on existing Azure Backup vaults. 4) Confirm Canada East capacity options for recovery.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Status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Proposed: pending approval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Review triggers</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Failed PoC condition; SaaS residency not confirmed; AWS/GCP adoption decision; actual Azure Backup spend materially different from ROM; Commvault renewal</w:t>
            </w:r>
          </w:p>
        </w:tc>
      </w:tr>
    </w:tbl>
    <w:p>
      <w:pPr>
        <w:pStyle w:val="Heading2"/>
      </w:pPr>
      <w:bookmarkStart w:id="939" w:name="_Toc1039"/>
      <w:r>
        <w:t xml:space="preserve">3.2   Conditions of Approval</w:t>
      </w:r>
      <w:bookmarkEnd w:id="939"/>
    </w:p>
    <w:p>
      <w:pPr>
        <w:pStyle w:val="ListParagraph"/>
        <w:numPr>
          <w:ilvl w:val="0"/>
          <w:numId w:val="2"/>
        </w:numPr>
        <w:spacing w:after="60" w:line="252"/>
      </w:pPr>
      <w:r>
        <w:t xml:space="preserve">Actual Azure Backup spend taken from Azure Cost Management and compared with the quote for Option A.</w:t>
      </w:r>
    </w:p>
    <w:p>
      <w:pPr>
        <w:pStyle w:val="ListParagraph"/>
        <w:numPr>
          <w:ilvl w:val="0"/>
          <w:numId w:val="2"/>
        </w:numPr>
        <w:spacing w:after="60" w:line="252"/>
      </w:pPr>
      <w:r>
        <w:t xml:space="preserve">Written confirmation that Commvault Cloud, Cloud Rewind and AirGap Protect keep data, metadata, telemetry and support access in Canada, or use of the self-hosted CommServe in Canada as the control plane.</w:t>
      </w:r>
    </w:p>
    <w:p>
      <w:pPr>
        <w:pStyle w:val="ListParagraph"/>
        <w:numPr>
          <w:ilvl w:val="0"/>
          <w:numId w:val="2"/>
        </w:numPr>
        <w:spacing w:after="60" w:line="252"/>
      </w:pPr>
      <w:r>
        <w:t xml:space="preserve">PoC passed for each workload in 1.1.1 marked "confirm", including PaaS databases, AKS, Key Vault and Function Apps.</w:t>
      </w:r>
    </w:p>
    <w:p>
      <w:pPr>
        <w:pStyle w:val="ListParagraph"/>
        <w:numPr>
          <w:ilvl w:val="0"/>
          <w:numId w:val="2"/>
        </w:numPr>
        <w:spacing w:after="60" w:line="252"/>
      </w:pPr>
      <w:r>
        <w:t xml:space="preserve">Cloud Rewind demonstrated rebuilding a deleted resource group and VNet with dependent resources in a test subscription.</w:t>
      </w:r>
    </w:p>
    <w:p>
      <w:pPr>
        <w:pStyle w:val="ListParagraph"/>
        <w:numPr>
          <w:ilvl w:val="0"/>
          <w:numId w:val="2"/>
        </w:numPr>
        <w:spacing w:after="60" w:line="252"/>
      </w:pPr>
      <w:r>
        <w:t xml:space="preserve">DevOps/GitHub restore demonstrated for one Azure DevOps organisation and one GitHub organisation, with compensating exports for GitHub issues and Actions.</w:t>
      </w:r>
    </w:p>
    <w:p>
      <w:pPr>
        <w:pStyle w:val="ListParagraph"/>
        <w:numPr>
          <w:ilvl w:val="0"/>
          <w:numId w:val="2"/>
        </w:numPr>
        <w:spacing w:after="60" w:line="252"/>
      </w:pPr>
      <w:r>
        <w:t xml:space="preserve">Offsite copy restore demonstrated into Canada Central and into Canada East (or on-premises).</w:t>
      </w:r>
    </w:p>
    <w:p>
      <w:pPr>
        <w:pStyle w:val="ListParagraph"/>
        <w:numPr>
          <w:ilvl w:val="0"/>
          <w:numId w:val="2"/>
        </w:numPr>
        <w:spacing w:after="60" w:line="252"/>
      </w:pPr>
      <w:r>
        <w:t xml:space="preserve">Hardening baseline enforced: Entra SSO, phishing-resistant MFA, PAM, Multi-Person Authorization, locked immutability, Sentinel integration.</w:t>
      </w:r>
    </w:p>
    <w:p>
      <w:pPr>
        <w:pStyle w:val="Heading2"/>
      </w:pPr>
      <w:bookmarkStart w:id="940" w:name="_Toc1040"/>
      <w:r>
        <w:t xml:space="preserve">3.3   Key Risks and Mitigations</w:t>
      </w:r>
      <w:bookmarkEnd w:id="9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60"/>
        <w:gridCol w:w="1100"/>
        <w:gridCol w:w="1400"/>
        <w:gridCol w:w="3200"/>
      </w:tblGrid>
      <w:tr>
        <w:trPr>
          <w:cantSplit/>
          <w:tblHeader/>
        </w:trPr>
        <w:tc>
          <w:tcPr>
            <w:tcW w:type="dxa" w:w="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w:t>
            </w:r>
          </w:p>
        </w:tc>
        <w:tc>
          <w:tcPr>
            <w:tcW w:type="dxa" w:w="32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Risk</w:t>
            </w:r>
          </w:p>
        </w:tc>
        <w:tc>
          <w:tcPr>
            <w:tcW w:type="dxa" w:w="11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Option</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L / I</w:t>
            </w:r>
          </w:p>
        </w:tc>
        <w:tc>
          <w:tcPr>
            <w:tcW w:type="dxa" w:w="3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6"/>
                <w:szCs w:val="16"/>
              </w:rPr>
              <w:t xml:space="preserve">Mitigation</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1</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Current: DevOps/GitHub and deleted resource groups/VNets rely on short native retention or IaC completeness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All (now)</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High / High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Immediate actions in 3.1; DevOps protection in Phase 1</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2</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Cost premium of Option A not justified by realised benefits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Medium / Medium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Quote vs. actual Azure Backup spend; review trigger on multi-cloud decision</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3</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SaaS control-plane metadata outside Canada</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Medium / High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Written confirmation; self-hosted CommServe (A) or RSC Sovereign (B)</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4</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Cloud Rewind coverage gaps for some Azure services; same-region rebuild limits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Medium / Medium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PoC; IaC in Git as fallback; track roadmap</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5</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Canada East compute capacity unavailable at recovery time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Medium / High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Capacity reservations; recovery to Canada Central (alternate subscription) or on-premises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6</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Transition from a working Azure Backup deployment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 B</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Low / Medium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Phased onboarding; keep Azure Backup until new protection is proven and old points expire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7</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 incomplete or untested, limiting environment rebuild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B, C</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Medium / High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IaC coverage review; export tooling; quarterly rebuild tests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8</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Offsite replica administered in the same tenant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C</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Medium / High</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Locked immutable vault; MUA with Resource Guard in a separate subscription or tenant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6"/>
                <w:szCs w:val="16"/>
              </w:rPr>
              <w:t xml:space="preserve">9</w:t>
            </w:r>
          </w:p>
        </w:tc>
        <w:tc>
          <w:tcPr>
            <w:tcW w:type="dxa" w:w="32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ROM cost differs materially from quotes or actuals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All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Medium / Medium</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6"/>
                <w:szCs w:val="16"/>
              </w:rPr>
              <w:t xml:space="preserve">Quotes and Azure Cost Management actuals before spend approval</w:t>
            </w:r>
          </w:p>
        </w:tc>
      </w:tr>
    </w:tbl>
    <w:p>
      <w:pPr>
        <w:pStyle w:val="Heading2"/>
      </w:pPr>
      <w:bookmarkStart w:id="941" w:name="_Toc1041"/>
      <w:r>
        <w:t xml:space="preserve">3.4   Next Steps and Roadmap</w:t>
      </w:r>
      <w:bookmarkEnd w:id="9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800"/>
        <w:gridCol w:w="2360"/>
      </w:tblGrid>
      <w:tr>
        <w:trPr>
          <w:cantSplit/>
          <w:tblHeader/>
        </w:trPr>
        <w:tc>
          <w:tcPr>
            <w:tcW w:type="dxa" w:w="1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Phase</w:t>
            </w:r>
          </w:p>
        </w:tc>
        <w:tc>
          <w:tcPr>
            <w:tcW w:type="dxa" w:w="13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Timing</w:t>
            </w:r>
          </w:p>
        </w:tc>
        <w:tc>
          <w:tcPr>
            <w:tcW w:type="dxa" w:w="38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Scope</w:t>
            </w:r>
          </w:p>
        </w:tc>
        <w:tc>
          <w:tcPr>
            <w:tcW w:type="dxa" w:w="2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Exit criteria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0. Validate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Months 0–2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Discovery of Azure workloads and volumes; residency confirmation; PoC; quotes</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KDD v1.0 approved; PoC report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1. Quick wins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Months 0–2</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Immediate actions (3.1); DevOps/GitHub protection; hardening baseline</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DevOps protected; locks and policies applied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2. Azure onboarding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Months 2–5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Access nodes, backup subscription, primary copy, AirGap offsite copy; onboard workloads by tier</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Tier-0/1 protected; offsite restore test passed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3. Configuration recovery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Months 3–6</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Cloud Rewind for critical application environments; alternate-subscription and cross-region runbooks; retire Azure Backup policies at expiry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Rebuild tests passed</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4. Multi-cloud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At adoption</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AWS and GCP onboarded with the same policies</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Protected from go-live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Ongoing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Quarterly / annual</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Restore tests per tier; annual cyber-recovery exercise; cost review</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Recovery evidence for audit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2200"/>
        <w:gridCol w:w="1400"/>
      </w:tblGrid>
      <w:tr>
        <w:trPr>
          <w:cantSplit/>
          <w:tblHeader/>
        </w:trPr>
        <w:tc>
          <w:tcPr>
            <w:tcW w:type="dxa" w:w="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w:t>
            </w:r>
          </w:p>
        </w:tc>
        <w:tc>
          <w:tcPr>
            <w:tcW w:type="dxa" w:w="5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Action</w:t>
            </w:r>
          </w:p>
        </w:tc>
        <w:tc>
          <w:tcPr>
            <w:tcW w:type="dxa" w:w="22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Owner</w:t>
            </w:r>
          </w:p>
        </w:tc>
        <w:tc>
          <w:tcPr>
            <w:tcW w:type="dxa" w:w="14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Target 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1</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Confirm current protection status of every workload in 1.1.1, per subscription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Cloud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2</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Confirm Azure FETB, growth and retention requirements per tier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Cloud Lead / Backup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3</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Obtain written residency confirmation from Commvault (and Rubrik if B is kept as a fallback)</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Compliance / Procurement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4</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Confirm Canada East capacity options with Microsoft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Cloud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5</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Obtain Commvault quote (cloud workloads, AirGap Protect, Cloud Rewind, DevOps)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Procurement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6</w:t>
            </w:r>
          </w:p>
        </w:tc>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Run the PoC and present results to the Design Authority</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Resilience Lead</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[Date]</w:t>
            </w:r>
          </w:p>
        </w:tc>
      </w:tr>
    </w:tbl>
    <w:p>
      <w:pPr>
        <w:pStyle w:val="Heading1"/>
        <w:pageBreakBefore/>
      </w:pPr>
      <w:bookmarkStart w:id="942" w:name="_Toc1042"/>
      <w:r>
        <w:t xml:space="preserve">Appendix A: Glossary</w:t>
      </w:r>
      <w:bookmarkEnd w:id="9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Term</w:t>
            </w:r>
          </w:p>
        </w:tc>
        <w:tc>
          <w:tcPr>
            <w:tcW w:type="dxa" w:w="67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Definition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AirGap Protect</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Commvault-managed immutable cloud storage in a vendor tenant, outside the customer tenant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CRR / CSR</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Cross Region Restore (to the Azure paired region, needs a GRS vault) / Cross Subscription Restore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Cloud Rewind</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Commvault service that discovers and rebuilds cloud application environments (resources, configuration and data)</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FETB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Front-end TB: size of the protected source data</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IaC</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Infrastructure as Code (for example, Bicep or Terraform) used to redeploy resources and configuration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GRS / ZRS / LRS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Geo-, zone- and locally redundant storage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LTR / PITR</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Long-term retention / point-in-time restore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MUA</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Azure Backup Multi-User Authorization, using a Resource Guard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Offsite copy</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A backup copy that is geographically and logically separate from production; zone redundancy does not qualify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ROM</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Rough Order of Magnitude: early estimate for comparing options (here −40% / +50%)</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RSC / RCV</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7"/>
                <w:szCs w:val="17"/>
              </w:rPr>
              <w:t xml:space="preserve">Rubrik Security Cloud / Rubrik Cloud Vault</w:t>
            </w:r>
          </w:p>
        </w:tc>
      </w:tr>
    </w:tbl>
    <w:p>
      <w:pPr>
        <w:pStyle w:val="Heading1"/>
        <w:pageBreakBefore/>
      </w:pPr>
      <w:bookmarkStart w:id="943" w:name="_Toc1043"/>
      <w:r>
        <w:t xml:space="preserve">Appendix B: Requirements Traceability</w:t>
      </w:r>
      <w:bookmarkEnd w:id="94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Requirement</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A: Commvault</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B: Rubrik</w:t>
            </w:r>
          </w:p>
        </w:tc>
        <w:tc>
          <w:tcPr>
            <w:tcW w:type="dxa" w:w="20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7"/>
                <w:szCs w:val="17"/>
              </w:rPr>
              <w:t xml:space="preserve">Option C: Azure Backup</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 Canadian residency</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(confirm SaaS metadata)</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Conditional</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R2 In-region + offsite copy</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(isolated)</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(isolated; confirm region)</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 (same-tenant replica)</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R3 Cross-region recovery in Canada</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(data); validate rebuild</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(validate per service)</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 (CRR where supported; capacity)</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R4 Azure workload coverage</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(validate PaaS items)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R5 Resource group / VNet recovery</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(Cloud Rewind)</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 (IaC-based rebuild)</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 (IaC-based rebuild)</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R6 SaaS / PaaS recovery</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 (native + Commvault)</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R7 DevOps / GitHub</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(some objects excluded)</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(GitHub to validate)</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 (specialist service)</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R8 Ransomware resilience</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R9 PITR, retention, testing</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R10 AWS / GCP</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keepNext w:val="false"/>
              <w:spacing w:after="20"/>
            </w:pPr>
            <w:r>
              <w:rPr>
                <w:b w:val="false"/>
                <w:bCs w:val="false"/>
                <w:sz w:val="17"/>
                <w:szCs w:val="17"/>
              </w:rPr>
              <w:t xml:space="preserve">No</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R11 Central management with existing estate</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8D7DA" w:color="auto" w:val="clear"/>
            <w:tcMar>
              <w:top w:type="dxa" w:w="50"/>
              <w:left w:type="dxa" w:w="90"/>
              <w:bottom w:type="dxa" w:w="50"/>
              <w:right w:type="dxa" w:w="90"/>
            </w:tcMar>
            <w:vAlign w:val="top"/>
          </w:tcPr>
          <w:p>
            <w:pPr>
              <w:keepNext w:val="false"/>
              <w:spacing w:after="20"/>
            </w:pPr>
            <w:r>
              <w:rPr>
                <w:b w:val="false"/>
                <w:bCs w:val="false"/>
                <w:sz w:val="17"/>
                <w:szCs w:val="17"/>
              </w:rPr>
              <w:t xml:space="preserve">No</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 (Azure-wide view)</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7"/>
                <w:szCs w:val="17"/>
              </w:rPr>
              <w:t xml:space="preserve">R12 Predictable cost</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top"/>
          </w:tcPr>
          <w:p>
            <w:pPr>
              <w:keepNext w:val="false"/>
              <w:spacing w:after="20"/>
            </w:pPr>
            <w:r>
              <w:rPr>
                <w:b w:val="false"/>
                <w:bCs w:val="false"/>
                <w:sz w:val="17"/>
                <w:szCs w:val="17"/>
              </w:rPr>
              <w:t xml:space="preserve">Partial</w:t>
            </w:r>
          </w:p>
        </w:tc>
        <w:tc>
          <w:tcPr>
            <w:tcW w:type="dxa" w:w="20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top"/>
          </w:tcPr>
          <w:p>
            <w:pPr>
              <w:keepNext w:val="false"/>
              <w:spacing w:after="20"/>
            </w:pPr>
            <w:r>
              <w:rPr>
                <w:b w:val="false"/>
                <w:bCs w:val="false"/>
                <w:sz w:val="17"/>
                <w:szCs w:val="17"/>
              </w:rPr>
              <w:t xml:space="preserve">Yes (lowest)</w:t>
            </w:r>
          </w:p>
        </w:tc>
      </w:tr>
    </w:tbl>
    <w:p>
      <w:pPr>
        <w:pStyle w:val="Heading1"/>
        <w:pageBreakBefore/>
      </w:pPr>
      <w:bookmarkStart w:id="944" w:name="_Toc1044"/>
      <w:r>
        <w:t xml:space="preserve">Appendix C: References</w:t>
      </w:r>
      <w:bookmarkEnd w:id="944"/>
    </w:p>
    <w:p>
      <w:pPr>
        <w:spacing w:after="120" w:line="264"/>
      </w:pPr>
      <w:r>
        <w:t xml:space="preserve">Microsoft limitations were checked against Microsoft Learn in October 2026. Vendor capabilities marked "validate" must be confirmed in the PoC or in writing. Links should be re-checked before circulation.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60"/>
      </w:tblGrid>
      <w:tr>
        <w:trPr>
          <w:cantSplit/>
          <w:tblHeader/>
        </w:trPr>
        <w:tc>
          <w:tcPr>
            <w:tcW w:type="dxa" w:w="13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Vendor</w:t>
            </w:r>
          </w:p>
        </w:tc>
        <w:tc>
          <w:tcPr>
            <w:tcW w:type="dxa" w:w="290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Topic</w:t>
            </w:r>
          </w:p>
        </w:tc>
        <w:tc>
          <w:tcPr>
            <w:tcW w:type="dxa" w:w="5160"/>
            <w:tcBorders>
              <w:top w:val="single" w:color="BFBFBF" w:sz="4"/>
              <w:left w:val="single" w:color="BFBFBF" w:sz="4"/>
              <w:bottom w:val="single" w:color="BFBFBF" w:sz="4"/>
              <w:right w:val="single" w:color="BFBFBF" w:sz="4"/>
            </w:tcBorders>
            <w:shd w:fill="582873" w:color="auto" w:val="clear"/>
            <w:tcMar>
              <w:top w:type="dxa" w:w="50"/>
              <w:left w:type="dxa" w:w="90"/>
              <w:bottom w:type="dxa" w:w="50"/>
              <w:right w:type="dxa" w:w="90"/>
            </w:tcMar>
            <w:vAlign w:val="top"/>
          </w:tcPr>
          <w:p>
            <w:pPr>
              <w:keepNext w:val="false"/>
              <w:spacing w:after="20"/>
            </w:pPr>
            <w:r>
              <w:rPr>
                <w:b/>
                <w:bCs/>
                <w:color w:val="FFFFFF"/>
                <w:sz w:val="15"/>
                <w:szCs w:val="15"/>
              </w:rPr>
              <w:t xml:space="preserve">Link</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Backup support matrix</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https://learn.microsoft.com/en-us/azure/backup/backup-support-matrix</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Recovery Services vault: Cross Region Restore</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https://learn.microsoft.com/azure/backup/backup-create-rs-vault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PostgreSQL Flexible Server backup support matrix</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https://learn.microsoft.com/en-us/azure/backup/backup-azure-database-postgresql-flex-support-matrix</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MySQL Flexible Server long-term retention (preview paused)</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https://learn.microsoft.com/en-us/azure/backup/backup-azure-mysql-flexible-server-about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AKS backup support matrix</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https://learn.microsoft.com/en-us/azure/backup/azure-kubernetes-service-cluster-backup-support-matrix</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Disk Backup support matrix</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https://learn.microsoft.com/en-us/azure/backup/disk-backup-support-matrix</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Key Vault backup and restore</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https://learn.microsoft.com/azure/key-vault/general/backup</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Cosmos DB continuous backup</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https://learn.microsoft.com/azure/cosmos-db/continuous-backup-restore-introduction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Cloud Rewind: Azure resources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https://documentation.commvault.com/cloud_rewind/azure_resources.html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Cloud Rewind: Azure recovery and limitations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https://documentation.commvault.com/cloud_rewind/azure_recovery.html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Supported regions for AirGap storage</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https://documentation.commvault.com/v11/software/supported_regions_for_air_gap_protect_storage.html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Blob backup support matrix</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https://learn.microsoft.com/azure/backup/blob-backup-support-matrix</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Microsoft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DevOps: delete and restore a project</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https://learn.microsoft.com/azure/devops/organizations/projects/delete-project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GitHub</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Restoring a deleted repository</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https://docs.github.com/en/repositories/creating-and-managing-repositories/restoring-a-deleted-repository</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DevOps backup (data you can and cannot back up)</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https://documentation.commvault.com/saas/azure_devops.html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Commvault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GitHub backup (data you can and cannot back up)</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https://documentation.commvault.com/saas/github.html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DevOps Protection for Azure DevOps</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https://www.rubrik.com/blog/technology/25/11/protect-your-innovation-engine-introducing-rubrik-devops-protection-for-azure-devops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DevOps Protection for GitHub</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https://www.rubrik.com/solutions/github</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Azure cloud-native protection</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https://www.rubrik.com/solutions/azure-native-protection.html</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bCs/>
                <w:sz w:val="15"/>
                <w:szCs w:val="15"/>
              </w:rPr>
              <w:t xml:space="preserve">Rubrik</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Data sovereignty (RSC Sovereign)</w:t>
            </w:r>
          </w:p>
        </w:tc>
        <w:tc>
          <w:tcPr>
            <w:tcW w:type="dxa" w:w="51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keepNext w:val="false"/>
              <w:spacing w:after="20"/>
            </w:pPr>
            <w:r>
              <w:rPr>
                <w:b w:val="false"/>
                <w:bCs w:val="false"/>
                <w:sz w:val="15"/>
                <w:szCs w:val="15"/>
              </w:rPr>
              <w:t xml:space="preserve">https://www.rubrik.com/solutions/rubrik-for-sovereign</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F7F7F"/>
        <w:sz w:val="16"/>
        <w:szCs w:val="16"/>
      </w:rPr>
      <w:t xml:space="preserve">Draft v0.4 for review. Indicative ROM costs; not vendor quotes.</w:t>
    </w:r>
    <w:r>
      <w:rPr>
        <w:color w:val="7F7F7F"/>
        <w:sz w:val="16"/>
        <w:szCs w:val="16"/>
      </w:rPr>
      <w:t xml:space="preserve">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Key Decision Document | Enterprise Cloud Workload Backup and Recovery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40" w:hanging="2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Light" w:cs="Calibri Light" w:eastAsia="Calibri Light" w:hAnsi="Calibri Light"/>
      <w:color w:val="582873"/>
      <w:sz w:val="32"/>
      <w:szCs w:val="32"/>
    </w:rPr>
  </w:style>
  <w:style w:type="paragraph" w:styleId="Heading2">
    <w:name w:val="Heading 2"/>
    <w:basedOn w:val="Normal"/>
    <w:next w:val="Normal"/>
    <w:qFormat/>
    <w:pPr>
      <w:keepNext/>
      <w:spacing w:after="120" w:before="300"/>
      <w:outlineLvl w:val="1"/>
    </w:pPr>
    <w:rPr>
      <w:rFonts w:ascii="Calibri Light" w:cs="Calibri Light" w:eastAsia="Calibri Light" w:hAnsi="Calibri Light"/>
      <w:color w:val="582873"/>
      <w:sz w:val="26"/>
      <w:szCs w:val="26"/>
    </w:rPr>
  </w:style>
  <w:style w:type="paragraph" w:styleId="Heading3">
    <w:name w:val="Heading 3"/>
    <w:basedOn w:val="Normal"/>
    <w:next w:val="Normal"/>
    <w:qFormat/>
    <w:pPr>
      <w:keepNext/>
      <w:spacing w:after="100" w:before="2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2491a49425a1d6f53ef80e5b1c33d8185786ad.png"/><Relationship Id="rId10" Type="http://schemas.openxmlformats.org/officeDocument/2006/relationships/image" Target="media/22e9f454936d66e65783aa70d59a2b697d7ceec6.png"/><Relationship Id="rId11" Type="http://schemas.openxmlformats.org/officeDocument/2006/relationships/image" Target="media/2e71cf86127fec046d97db9fae9f11ed540e62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Decision Document: Enterprise Cloud Workload Backup and Recovery</dc:title>
  <dc:creator>Omer Zubair</dc:creator>
  <cp:lastModifiedBy>Un-named</cp:lastModifiedBy>
  <cp:revision>1</cp:revision>
  <dcterms:created xsi:type="dcterms:W3CDTF">2026-10-22T13:11:24.389Z</dcterms:created>
  <dcterms:modified xsi:type="dcterms:W3CDTF">2026-10-22T13:11:24.389Z</dcterms:modified>
</cp:coreProperties>
</file>

<file path=docProps/custom.xml><?xml version="1.0" encoding="utf-8"?>
<Properties xmlns="http://schemas.openxmlformats.org/officeDocument/2006/custom-properties" xmlns:vt="http://schemas.openxmlformats.org/officeDocument/2006/docPropsVTypes"/>
</file>