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1CCC8" w14:textId="77777777" w:rsidR="00907DDA" w:rsidRDefault="00907DDA" w:rsidP="00907DDA">
      <w:pPr>
        <w:pStyle w:val="Heading1"/>
        <w:pageBreakBefore/>
      </w:pPr>
      <w:r>
        <w:t>Assessment Workbook: Review and Action</w:t>
      </w:r>
    </w:p>
    <w:tbl>
      <w:tblPr>
        <w:tblW w:w="0" w:type="auto"/>
        <w:tblBorders>
          <w:top w:val="single" w:sz="4" w:space="0" w:color="F3EEF7"/>
          <w:left w:val="single" w:sz="36" w:space="0" w:color="D30E8C"/>
          <w:bottom w:val="single" w:sz="4" w:space="0" w:color="F3EEF7"/>
          <w:right w:val="single" w:sz="4" w:space="0" w:color="F3EEF7"/>
        </w:tblBorders>
        <w:tblLayout w:type="fixed"/>
        <w:tblCellMar>
          <w:top w:w="120" w:type="dxa"/>
          <w:left w:w="180" w:type="dxa"/>
          <w:bottom w:w="120" w:type="dxa"/>
          <w:right w:w="180" w:type="dxa"/>
        </w:tblCellMar>
        <w:tblLook w:val="04A0" w:firstRow="1" w:lastRow="0" w:firstColumn="1" w:lastColumn="0" w:noHBand="0" w:noVBand="1"/>
      </w:tblPr>
      <w:tblGrid>
        <w:gridCol w:w="10080"/>
      </w:tblGrid>
      <w:tr w:rsidR="00907DDA" w14:paraId="5660066D" w14:textId="77777777" w:rsidTr="00A10E11">
        <w:tc>
          <w:tcPr>
            <w:tcW w:w="10080" w:type="dxa"/>
            <w:shd w:val="clear" w:color="auto" w:fill="F3EEF7"/>
          </w:tcPr>
          <w:p w14:paraId="38BA190E" w14:textId="77777777" w:rsidR="00907DDA" w:rsidRDefault="00907DDA" w:rsidP="00A10E11">
            <w:pPr>
              <w:spacing w:after="0"/>
            </w:pPr>
            <w:r>
              <w:rPr>
                <w:rFonts w:ascii="Arial" w:hAnsi="Arial"/>
                <w:b/>
                <w:color w:val="582873"/>
                <w:sz w:val="22"/>
              </w:rPr>
              <w:t xml:space="preserve">How to use this section: </w:t>
            </w:r>
            <w:r>
              <w:rPr>
                <w:rFonts w:ascii="Arial" w:hAnsi="Arial"/>
                <w:sz w:val="22"/>
              </w:rPr>
              <w:t>The assessment workbook is the single detailed record of every resource reviewed across the eight subscriptions. This report does not copy that data. Instead, it explains how to read the workbook, what to look for, and how to turn the results into actions. This keeps one source of truth that does not go out of date.</w:t>
            </w:r>
          </w:p>
        </w:tc>
      </w:tr>
    </w:tbl>
    <w:p w14:paraId="3CE3635B" w14:textId="77777777" w:rsidR="00907DDA" w:rsidRDefault="00907DDA" w:rsidP="00907DDA">
      <w:pPr>
        <w:spacing w:after="40"/>
      </w:pPr>
    </w:p>
    <w:p w14:paraId="7A677924" w14:textId="77777777" w:rsidR="00907DDA" w:rsidRDefault="00907DDA" w:rsidP="00907DDA">
      <w:r>
        <w:t>The workbook should be reviewed with the resource owners, and every item should end with a clear decision, an owner and a due date.</w:t>
      </w:r>
    </w:p>
    <w:p w14:paraId="6E9F472C" w14:textId="77777777" w:rsidR="00907DDA" w:rsidRDefault="00907DDA" w:rsidP="00907DDA">
      <w:pPr>
        <w:pStyle w:val="Heading2"/>
      </w:pPr>
      <w:r>
        <w:t>7.1 What the workbook covers and what to do with it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016"/>
        <w:gridCol w:w="3456"/>
        <w:gridCol w:w="1296"/>
        <w:gridCol w:w="3312"/>
      </w:tblGrid>
      <w:tr w:rsidR="00907DDA" w14:paraId="45D57EC3" w14:textId="77777777" w:rsidTr="00A10E11">
        <w:trPr>
          <w:cantSplit/>
          <w:tblHeader/>
        </w:trPr>
        <w:tc>
          <w:tcPr>
            <w:tcW w:w="2016" w:type="dxa"/>
            <w:shd w:val="clear" w:color="auto" w:fill="582873"/>
          </w:tcPr>
          <w:p w14:paraId="6F7A4ECE" w14:textId="77777777" w:rsidR="00907DDA" w:rsidRDefault="00907DDA" w:rsidP="00A10E11">
            <w:pPr>
              <w:spacing w:after="0"/>
            </w:pPr>
            <w:r>
              <w:rPr>
                <w:rFonts w:ascii="Arial" w:hAnsi="Arial"/>
                <w:b/>
                <w:color w:val="FFFFFF"/>
                <w:sz w:val="18"/>
              </w:rPr>
              <w:t>Workbook area</w:t>
            </w:r>
          </w:p>
        </w:tc>
        <w:tc>
          <w:tcPr>
            <w:tcW w:w="3456" w:type="dxa"/>
            <w:shd w:val="clear" w:color="auto" w:fill="582873"/>
          </w:tcPr>
          <w:p w14:paraId="422E1D5C" w14:textId="77777777" w:rsidR="00907DDA" w:rsidRDefault="00907DDA" w:rsidP="00A10E11">
            <w:pPr>
              <w:spacing w:after="0"/>
            </w:pPr>
            <w:r>
              <w:rPr>
                <w:rFonts w:ascii="Arial" w:hAnsi="Arial"/>
                <w:b/>
                <w:color w:val="FFFFFF"/>
                <w:sz w:val="18"/>
              </w:rPr>
              <w:t>What to look for</w:t>
            </w:r>
          </w:p>
        </w:tc>
        <w:tc>
          <w:tcPr>
            <w:tcW w:w="1296" w:type="dxa"/>
            <w:shd w:val="clear" w:color="auto" w:fill="582873"/>
          </w:tcPr>
          <w:p w14:paraId="7E293B3E" w14:textId="77777777" w:rsidR="00907DDA" w:rsidRDefault="00907DDA" w:rsidP="00A10E11">
            <w:pPr>
              <w:spacing w:after="0"/>
            </w:pPr>
            <w:r>
              <w:rPr>
                <w:rFonts w:ascii="Arial" w:hAnsi="Arial"/>
                <w:b/>
                <w:color w:val="FFFFFF"/>
                <w:sz w:val="18"/>
              </w:rPr>
              <w:t>Report reference</w:t>
            </w:r>
          </w:p>
        </w:tc>
        <w:tc>
          <w:tcPr>
            <w:tcW w:w="3312" w:type="dxa"/>
            <w:shd w:val="clear" w:color="auto" w:fill="582873"/>
          </w:tcPr>
          <w:p w14:paraId="0ED2BE26" w14:textId="77777777" w:rsidR="00907DDA" w:rsidRDefault="00907DDA" w:rsidP="00A10E11">
            <w:pPr>
              <w:spacing w:after="0"/>
            </w:pPr>
            <w:r>
              <w:rPr>
                <w:rFonts w:ascii="Arial" w:hAnsi="Arial"/>
                <w:b/>
                <w:color w:val="FFFFFF"/>
                <w:sz w:val="18"/>
              </w:rPr>
              <w:t>Recommended action</w:t>
            </w:r>
          </w:p>
        </w:tc>
      </w:tr>
      <w:tr w:rsidR="00907DDA" w14:paraId="79851A55" w14:textId="77777777" w:rsidTr="00A10E11">
        <w:trPr>
          <w:cantSplit/>
        </w:trPr>
        <w:tc>
          <w:tcPr>
            <w:tcW w:w="2016" w:type="dxa"/>
          </w:tcPr>
          <w:p w14:paraId="2A6CD934" w14:textId="77777777" w:rsidR="00907DDA" w:rsidRDefault="00907DDA" w:rsidP="00A10E11">
            <w:pPr>
              <w:spacing w:after="0"/>
            </w:pPr>
            <w:r>
              <w:rPr>
                <w:rFonts w:ascii="Arial" w:hAnsi="Arial"/>
                <w:b/>
                <w:sz w:val="18"/>
              </w:rPr>
              <w:t>Empty and orphaned resources</w:t>
            </w:r>
          </w:p>
        </w:tc>
        <w:tc>
          <w:tcPr>
            <w:tcW w:w="3456" w:type="dxa"/>
          </w:tcPr>
          <w:p w14:paraId="2CD57BFB" w14:textId="77777777" w:rsidR="00907DDA" w:rsidRDefault="00907DDA" w:rsidP="00A10E11">
            <w:pPr>
              <w:spacing w:after="0"/>
            </w:pPr>
            <w:r>
              <w:rPr>
                <w:rFonts w:ascii="Arial" w:hAnsi="Arial"/>
                <w:sz w:val="18"/>
              </w:rPr>
              <w:t>Unattached disks, unassociated public IPs and network interfaces, empty resource groups, and unused NSGs, route tables and App Service plans</w:t>
            </w:r>
          </w:p>
        </w:tc>
        <w:tc>
          <w:tcPr>
            <w:tcW w:w="1296" w:type="dxa"/>
          </w:tcPr>
          <w:p w14:paraId="150208BB" w14:textId="77777777" w:rsidR="00907DDA" w:rsidRDefault="00907DDA" w:rsidP="00A10E11">
            <w:pPr>
              <w:spacing w:after="0"/>
            </w:pPr>
            <w:r>
              <w:rPr>
                <w:rFonts w:ascii="Arial" w:hAnsi="Arial"/>
                <w:sz w:val="18"/>
              </w:rPr>
              <w:t>Section 5.9</w:t>
            </w:r>
          </w:p>
        </w:tc>
        <w:tc>
          <w:tcPr>
            <w:tcW w:w="3312" w:type="dxa"/>
          </w:tcPr>
          <w:p w14:paraId="0A15986C" w14:textId="77777777" w:rsidR="00907DDA" w:rsidRDefault="00907DDA" w:rsidP="00A10E11">
            <w:pPr>
              <w:spacing w:after="0"/>
            </w:pPr>
            <w:r>
              <w:rPr>
                <w:rFonts w:ascii="Arial" w:hAnsi="Arial"/>
                <w:sz w:val="18"/>
              </w:rPr>
              <w:t>Confirm with the owner, back up where needed, delete in stages, and repeat monthly</w:t>
            </w:r>
          </w:p>
        </w:tc>
      </w:tr>
      <w:tr w:rsidR="00907DDA" w14:paraId="17A6D178" w14:textId="77777777" w:rsidTr="00A10E11">
        <w:trPr>
          <w:cantSplit/>
        </w:trPr>
        <w:tc>
          <w:tcPr>
            <w:tcW w:w="2016" w:type="dxa"/>
            <w:shd w:val="clear" w:color="auto" w:fill="F3EEF7"/>
          </w:tcPr>
          <w:p w14:paraId="02502A71" w14:textId="77777777" w:rsidR="00907DDA" w:rsidRDefault="00907DDA" w:rsidP="00A10E11">
            <w:pPr>
              <w:spacing w:after="0"/>
            </w:pPr>
            <w:r>
              <w:rPr>
                <w:rFonts w:ascii="Arial" w:hAnsi="Arial"/>
                <w:b/>
                <w:sz w:val="18"/>
              </w:rPr>
              <w:t>SKU utilization</w:t>
            </w:r>
          </w:p>
        </w:tc>
        <w:tc>
          <w:tcPr>
            <w:tcW w:w="3456" w:type="dxa"/>
            <w:shd w:val="clear" w:color="auto" w:fill="F3EEF7"/>
          </w:tcPr>
          <w:p w14:paraId="5878D265" w14:textId="77777777" w:rsidR="00907DDA" w:rsidRDefault="00907DDA" w:rsidP="00A10E11">
            <w:pPr>
              <w:spacing w:after="0"/>
            </w:pPr>
            <w:r>
              <w:rPr>
                <w:rFonts w:ascii="Arial" w:hAnsi="Arial"/>
                <w:sz w:val="18"/>
              </w:rPr>
              <w:t xml:space="preserve">Over-sized or legacy sizes, Basic SKUs on public IPs, load balancers and gateways, and Premium tiers in </w:t>
            </w:r>
            <w:proofErr w:type="gramStart"/>
            <w:r>
              <w:rPr>
                <w:rFonts w:ascii="Arial" w:hAnsi="Arial"/>
                <w:sz w:val="18"/>
              </w:rPr>
              <w:t>Non-Prod</w:t>
            </w:r>
            <w:proofErr w:type="gramEnd"/>
          </w:p>
        </w:tc>
        <w:tc>
          <w:tcPr>
            <w:tcW w:w="1296" w:type="dxa"/>
            <w:shd w:val="clear" w:color="auto" w:fill="F3EEF7"/>
          </w:tcPr>
          <w:p w14:paraId="2E2C4004" w14:textId="77777777" w:rsidR="00907DDA" w:rsidRDefault="00907DDA" w:rsidP="00A10E11">
            <w:pPr>
              <w:spacing w:after="0"/>
            </w:pPr>
            <w:r>
              <w:rPr>
                <w:rFonts w:ascii="Arial" w:hAnsi="Arial"/>
                <w:sz w:val="18"/>
              </w:rPr>
              <w:t>Section 5.9</w:t>
            </w:r>
          </w:p>
        </w:tc>
        <w:tc>
          <w:tcPr>
            <w:tcW w:w="3312" w:type="dxa"/>
            <w:shd w:val="clear" w:color="auto" w:fill="F3EEF7"/>
          </w:tcPr>
          <w:p w14:paraId="72A0A354" w14:textId="77777777" w:rsidR="00907DDA" w:rsidRDefault="00907DDA" w:rsidP="00A10E11">
            <w:pPr>
              <w:spacing w:after="0"/>
            </w:pPr>
            <w:r>
              <w:rPr>
                <w:rFonts w:ascii="Arial" w:hAnsi="Arial"/>
                <w:sz w:val="18"/>
              </w:rPr>
              <w:t xml:space="preserve">Right-size, set approved SKUs with policy, enable </w:t>
            </w:r>
            <w:proofErr w:type="gramStart"/>
            <w:r>
              <w:rPr>
                <w:rFonts w:ascii="Arial" w:hAnsi="Arial"/>
                <w:sz w:val="18"/>
              </w:rPr>
              <w:t>Non-Prod</w:t>
            </w:r>
            <w:proofErr w:type="gramEnd"/>
            <w:r>
              <w:rPr>
                <w:rFonts w:ascii="Arial" w:hAnsi="Arial"/>
                <w:sz w:val="18"/>
              </w:rPr>
              <w:t xml:space="preserve"> auto-shutdown, and consider reservations afterwards</w:t>
            </w:r>
          </w:p>
        </w:tc>
      </w:tr>
      <w:tr w:rsidR="00907DDA" w14:paraId="77857109" w14:textId="77777777" w:rsidTr="00A10E11">
        <w:trPr>
          <w:cantSplit/>
        </w:trPr>
        <w:tc>
          <w:tcPr>
            <w:tcW w:w="2016" w:type="dxa"/>
          </w:tcPr>
          <w:p w14:paraId="75BE971F" w14:textId="77777777" w:rsidR="00907DDA" w:rsidRDefault="00907DDA" w:rsidP="00A10E11">
            <w:pPr>
              <w:spacing w:after="0"/>
            </w:pPr>
            <w:r>
              <w:rPr>
                <w:rFonts w:ascii="Arial" w:hAnsi="Arial"/>
                <w:b/>
                <w:sz w:val="18"/>
              </w:rPr>
              <w:t>Network infrastructure</w:t>
            </w:r>
          </w:p>
        </w:tc>
        <w:tc>
          <w:tcPr>
            <w:tcW w:w="3456" w:type="dxa"/>
          </w:tcPr>
          <w:p w14:paraId="2BB878BF" w14:textId="77777777" w:rsidR="00907DDA" w:rsidRDefault="00907DDA" w:rsidP="00A10E11">
            <w:pPr>
              <w:spacing w:after="0"/>
            </w:pPr>
            <w:r>
              <w:rPr>
                <w:rFonts w:ascii="Arial" w:hAnsi="Arial"/>
                <w:sz w:val="18"/>
              </w:rPr>
              <w:t>Overlapping IP ranges, NAT Gateways and the subnets that use them, and Site-to-Site VPN gateways, SKUs and tunnel redundancy</w:t>
            </w:r>
          </w:p>
        </w:tc>
        <w:tc>
          <w:tcPr>
            <w:tcW w:w="1296" w:type="dxa"/>
          </w:tcPr>
          <w:p w14:paraId="5EFD1439" w14:textId="77777777" w:rsidR="00907DDA" w:rsidRDefault="00907DDA" w:rsidP="00A10E11">
            <w:pPr>
              <w:spacing w:after="0"/>
            </w:pPr>
            <w:r>
              <w:rPr>
                <w:rFonts w:ascii="Arial" w:hAnsi="Arial"/>
                <w:sz w:val="18"/>
              </w:rPr>
              <w:t>Section 6.8</w:t>
            </w:r>
          </w:p>
        </w:tc>
        <w:tc>
          <w:tcPr>
            <w:tcW w:w="3312" w:type="dxa"/>
          </w:tcPr>
          <w:p w14:paraId="2DFDAA92" w14:textId="77777777" w:rsidR="00907DDA" w:rsidRDefault="00907DDA" w:rsidP="00A10E11">
            <w:pPr>
              <w:spacing w:after="0"/>
            </w:pPr>
            <w:r>
              <w:rPr>
                <w:rFonts w:ascii="Arial" w:hAnsi="Arial"/>
                <w:sz w:val="18"/>
              </w:rPr>
              <w:t>Build an IP plan, re-address overlaps that need to connect, confirm gateway SKUs and redundant tunnels</w:t>
            </w:r>
          </w:p>
        </w:tc>
      </w:tr>
      <w:tr w:rsidR="00907DDA" w14:paraId="5E768216" w14:textId="77777777" w:rsidTr="00A10E11">
        <w:trPr>
          <w:cantSplit/>
        </w:trPr>
        <w:tc>
          <w:tcPr>
            <w:tcW w:w="2016" w:type="dxa"/>
            <w:shd w:val="clear" w:color="auto" w:fill="F3EEF7"/>
          </w:tcPr>
          <w:p w14:paraId="554E69D8" w14:textId="77777777" w:rsidR="00907DDA" w:rsidRDefault="00907DDA" w:rsidP="00A10E11">
            <w:pPr>
              <w:spacing w:after="0"/>
            </w:pPr>
            <w:r>
              <w:rPr>
                <w:rFonts w:ascii="Arial" w:hAnsi="Arial"/>
                <w:b/>
                <w:sz w:val="18"/>
              </w:rPr>
              <w:t>Public access exposure</w:t>
            </w:r>
          </w:p>
        </w:tc>
        <w:tc>
          <w:tcPr>
            <w:tcW w:w="3456" w:type="dxa"/>
            <w:shd w:val="clear" w:color="auto" w:fill="F3EEF7"/>
          </w:tcPr>
          <w:p w14:paraId="3C3F5BCF" w14:textId="77777777" w:rsidR="00907DDA" w:rsidRDefault="00907DDA" w:rsidP="00A10E11">
            <w:pPr>
              <w:spacing w:after="0"/>
            </w:pPr>
            <w:r>
              <w:rPr>
                <w:rFonts w:ascii="Arial" w:hAnsi="Arial"/>
                <w:sz w:val="18"/>
              </w:rPr>
              <w:t>Internet-reachable resources, especially storage, databases, AI services, web apps and VMs with public IPs</w:t>
            </w:r>
          </w:p>
        </w:tc>
        <w:tc>
          <w:tcPr>
            <w:tcW w:w="1296" w:type="dxa"/>
            <w:shd w:val="clear" w:color="auto" w:fill="F3EEF7"/>
          </w:tcPr>
          <w:p w14:paraId="65B1F3F5" w14:textId="77777777" w:rsidR="00907DDA" w:rsidRDefault="00907DDA" w:rsidP="00A10E11">
            <w:pPr>
              <w:spacing w:after="0"/>
            </w:pPr>
            <w:r>
              <w:rPr>
                <w:rFonts w:ascii="Arial" w:hAnsi="Arial"/>
                <w:sz w:val="18"/>
              </w:rPr>
              <w:t>Section 4.3</w:t>
            </w:r>
          </w:p>
        </w:tc>
        <w:tc>
          <w:tcPr>
            <w:tcW w:w="3312" w:type="dxa"/>
            <w:shd w:val="clear" w:color="auto" w:fill="F3EEF7"/>
          </w:tcPr>
          <w:p w14:paraId="76E8DD16" w14:textId="77777777" w:rsidR="00907DDA" w:rsidRDefault="00907DDA" w:rsidP="00A10E11">
            <w:pPr>
              <w:spacing w:after="0"/>
            </w:pPr>
            <w:r>
              <w:rPr>
                <w:rFonts w:ascii="Arial" w:hAnsi="Arial"/>
                <w:sz w:val="18"/>
              </w:rPr>
              <w:t>Keep only what has a business need, use Private Endpoints, and place web apps behind a web application firewall</w:t>
            </w:r>
          </w:p>
        </w:tc>
      </w:tr>
      <w:tr w:rsidR="00907DDA" w14:paraId="62D70705" w14:textId="77777777" w:rsidTr="00A10E11">
        <w:trPr>
          <w:cantSplit/>
        </w:trPr>
        <w:tc>
          <w:tcPr>
            <w:tcW w:w="2016" w:type="dxa"/>
          </w:tcPr>
          <w:p w14:paraId="036971D1" w14:textId="77777777" w:rsidR="00907DDA" w:rsidRDefault="00907DDA" w:rsidP="00A10E11">
            <w:pPr>
              <w:spacing w:after="0"/>
            </w:pPr>
            <w:r>
              <w:rPr>
                <w:rFonts w:ascii="Arial" w:hAnsi="Arial"/>
                <w:b/>
                <w:sz w:val="18"/>
              </w:rPr>
              <w:t>NSG controls</w:t>
            </w:r>
          </w:p>
        </w:tc>
        <w:tc>
          <w:tcPr>
            <w:tcW w:w="3456" w:type="dxa"/>
          </w:tcPr>
          <w:p w14:paraId="7F402102" w14:textId="77777777" w:rsidR="00907DDA" w:rsidRDefault="00907DDA" w:rsidP="00A10E11">
            <w:pPr>
              <w:spacing w:after="0"/>
            </w:pPr>
            <w:r>
              <w:rPr>
                <w:rFonts w:ascii="Arial" w:hAnsi="Arial"/>
                <w:sz w:val="18"/>
              </w:rPr>
              <w:t>Rules that allow Any or Internet sources, management or database ports open to the internet, subnets without an NSG, and unattached NSGs</w:t>
            </w:r>
          </w:p>
        </w:tc>
        <w:tc>
          <w:tcPr>
            <w:tcW w:w="1296" w:type="dxa"/>
          </w:tcPr>
          <w:p w14:paraId="5A3F51DF" w14:textId="77777777" w:rsidR="00907DDA" w:rsidRDefault="00907DDA" w:rsidP="00A10E11">
            <w:pPr>
              <w:spacing w:after="0"/>
            </w:pPr>
            <w:r>
              <w:rPr>
                <w:rFonts w:ascii="Arial" w:hAnsi="Arial"/>
                <w:sz w:val="18"/>
              </w:rPr>
              <w:t>Section 4.3</w:t>
            </w:r>
          </w:p>
        </w:tc>
        <w:tc>
          <w:tcPr>
            <w:tcW w:w="3312" w:type="dxa"/>
          </w:tcPr>
          <w:p w14:paraId="4A34B380" w14:textId="77777777" w:rsidR="00907DDA" w:rsidRDefault="00907DDA" w:rsidP="00A10E11">
            <w:pPr>
              <w:spacing w:after="0"/>
            </w:pPr>
            <w:r>
              <w:rPr>
                <w:rFonts w:ascii="Arial" w:hAnsi="Arial"/>
                <w:sz w:val="18"/>
              </w:rPr>
              <w:t xml:space="preserve">Remove or restrict rules, attach an NSG to every subnet, use service tags, and enable </w:t>
            </w:r>
            <w:proofErr w:type="spellStart"/>
            <w:r>
              <w:rPr>
                <w:rFonts w:ascii="Arial" w:hAnsi="Arial"/>
                <w:sz w:val="18"/>
              </w:rPr>
              <w:t>VNet</w:t>
            </w:r>
            <w:proofErr w:type="spellEnd"/>
            <w:r>
              <w:rPr>
                <w:rFonts w:ascii="Arial" w:hAnsi="Arial"/>
                <w:sz w:val="18"/>
              </w:rPr>
              <w:t xml:space="preserve"> flow logs</w:t>
            </w:r>
          </w:p>
        </w:tc>
      </w:tr>
    </w:tbl>
    <w:p w14:paraId="6E353CA1" w14:textId="77777777" w:rsidR="00907DDA" w:rsidRDefault="00907DDA" w:rsidP="00907DDA">
      <w:pPr>
        <w:spacing w:after="40"/>
      </w:pPr>
    </w:p>
    <w:p w14:paraId="0B63E953" w14:textId="77777777" w:rsidR="00907DDA" w:rsidRDefault="00907DDA" w:rsidP="00907DDA">
      <w:pPr>
        <w:pStyle w:val="Heading2"/>
      </w:pPr>
      <w:r>
        <w:t>7.2 How to review and action the workbook</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872"/>
        <w:gridCol w:w="5760"/>
        <w:gridCol w:w="2448"/>
      </w:tblGrid>
      <w:tr w:rsidR="00907DDA" w14:paraId="04168702" w14:textId="77777777" w:rsidTr="00A10E11">
        <w:trPr>
          <w:cantSplit/>
          <w:tblHeader/>
        </w:trPr>
        <w:tc>
          <w:tcPr>
            <w:tcW w:w="1872" w:type="dxa"/>
            <w:shd w:val="clear" w:color="auto" w:fill="582873"/>
          </w:tcPr>
          <w:p w14:paraId="12FAB9F2" w14:textId="77777777" w:rsidR="00907DDA" w:rsidRDefault="00907DDA" w:rsidP="00A10E11">
            <w:pPr>
              <w:spacing w:after="0"/>
            </w:pPr>
            <w:r>
              <w:rPr>
                <w:rFonts w:ascii="Arial" w:hAnsi="Arial"/>
                <w:b/>
                <w:color w:val="FFFFFF"/>
                <w:sz w:val="18"/>
              </w:rPr>
              <w:t>Step</w:t>
            </w:r>
          </w:p>
        </w:tc>
        <w:tc>
          <w:tcPr>
            <w:tcW w:w="5760" w:type="dxa"/>
            <w:shd w:val="clear" w:color="auto" w:fill="582873"/>
          </w:tcPr>
          <w:p w14:paraId="37BC3382" w14:textId="77777777" w:rsidR="00907DDA" w:rsidRDefault="00907DDA" w:rsidP="00A10E11">
            <w:pPr>
              <w:spacing w:after="0"/>
            </w:pPr>
            <w:r>
              <w:rPr>
                <w:rFonts w:ascii="Arial" w:hAnsi="Arial"/>
                <w:b/>
                <w:color w:val="FFFFFF"/>
                <w:sz w:val="18"/>
              </w:rPr>
              <w:t>What to do</w:t>
            </w:r>
          </w:p>
        </w:tc>
        <w:tc>
          <w:tcPr>
            <w:tcW w:w="2448" w:type="dxa"/>
            <w:shd w:val="clear" w:color="auto" w:fill="582873"/>
          </w:tcPr>
          <w:p w14:paraId="4A10DDB7" w14:textId="77777777" w:rsidR="00907DDA" w:rsidRDefault="00907DDA" w:rsidP="00A10E11">
            <w:pPr>
              <w:spacing w:after="0"/>
            </w:pPr>
            <w:r>
              <w:rPr>
                <w:rFonts w:ascii="Arial" w:hAnsi="Arial"/>
                <w:b/>
                <w:color w:val="FFFFFF"/>
                <w:sz w:val="18"/>
              </w:rPr>
              <w:t>Result</w:t>
            </w:r>
          </w:p>
        </w:tc>
      </w:tr>
      <w:tr w:rsidR="00907DDA" w14:paraId="6DF1AC80" w14:textId="77777777" w:rsidTr="00A10E11">
        <w:trPr>
          <w:cantSplit/>
        </w:trPr>
        <w:tc>
          <w:tcPr>
            <w:tcW w:w="1872" w:type="dxa"/>
          </w:tcPr>
          <w:p w14:paraId="6F45FCD0" w14:textId="77777777" w:rsidR="00907DDA" w:rsidRDefault="00907DDA" w:rsidP="00A10E11">
            <w:pPr>
              <w:spacing w:after="0"/>
            </w:pPr>
            <w:r>
              <w:rPr>
                <w:rFonts w:ascii="Arial" w:hAnsi="Arial"/>
                <w:b/>
                <w:sz w:val="18"/>
              </w:rPr>
              <w:t>1. Review</w:t>
            </w:r>
          </w:p>
        </w:tc>
        <w:tc>
          <w:tcPr>
            <w:tcW w:w="5760" w:type="dxa"/>
          </w:tcPr>
          <w:p w14:paraId="6B00B464" w14:textId="77777777" w:rsidR="00907DDA" w:rsidRDefault="00907DDA" w:rsidP="00A10E11">
            <w:pPr>
              <w:spacing w:after="0"/>
            </w:pPr>
            <w:r>
              <w:rPr>
                <w:rFonts w:ascii="Arial" w:hAnsi="Arial"/>
                <w:sz w:val="18"/>
              </w:rPr>
              <w:t>Filter the workbook by subscription and by area. Look at exposure and cost items first.</w:t>
            </w:r>
          </w:p>
        </w:tc>
        <w:tc>
          <w:tcPr>
            <w:tcW w:w="2448" w:type="dxa"/>
          </w:tcPr>
          <w:p w14:paraId="151551D9" w14:textId="77777777" w:rsidR="00907DDA" w:rsidRDefault="00907DDA" w:rsidP="00A10E11">
            <w:pPr>
              <w:spacing w:after="0"/>
            </w:pPr>
            <w:r>
              <w:rPr>
                <w:rFonts w:ascii="Arial" w:hAnsi="Arial"/>
                <w:sz w:val="18"/>
              </w:rPr>
              <w:t>A short list of the items that matter most</w:t>
            </w:r>
          </w:p>
        </w:tc>
      </w:tr>
      <w:tr w:rsidR="00907DDA" w14:paraId="2E5F8445" w14:textId="77777777" w:rsidTr="00A10E11">
        <w:trPr>
          <w:cantSplit/>
        </w:trPr>
        <w:tc>
          <w:tcPr>
            <w:tcW w:w="1872" w:type="dxa"/>
            <w:shd w:val="clear" w:color="auto" w:fill="F3EEF7"/>
          </w:tcPr>
          <w:p w14:paraId="6B738CF4" w14:textId="77777777" w:rsidR="00907DDA" w:rsidRDefault="00907DDA" w:rsidP="00A10E11">
            <w:pPr>
              <w:spacing w:after="0"/>
            </w:pPr>
            <w:r>
              <w:rPr>
                <w:rFonts w:ascii="Arial" w:hAnsi="Arial"/>
                <w:b/>
                <w:sz w:val="18"/>
              </w:rPr>
              <w:t>2. Validate</w:t>
            </w:r>
          </w:p>
        </w:tc>
        <w:tc>
          <w:tcPr>
            <w:tcW w:w="5760" w:type="dxa"/>
            <w:shd w:val="clear" w:color="auto" w:fill="F3EEF7"/>
          </w:tcPr>
          <w:p w14:paraId="4AF3608E" w14:textId="77777777" w:rsidR="00907DDA" w:rsidRDefault="00907DDA" w:rsidP="00A10E11">
            <w:pPr>
              <w:spacing w:after="0"/>
            </w:pPr>
            <w:r>
              <w:rPr>
                <w:rFonts w:ascii="Arial" w:hAnsi="Arial"/>
                <w:sz w:val="18"/>
              </w:rPr>
              <w:t>Confirm with the resource owners whether each item is intentional, still needed, or safe to change.</w:t>
            </w:r>
          </w:p>
        </w:tc>
        <w:tc>
          <w:tcPr>
            <w:tcW w:w="2448" w:type="dxa"/>
            <w:shd w:val="clear" w:color="auto" w:fill="F3EEF7"/>
          </w:tcPr>
          <w:p w14:paraId="75CC016C" w14:textId="77777777" w:rsidR="00907DDA" w:rsidRDefault="00907DDA" w:rsidP="00A10E11">
            <w:pPr>
              <w:spacing w:after="0"/>
            </w:pPr>
            <w:r>
              <w:rPr>
                <w:rFonts w:ascii="Arial" w:hAnsi="Arial"/>
                <w:sz w:val="18"/>
              </w:rPr>
              <w:t>An owner-approved list</w:t>
            </w:r>
          </w:p>
        </w:tc>
      </w:tr>
      <w:tr w:rsidR="00907DDA" w14:paraId="67F3F351" w14:textId="77777777" w:rsidTr="00A10E11">
        <w:trPr>
          <w:cantSplit/>
        </w:trPr>
        <w:tc>
          <w:tcPr>
            <w:tcW w:w="1872" w:type="dxa"/>
          </w:tcPr>
          <w:p w14:paraId="2162249C" w14:textId="77777777" w:rsidR="00907DDA" w:rsidRDefault="00907DDA" w:rsidP="00A10E11">
            <w:pPr>
              <w:spacing w:after="0"/>
            </w:pPr>
            <w:r>
              <w:rPr>
                <w:rFonts w:ascii="Arial" w:hAnsi="Arial"/>
                <w:b/>
                <w:sz w:val="18"/>
              </w:rPr>
              <w:t>3. Classify</w:t>
            </w:r>
          </w:p>
        </w:tc>
        <w:tc>
          <w:tcPr>
            <w:tcW w:w="5760" w:type="dxa"/>
          </w:tcPr>
          <w:p w14:paraId="4D232A78" w14:textId="77777777" w:rsidR="00907DDA" w:rsidRDefault="00907DDA" w:rsidP="00A10E11">
            <w:pPr>
              <w:spacing w:after="0"/>
            </w:pPr>
            <w:r>
              <w:rPr>
                <w:rFonts w:ascii="Arial" w:hAnsi="Arial"/>
                <w:sz w:val="18"/>
              </w:rPr>
              <w:t>Give each item one category from the triage guide in Section 7.3.</w:t>
            </w:r>
          </w:p>
        </w:tc>
        <w:tc>
          <w:tcPr>
            <w:tcW w:w="2448" w:type="dxa"/>
          </w:tcPr>
          <w:p w14:paraId="59212777" w14:textId="77777777" w:rsidR="00907DDA" w:rsidRDefault="00907DDA" w:rsidP="00A10E11">
            <w:pPr>
              <w:spacing w:after="0"/>
            </w:pPr>
            <w:r>
              <w:rPr>
                <w:rFonts w:ascii="Arial" w:hAnsi="Arial"/>
                <w:sz w:val="18"/>
              </w:rPr>
              <w:t>A decision for every item</w:t>
            </w:r>
          </w:p>
        </w:tc>
      </w:tr>
      <w:tr w:rsidR="00907DDA" w14:paraId="502218BE" w14:textId="77777777" w:rsidTr="00A10E11">
        <w:trPr>
          <w:cantSplit/>
        </w:trPr>
        <w:tc>
          <w:tcPr>
            <w:tcW w:w="1872" w:type="dxa"/>
            <w:shd w:val="clear" w:color="auto" w:fill="F3EEF7"/>
          </w:tcPr>
          <w:p w14:paraId="14CA6AA2" w14:textId="77777777" w:rsidR="00907DDA" w:rsidRDefault="00907DDA" w:rsidP="00A10E11">
            <w:pPr>
              <w:spacing w:after="0"/>
            </w:pPr>
            <w:r>
              <w:rPr>
                <w:rFonts w:ascii="Arial" w:hAnsi="Arial"/>
                <w:b/>
                <w:sz w:val="18"/>
              </w:rPr>
              <w:t>4. Assign</w:t>
            </w:r>
          </w:p>
        </w:tc>
        <w:tc>
          <w:tcPr>
            <w:tcW w:w="5760" w:type="dxa"/>
            <w:shd w:val="clear" w:color="auto" w:fill="F3EEF7"/>
          </w:tcPr>
          <w:p w14:paraId="34697429" w14:textId="77777777" w:rsidR="00907DDA" w:rsidRDefault="00907DDA" w:rsidP="00A10E11">
            <w:pPr>
              <w:spacing w:after="0"/>
            </w:pPr>
            <w:r>
              <w:rPr>
                <w:rFonts w:ascii="Arial" w:hAnsi="Arial"/>
                <w:sz w:val="18"/>
              </w:rPr>
              <w:t>Record an owner, a due date and the target roadmap phase.</w:t>
            </w:r>
          </w:p>
        </w:tc>
        <w:tc>
          <w:tcPr>
            <w:tcW w:w="2448" w:type="dxa"/>
            <w:shd w:val="clear" w:color="auto" w:fill="F3EEF7"/>
          </w:tcPr>
          <w:p w14:paraId="4C9A2249" w14:textId="77777777" w:rsidR="00907DDA" w:rsidRDefault="00907DDA" w:rsidP="00A10E11">
            <w:pPr>
              <w:spacing w:after="0"/>
            </w:pPr>
            <w:r>
              <w:rPr>
                <w:rFonts w:ascii="Arial" w:hAnsi="Arial"/>
                <w:sz w:val="18"/>
              </w:rPr>
              <w:t>Clear accountability</w:t>
            </w:r>
          </w:p>
        </w:tc>
      </w:tr>
      <w:tr w:rsidR="00907DDA" w14:paraId="1EF29B9D" w14:textId="77777777" w:rsidTr="00A10E11">
        <w:trPr>
          <w:cantSplit/>
        </w:trPr>
        <w:tc>
          <w:tcPr>
            <w:tcW w:w="1872" w:type="dxa"/>
          </w:tcPr>
          <w:p w14:paraId="471C2324" w14:textId="77777777" w:rsidR="00907DDA" w:rsidRDefault="00907DDA" w:rsidP="00A10E11">
            <w:pPr>
              <w:spacing w:after="0"/>
            </w:pPr>
            <w:r>
              <w:rPr>
                <w:rFonts w:ascii="Arial" w:hAnsi="Arial"/>
                <w:b/>
                <w:sz w:val="18"/>
              </w:rPr>
              <w:t>5. Remediate</w:t>
            </w:r>
          </w:p>
        </w:tc>
        <w:tc>
          <w:tcPr>
            <w:tcW w:w="5760" w:type="dxa"/>
          </w:tcPr>
          <w:p w14:paraId="1D7CE80F" w14:textId="77777777" w:rsidR="00907DDA" w:rsidRDefault="00907DDA" w:rsidP="00A10E11">
            <w:pPr>
              <w:spacing w:after="0"/>
            </w:pPr>
            <w:r>
              <w:rPr>
                <w:rFonts w:ascii="Arial" w:hAnsi="Arial"/>
                <w:sz w:val="18"/>
              </w:rPr>
              <w:t>Make changes in line with the roadmap (Section 8), using backups and normal change control.</w:t>
            </w:r>
          </w:p>
        </w:tc>
        <w:tc>
          <w:tcPr>
            <w:tcW w:w="2448" w:type="dxa"/>
          </w:tcPr>
          <w:p w14:paraId="5BDF41F8" w14:textId="77777777" w:rsidR="00907DDA" w:rsidRDefault="00907DDA" w:rsidP="00A10E11">
            <w:pPr>
              <w:spacing w:after="0"/>
            </w:pPr>
            <w:r>
              <w:rPr>
                <w:rFonts w:ascii="Arial" w:hAnsi="Arial"/>
                <w:sz w:val="18"/>
              </w:rPr>
              <w:t>Items closed</w:t>
            </w:r>
          </w:p>
        </w:tc>
      </w:tr>
      <w:tr w:rsidR="00907DDA" w14:paraId="29EE1FB2" w14:textId="77777777" w:rsidTr="00A10E11">
        <w:trPr>
          <w:cantSplit/>
        </w:trPr>
        <w:tc>
          <w:tcPr>
            <w:tcW w:w="1872" w:type="dxa"/>
            <w:shd w:val="clear" w:color="auto" w:fill="F3EEF7"/>
          </w:tcPr>
          <w:p w14:paraId="5C48ABAD" w14:textId="77777777" w:rsidR="00907DDA" w:rsidRDefault="00907DDA" w:rsidP="00A10E11">
            <w:pPr>
              <w:spacing w:after="0"/>
            </w:pPr>
            <w:r>
              <w:rPr>
                <w:rFonts w:ascii="Arial" w:hAnsi="Arial"/>
                <w:b/>
                <w:sz w:val="18"/>
              </w:rPr>
              <w:t>6. Re-check</w:t>
            </w:r>
          </w:p>
        </w:tc>
        <w:tc>
          <w:tcPr>
            <w:tcW w:w="5760" w:type="dxa"/>
            <w:shd w:val="clear" w:color="auto" w:fill="F3EEF7"/>
          </w:tcPr>
          <w:p w14:paraId="6AEEFD49" w14:textId="77777777" w:rsidR="00907DDA" w:rsidRDefault="00907DDA" w:rsidP="00A10E11">
            <w:pPr>
              <w:spacing w:after="0"/>
            </w:pPr>
            <w:r>
              <w:rPr>
                <w:rFonts w:ascii="Arial" w:hAnsi="Arial"/>
                <w:sz w:val="18"/>
              </w:rPr>
              <w:t>Re-run the assessment queries after changes, and then monthly.</w:t>
            </w:r>
          </w:p>
        </w:tc>
        <w:tc>
          <w:tcPr>
            <w:tcW w:w="2448" w:type="dxa"/>
            <w:shd w:val="clear" w:color="auto" w:fill="F3EEF7"/>
          </w:tcPr>
          <w:p w14:paraId="6D77D9DF" w14:textId="77777777" w:rsidR="00907DDA" w:rsidRDefault="00907DDA" w:rsidP="00A10E11">
            <w:pPr>
              <w:spacing w:after="0"/>
            </w:pPr>
            <w:r>
              <w:rPr>
                <w:rFonts w:ascii="Arial" w:hAnsi="Arial"/>
                <w:sz w:val="18"/>
              </w:rPr>
              <w:t>Proof of closure and early warning of new drift</w:t>
            </w:r>
          </w:p>
        </w:tc>
      </w:tr>
    </w:tbl>
    <w:p w14:paraId="2F42C7DB" w14:textId="77777777" w:rsidR="00907DDA" w:rsidRDefault="00907DDA" w:rsidP="00907DDA">
      <w:pPr>
        <w:spacing w:after="40"/>
      </w:pPr>
    </w:p>
    <w:p w14:paraId="2FF9EE62" w14:textId="77777777" w:rsidR="00907DDA" w:rsidRDefault="00907DDA" w:rsidP="00907DDA">
      <w:pPr>
        <w:pStyle w:val="Heading2"/>
      </w:pPr>
      <w:r>
        <w:t>7.3 Triage guide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160"/>
        <w:gridCol w:w="5472"/>
        <w:gridCol w:w="2448"/>
      </w:tblGrid>
      <w:tr w:rsidR="00907DDA" w14:paraId="280F7D7E" w14:textId="77777777" w:rsidTr="00A10E11">
        <w:trPr>
          <w:cantSplit/>
          <w:tblHeader/>
        </w:trPr>
        <w:tc>
          <w:tcPr>
            <w:tcW w:w="2160" w:type="dxa"/>
            <w:shd w:val="clear" w:color="auto" w:fill="582873"/>
          </w:tcPr>
          <w:p w14:paraId="223AE691" w14:textId="77777777" w:rsidR="00907DDA" w:rsidRDefault="00907DDA" w:rsidP="00A10E11">
            <w:pPr>
              <w:spacing w:after="0"/>
            </w:pPr>
            <w:r>
              <w:rPr>
                <w:rFonts w:ascii="Arial" w:hAnsi="Arial"/>
                <w:b/>
                <w:color w:val="FFFFFF"/>
                <w:sz w:val="18"/>
              </w:rPr>
              <w:t>Category</w:t>
            </w:r>
          </w:p>
        </w:tc>
        <w:tc>
          <w:tcPr>
            <w:tcW w:w="5472" w:type="dxa"/>
            <w:shd w:val="clear" w:color="auto" w:fill="582873"/>
          </w:tcPr>
          <w:p w14:paraId="48AC0EA9" w14:textId="77777777" w:rsidR="00907DDA" w:rsidRDefault="00907DDA" w:rsidP="00A10E11">
            <w:pPr>
              <w:spacing w:after="0"/>
            </w:pPr>
            <w:r>
              <w:rPr>
                <w:rFonts w:ascii="Arial" w:hAnsi="Arial"/>
                <w:b/>
                <w:color w:val="FFFFFF"/>
                <w:sz w:val="18"/>
              </w:rPr>
              <w:t>Examples</w:t>
            </w:r>
          </w:p>
        </w:tc>
        <w:tc>
          <w:tcPr>
            <w:tcW w:w="2448" w:type="dxa"/>
            <w:shd w:val="clear" w:color="auto" w:fill="582873"/>
          </w:tcPr>
          <w:p w14:paraId="0BBB35E6" w14:textId="77777777" w:rsidR="00907DDA" w:rsidRDefault="00907DDA" w:rsidP="00A10E11">
            <w:pPr>
              <w:spacing w:after="0"/>
            </w:pPr>
            <w:r>
              <w:rPr>
                <w:rFonts w:ascii="Arial" w:hAnsi="Arial"/>
                <w:b/>
                <w:color w:val="FFFFFF"/>
                <w:sz w:val="18"/>
              </w:rPr>
              <w:t>Target timing</w:t>
            </w:r>
          </w:p>
        </w:tc>
      </w:tr>
      <w:tr w:rsidR="00907DDA" w14:paraId="56CC7DF2" w14:textId="77777777" w:rsidTr="00A10E11">
        <w:trPr>
          <w:cantSplit/>
        </w:trPr>
        <w:tc>
          <w:tcPr>
            <w:tcW w:w="2160" w:type="dxa"/>
            <w:shd w:val="clear" w:color="auto" w:fill="F4B6C2"/>
          </w:tcPr>
          <w:p w14:paraId="754E0271" w14:textId="77777777" w:rsidR="00907DDA" w:rsidRDefault="00907DDA" w:rsidP="00A10E11">
            <w:pPr>
              <w:spacing w:after="0"/>
            </w:pPr>
            <w:r>
              <w:rPr>
                <w:rFonts w:ascii="Arial" w:hAnsi="Arial"/>
                <w:b/>
                <w:sz w:val="18"/>
              </w:rPr>
              <w:t>Act now</w:t>
            </w:r>
          </w:p>
        </w:tc>
        <w:tc>
          <w:tcPr>
            <w:tcW w:w="5472" w:type="dxa"/>
          </w:tcPr>
          <w:p w14:paraId="4CC0A7AE" w14:textId="77777777" w:rsidR="00907DDA" w:rsidRDefault="00907DDA" w:rsidP="00A10E11">
            <w:pPr>
              <w:spacing w:after="0"/>
            </w:pPr>
            <w:r>
              <w:rPr>
                <w:rFonts w:ascii="Arial" w:hAnsi="Arial"/>
                <w:sz w:val="18"/>
              </w:rPr>
              <w:t>Management or database ports open to the internet. Storage or databases that are public without a business need. Unassociated public IPs. Confirmed orphaned resources with no dependency.</w:t>
            </w:r>
          </w:p>
        </w:tc>
        <w:tc>
          <w:tcPr>
            <w:tcW w:w="2448" w:type="dxa"/>
          </w:tcPr>
          <w:p w14:paraId="15ED9727" w14:textId="77777777" w:rsidR="00907DDA" w:rsidRDefault="00907DDA" w:rsidP="00A10E11">
            <w:pPr>
              <w:spacing w:after="0"/>
            </w:pPr>
            <w:r>
              <w:rPr>
                <w:rFonts w:ascii="Arial" w:hAnsi="Arial"/>
                <w:sz w:val="18"/>
              </w:rPr>
              <w:t>0 to 30 days (Phase 1)</w:t>
            </w:r>
          </w:p>
        </w:tc>
      </w:tr>
      <w:tr w:rsidR="00907DDA" w14:paraId="67062229" w14:textId="77777777" w:rsidTr="00A10E11">
        <w:trPr>
          <w:cantSplit/>
        </w:trPr>
        <w:tc>
          <w:tcPr>
            <w:tcW w:w="2160" w:type="dxa"/>
            <w:shd w:val="clear" w:color="auto" w:fill="FBD5B5"/>
          </w:tcPr>
          <w:p w14:paraId="7E089164" w14:textId="77777777" w:rsidR="00907DDA" w:rsidRDefault="00907DDA" w:rsidP="00A10E11">
            <w:pPr>
              <w:spacing w:after="0"/>
            </w:pPr>
            <w:r>
              <w:rPr>
                <w:rFonts w:ascii="Arial" w:hAnsi="Arial"/>
                <w:b/>
                <w:sz w:val="18"/>
              </w:rPr>
              <w:t>Plan</w:t>
            </w:r>
          </w:p>
        </w:tc>
        <w:tc>
          <w:tcPr>
            <w:tcW w:w="5472" w:type="dxa"/>
            <w:shd w:val="clear" w:color="auto" w:fill="F3EEF7"/>
          </w:tcPr>
          <w:p w14:paraId="29BE996C" w14:textId="77777777" w:rsidR="00907DDA" w:rsidRDefault="00907DDA" w:rsidP="00A10E11">
            <w:pPr>
              <w:spacing w:after="0"/>
            </w:pPr>
            <w:r>
              <w:rPr>
                <w:rFonts w:ascii="Arial" w:hAnsi="Arial"/>
                <w:sz w:val="18"/>
              </w:rPr>
              <w:t>IP address overlaps, SKU right-sizing, Private Endpoint rollout, NSG redesign and legacy gateway SKUs.</w:t>
            </w:r>
          </w:p>
        </w:tc>
        <w:tc>
          <w:tcPr>
            <w:tcW w:w="2448" w:type="dxa"/>
            <w:shd w:val="clear" w:color="auto" w:fill="F3EEF7"/>
          </w:tcPr>
          <w:p w14:paraId="101093E3" w14:textId="77777777" w:rsidR="00907DDA" w:rsidRDefault="00907DDA" w:rsidP="00A10E11">
            <w:pPr>
              <w:spacing w:after="0"/>
            </w:pPr>
            <w:r>
              <w:rPr>
                <w:rFonts w:ascii="Arial" w:hAnsi="Arial"/>
                <w:sz w:val="18"/>
              </w:rPr>
              <w:t>30 to 90 days (Phases 2 and 3)</w:t>
            </w:r>
          </w:p>
        </w:tc>
      </w:tr>
      <w:tr w:rsidR="00907DDA" w14:paraId="3E6AB552" w14:textId="77777777" w:rsidTr="00A10E11">
        <w:trPr>
          <w:cantSplit/>
        </w:trPr>
        <w:tc>
          <w:tcPr>
            <w:tcW w:w="2160" w:type="dxa"/>
            <w:shd w:val="clear" w:color="auto" w:fill="FFF2BF"/>
          </w:tcPr>
          <w:p w14:paraId="71596FA9" w14:textId="77777777" w:rsidR="00907DDA" w:rsidRDefault="00907DDA" w:rsidP="00A10E11">
            <w:pPr>
              <w:spacing w:after="0"/>
            </w:pPr>
            <w:r>
              <w:rPr>
                <w:rFonts w:ascii="Arial" w:hAnsi="Arial"/>
                <w:b/>
                <w:sz w:val="18"/>
              </w:rPr>
              <w:t>Accept with exception</w:t>
            </w:r>
          </w:p>
        </w:tc>
        <w:tc>
          <w:tcPr>
            <w:tcW w:w="5472" w:type="dxa"/>
          </w:tcPr>
          <w:p w14:paraId="0F1D8E66" w14:textId="77777777" w:rsidR="00907DDA" w:rsidRDefault="00907DDA" w:rsidP="00A10E11">
            <w:pPr>
              <w:spacing w:after="0"/>
            </w:pPr>
            <w:r>
              <w:rPr>
                <w:rFonts w:ascii="Arial" w:hAnsi="Arial"/>
                <w:sz w:val="18"/>
              </w:rPr>
              <w:t>Intentional public services, such as a public website behind the web application firewall.</w:t>
            </w:r>
          </w:p>
        </w:tc>
        <w:tc>
          <w:tcPr>
            <w:tcW w:w="2448" w:type="dxa"/>
          </w:tcPr>
          <w:p w14:paraId="7BEC9706" w14:textId="77777777" w:rsidR="00907DDA" w:rsidRDefault="00907DDA" w:rsidP="00A10E11">
            <w:pPr>
              <w:spacing w:after="0"/>
            </w:pPr>
            <w:r>
              <w:rPr>
                <w:rFonts w:ascii="Arial" w:hAnsi="Arial"/>
                <w:sz w:val="18"/>
              </w:rPr>
              <w:t>Record the owner, the reason and a review date</w:t>
            </w:r>
          </w:p>
        </w:tc>
      </w:tr>
      <w:tr w:rsidR="00907DDA" w14:paraId="71FBCBB4" w14:textId="77777777" w:rsidTr="00A10E11">
        <w:trPr>
          <w:cantSplit/>
        </w:trPr>
        <w:tc>
          <w:tcPr>
            <w:tcW w:w="2160" w:type="dxa"/>
            <w:shd w:val="clear" w:color="auto" w:fill="DDEFD9"/>
          </w:tcPr>
          <w:p w14:paraId="1EBAD33F" w14:textId="77777777" w:rsidR="00907DDA" w:rsidRDefault="00907DDA" w:rsidP="00A10E11">
            <w:pPr>
              <w:spacing w:after="0"/>
            </w:pPr>
            <w:r>
              <w:rPr>
                <w:rFonts w:ascii="Arial" w:hAnsi="Arial"/>
                <w:b/>
                <w:sz w:val="18"/>
              </w:rPr>
              <w:t>Monitor</w:t>
            </w:r>
          </w:p>
        </w:tc>
        <w:tc>
          <w:tcPr>
            <w:tcW w:w="5472" w:type="dxa"/>
            <w:shd w:val="clear" w:color="auto" w:fill="F3EEF7"/>
          </w:tcPr>
          <w:p w14:paraId="0046E42B" w14:textId="77777777" w:rsidR="00907DDA" w:rsidRDefault="00907DDA" w:rsidP="00A10E11">
            <w:pPr>
              <w:spacing w:after="0"/>
            </w:pPr>
            <w:r>
              <w:rPr>
                <w:rFonts w:ascii="Arial" w:hAnsi="Arial"/>
                <w:sz w:val="18"/>
              </w:rPr>
              <w:t>Low-risk or low-cost items that need no change today.</w:t>
            </w:r>
          </w:p>
        </w:tc>
        <w:tc>
          <w:tcPr>
            <w:tcW w:w="2448" w:type="dxa"/>
            <w:shd w:val="clear" w:color="auto" w:fill="F3EEF7"/>
          </w:tcPr>
          <w:p w14:paraId="3AABF5A7" w14:textId="77777777" w:rsidR="00907DDA" w:rsidRDefault="00907DDA" w:rsidP="00A10E11">
            <w:pPr>
              <w:spacing w:after="0"/>
            </w:pPr>
            <w:r>
              <w:rPr>
                <w:rFonts w:ascii="Arial" w:hAnsi="Arial"/>
                <w:sz w:val="18"/>
              </w:rPr>
              <w:t>Re-check at the monthly review</w:t>
            </w:r>
          </w:p>
        </w:tc>
      </w:tr>
    </w:tbl>
    <w:p w14:paraId="63C29DEB" w14:textId="77777777" w:rsidR="00907DDA" w:rsidRDefault="00907DDA" w:rsidP="00907DDA">
      <w:pPr>
        <w:spacing w:after="40"/>
      </w:pPr>
    </w:p>
    <w:p w14:paraId="3C311F02" w14:textId="77777777" w:rsidR="00907DDA" w:rsidRDefault="00907DDA" w:rsidP="00907DDA">
      <w:pPr>
        <w:pStyle w:val="Heading2"/>
      </w:pPr>
      <w:r>
        <w:t>7.4 Tracking and reporting progress</w:t>
      </w:r>
    </w:p>
    <w:p w14:paraId="437F5303" w14:textId="77777777" w:rsidR="00907DDA" w:rsidRDefault="00907DDA" w:rsidP="00907DDA">
      <w:pPr>
        <w:pStyle w:val="ListParagraph"/>
        <w:ind w:hanging="360"/>
      </w:pPr>
      <w:r>
        <w:t>Add four columns to each workbook tab: Owner, Decision (from the triage guide), Due date and Status. The workbook then works as the action tracker.</w:t>
      </w:r>
    </w:p>
    <w:p w14:paraId="06A07847" w14:textId="77777777" w:rsidR="00907DDA" w:rsidRDefault="00907DDA" w:rsidP="00907DDA">
      <w:pPr>
        <w:pStyle w:val="ListParagraph"/>
        <w:ind w:hanging="360"/>
      </w:pPr>
      <w:r>
        <w:t xml:space="preserve">Review </w:t>
      </w:r>
      <w:proofErr w:type="gramStart"/>
      <w:r>
        <w:t>progress</w:t>
      </w:r>
      <w:proofErr w:type="gramEnd"/>
      <w:r>
        <w:t xml:space="preserve"> each month with the subscription owners. Report simple counts, such as open public exposures, orphaned resources removed and estimated monthly savings.</w:t>
      </w:r>
    </w:p>
    <w:p w14:paraId="5532FBA2" w14:textId="77777777" w:rsidR="00907DDA" w:rsidRDefault="00907DDA" w:rsidP="00907DDA">
      <w:pPr>
        <w:pStyle w:val="ListParagraph"/>
        <w:ind w:hanging="360"/>
      </w:pPr>
      <w:r>
        <w:t>Feed confirmed risk reductions and savings back into the priority ratings in Section 8.1.</w:t>
      </w:r>
    </w:p>
    <w:p w14:paraId="1FEC4667" w14:textId="77777777" w:rsidR="00907DDA" w:rsidRDefault="00907DDA" w:rsidP="00907DDA">
      <w:pPr>
        <w:pStyle w:val="ListParagraph"/>
        <w:ind w:hanging="360"/>
      </w:pPr>
      <w:r>
        <w:t>The workbook is a point-in-time record, so re-run the assessment queries before acting on older items.</w:t>
      </w:r>
    </w:p>
    <w:p w14:paraId="7B57C4B2" w14:textId="77777777" w:rsidR="00907DDA" w:rsidRDefault="00907DDA"/>
    <w:sectPr w:rsidR="00907D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DA"/>
    <w:rsid w:val="00077023"/>
    <w:rsid w:val="000B282A"/>
    <w:rsid w:val="001171D1"/>
    <w:rsid w:val="002A38C5"/>
    <w:rsid w:val="00907DDA"/>
    <w:rsid w:val="00D84A4B"/>
    <w:rsid w:val="00DD5989"/>
    <w:rsid w:val="00F230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BD4C"/>
  <w15:chartTrackingRefBased/>
  <w15:docId w15:val="{1E795E26-FC48-49B9-A4C2-FD4C3609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DDA"/>
    <w:pPr>
      <w:spacing w:after="240" w:line="240" w:lineRule="auto"/>
    </w:pPr>
    <w:rPr>
      <w:sz w:val="20"/>
      <w:szCs w:val="20"/>
      <w:lang w:val="en-US"/>
    </w:rPr>
  </w:style>
  <w:style w:type="paragraph" w:styleId="Heading1">
    <w:name w:val="heading 1"/>
    <w:basedOn w:val="Normal"/>
    <w:next w:val="Normal"/>
    <w:link w:val="Heading1Char"/>
    <w:uiPriority w:val="9"/>
    <w:qFormat/>
    <w:rsid w:val="00907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7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7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DA"/>
    <w:rPr>
      <w:rFonts w:eastAsiaTheme="majorEastAsia" w:cstheme="majorBidi"/>
      <w:color w:val="272727" w:themeColor="text1" w:themeTint="D8"/>
    </w:rPr>
  </w:style>
  <w:style w:type="paragraph" w:styleId="Title">
    <w:name w:val="Title"/>
    <w:basedOn w:val="Normal"/>
    <w:next w:val="Normal"/>
    <w:link w:val="TitleChar"/>
    <w:uiPriority w:val="10"/>
    <w:qFormat/>
    <w:rsid w:val="00907D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DA"/>
    <w:pPr>
      <w:spacing w:before="160"/>
      <w:jc w:val="center"/>
    </w:pPr>
    <w:rPr>
      <w:i/>
      <w:iCs/>
      <w:color w:val="404040" w:themeColor="text1" w:themeTint="BF"/>
    </w:rPr>
  </w:style>
  <w:style w:type="character" w:customStyle="1" w:styleId="QuoteChar">
    <w:name w:val="Quote Char"/>
    <w:basedOn w:val="DefaultParagraphFont"/>
    <w:link w:val="Quote"/>
    <w:uiPriority w:val="29"/>
    <w:rsid w:val="00907DDA"/>
    <w:rPr>
      <w:i/>
      <w:iCs/>
      <w:color w:val="404040" w:themeColor="text1" w:themeTint="BF"/>
    </w:rPr>
  </w:style>
  <w:style w:type="paragraph" w:styleId="ListParagraph">
    <w:name w:val="List Paragraph"/>
    <w:basedOn w:val="Normal"/>
    <w:uiPriority w:val="34"/>
    <w:qFormat/>
    <w:rsid w:val="00907DDA"/>
    <w:pPr>
      <w:ind w:left="720"/>
      <w:contextualSpacing/>
    </w:pPr>
  </w:style>
  <w:style w:type="character" w:styleId="IntenseEmphasis">
    <w:name w:val="Intense Emphasis"/>
    <w:basedOn w:val="DefaultParagraphFont"/>
    <w:uiPriority w:val="21"/>
    <w:qFormat/>
    <w:rsid w:val="00907DDA"/>
    <w:rPr>
      <w:i/>
      <w:iCs/>
      <w:color w:val="2F5496" w:themeColor="accent1" w:themeShade="BF"/>
    </w:rPr>
  </w:style>
  <w:style w:type="paragraph" w:styleId="IntenseQuote">
    <w:name w:val="Intense Quote"/>
    <w:basedOn w:val="Normal"/>
    <w:next w:val="Normal"/>
    <w:link w:val="IntenseQuoteChar"/>
    <w:uiPriority w:val="30"/>
    <w:qFormat/>
    <w:rsid w:val="00907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DDA"/>
    <w:rPr>
      <w:i/>
      <w:iCs/>
      <w:color w:val="2F5496" w:themeColor="accent1" w:themeShade="BF"/>
    </w:rPr>
  </w:style>
  <w:style w:type="character" w:styleId="IntenseReference">
    <w:name w:val="Intense Reference"/>
    <w:basedOn w:val="DefaultParagraphFont"/>
    <w:uiPriority w:val="32"/>
    <w:qFormat/>
    <w:rsid w:val="00907D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Zubair</dc:creator>
  <cp:keywords/>
  <dc:description/>
  <cp:lastModifiedBy>Omer Zubair</cp:lastModifiedBy>
  <cp:revision>1</cp:revision>
  <dcterms:created xsi:type="dcterms:W3CDTF">2026-10-11T21:31:00Z</dcterms:created>
  <dcterms:modified xsi:type="dcterms:W3CDTF">2026-10-11T21:32:00Z</dcterms:modified>
</cp:coreProperties>
</file>