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CCC2" w14:textId="77777777" w:rsidR="002F3131" w:rsidRDefault="00000000">
      <w:pPr>
        <w:jc w:val="center"/>
        <w:rPr>
          <w:rFonts w:hint="eastAsia"/>
        </w:rPr>
      </w:pPr>
      <w:r>
        <w:rPr>
          <w:b/>
          <w:color w:val="57068C"/>
          <w:sz w:val="28"/>
        </w:rPr>
        <w:t>EMERGING TECHNOLOGIES</w:t>
      </w:r>
    </w:p>
    <w:p w14:paraId="2E91DDE8" w14:textId="77777777" w:rsidR="002F3131" w:rsidRDefault="00000000">
      <w:pPr>
        <w:pStyle w:val="Title"/>
        <w:jc w:val="center"/>
      </w:pPr>
      <w:r>
        <w:t>Specialist Agent Record Template</w:t>
      </w:r>
    </w:p>
    <w:p w14:paraId="2CFAE64C" w14:textId="77777777" w:rsidR="002F3131" w:rsidRDefault="00000000">
      <w:pPr>
        <w:jc w:val="center"/>
        <w:rPr>
          <w:rFonts w:hint="eastAsia"/>
        </w:rPr>
      </w:pPr>
      <w:r>
        <w:t>MASY1-GC 1800 | Assignments 2-8</w:t>
      </w:r>
    </w:p>
    <w:tbl>
      <w:tblPr>
        <w:tblW w:w="0" w:type="auto"/>
        <w:tblLook w:val="04A0" w:firstRow="1" w:lastRow="0" w:firstColumn="1" w:lastColumn="0" w:noHBand="0" w:noVBand="1"/>
      </w:tblPr>
      <w:tblGrid>
        <w:gridCol w:w="10454"/>
      </w:tblGrid>
      <w:tr w:rsidR="002F3131" w14:paraId="31905A6B" w14:textId="77777777">
        <w:tc>
          <w:tcPr>
            <w:tcW w:w="10454" w:type="dxa"/>
            <w:shd w:val="clear" w:color="auto" w:fill="F3EDF7"/>
            <w:tcMar>
              <w:top w:w="90" w:type="dxa"/>
              <w:left w:w="120" w:type="dxa"/>
              <w:bottom w:w="90" w:type="dxa"/>
              <w:right w:w="120" w:type="dxa"/>
            </w:tcMar>
          </w:tcPr>
          <w:p w14:paraId="3061C35B" w14:textId="77777777" w:rsidR="002F3131" w:rsidRDefault="00000000">
            <w:pPr>
              <w:pStyle w:val="Callout"/>
              <w:rPr>
                <w:rFonts w:hint="eastAsia"/>
              </w:rPr>
            </w:pPr>
            <w:r>
              <w:t>Complete this record from the evidence in your working scaffold. Keep it concise. The record documents what you specialized, how you tested it, what failed or changed, and what professional judgment you reached.</w:t>
            </w:r>
          </w:p>
        </w:tc>
      </w:tr>
    </w:tbl>
    <w:p w14:paraId="09E984FB" w14:textId="77777777" w:rsidR="002F3131" w:rsidRDefault="00000000">
      <w:pPr>
        <w:pStyle w:val="Heading1"/>
      </w:pPr>
      <w:r>
        <w:t>A. Agent and Version</w:t>
      </w:r>
    </w:p>
    <w:tbl>
      <w:tblPr>
        <w:tblStyle w:val="TableGrid"/>
        <w:tblW w:w="0" w:type="auto"/>
        <w:jc w:val="center"/>
        <w:tblLook w:val="04A0" w:firstRow="1" w:lastRow="0" w:firstColumn="1" w:lastColumn="0" w:noHBand="0" w:noVBand="1"/>
      </w:tblPr>
      <w:tblGrid>
        <w:gridCol w:w="5221"/>
        <w:gridCol w:w="5223"/>
      </w:tblGrid>
      <w:tr w:rsidR="002F3131" w14:paraId="69538892" w14:textId="77777777">
        <w:trPr>
          <w:jc w:val="center"/>
        </w:trPr>
        <w:tc>
          <w:tcPr>
            <w:tcW w:w="5227" w:type="dxa"/>
            <w:shd w:val="clear" w:color="auto" w:fill="57068C"/>
            <w:tcMar>
              <w:top w:w="70" w:type="dxa"/>
              <w:left w:w="90" w:type="dxa"/>
              <w:bottom w:w="70" w:type="dxa"/>
              <w:right w:w="90" w:type="dxa"/>
            </w:tcMar>
          </w:tcPr>
          <w:p w14:paraId="5E9F36F2" w14:textId="77777777" w:rsidR="002F3131" w:rsidRDefault="00000000">
            <w:pPr>
              <w:spacing w:after="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1D0BD0BC" w14:textId="77777777" w:rsidR="002F3131" w:rsidRDefault="00000000">
            <w:pPr>
              <w:spacing w:after="0"/>
              <w:rPr>
                <w:rFonts w:hint="eastAsia"/>
              </w:rPr>
            </w:pPr>
            <w:r>
              <w:rPr>
                <w:b/>
                <w:color w:val="FFFFFF"/>
                <w:sz w:val="17"/>
              </w:rPr>
              <w:t>Student record</w:t>
            </w:r>
          </w:p>
        </w:tc>
      </w:tr>
      <w:tr w:rsidR="002F3131" w14:paraId="3FFECD95" w14:textId="77777777">
        <w:trPr>
          <w:jc w:val="center"/>
        </w:trPr>
        <w:tc>
          <w:tcPr>
            <w:tcW w:w="5227" w:type="dxa"/>
            <w:tcMar>
              <w:top w:w="70" w:type="dxa"/>
              <w:left w:w="90" w:type="dxa"/>
              <w:bottom w:w="70" w:type="dxa"/>
              <w:right w:w="90" w:type="dxa"/>
            </w:tcMar>
          </w:tcPr>
          <w:p w14:paraId="44AB45CB" w14:textId="77777777" w:rsidR="002F3131" w:rsidRDefault="00000000">
            <w:pPr>
              <w:spacing w:after="0"/>
              <w:rPr>
                <w:rFonts w:hint="eastAsia"/>
              </w:rPr>
            </w:pPr>
            <w:r>
              <w:rPr>
                <w:sz w:val="17"/>
              </w:rPr>
              <w:t>Student / team</w:t>
            </w:r>
          </w:p>
        </w:tc>
        <w:tc>
          <w:tcPr>
            <w:tcW w:w="5227" w:type="dxa"/>
            <w:tcMar>
              <w:top w:w="70" w:type="dxa"/>
              <w:left w:w="90" w:type="dxa"/>
              <w:bottom w:w="70" w:type="dxa"/>
              <w:right w:w="90" w:type="dxa"/>
            </w:tcMar>
          </w:tcPr>
          <w:p w14:paraId="79A16724" w14:textId="49B6E8E1" w:rsidR="002F3131" w:rsidRDefault="00000000">
            <w:pPr>
              <w:spacing w:after="0" w:line="240" w:lineRule="auto"/>
              <w:rPr>
                <w:rFonts w:hint="eastAsia"/>
              </w:rPr>
            </w:pPr>
            <w:r>
              <w:rPr>
                <w:rFonts w:ascii="Arial" w:hAnsi="Arial"/>
                <w:sz w:val="16"/>
              </w:rPr>
              <w:t>Meilin</w:t>
            </w:r>
            <w:r w:rsidR="00E61658">
              <w:rPr>
                <w:rFonts w:ascii="Arial" w:hAnsi="Arial"/>
                <w:sz w:val="16"/>
              </w:rPr>
              <w:t xml:space="preserve"> Pan / Milk Almond</w:t>
            </w:r>
          </w:p>
        </w:tc>
      </w:tr>
      <w:tr w:rsidR="002F3131" w14:paraId="2BC2AF99" w14:textId="77777777">
        <w:trPr>
          <w:jc w:val="center"/>
        </w:trPr>
        <w:tc>
          <w:tcPr>
            <w:tcW w:w="5227" w:type="dxa"/>
            <w:tcMar>
              <w:top w:w="70" w:type="dxa"/>
              <w:left w:w="90" w:type="dxa"/>
              <w:bottom w:w="70" w:type="dxa"/>
              <w:right w:w="90" w:type="dxa"/>
            </w:tcMar>
          </w:tcPr>
          <w:p w14:paraId="2D21B08F" w14:textId="77777777" w:rsidR="002F3131" w:rsidRDefault="00000000">
            <w:pPr>
              <w:spacing w:after="0"/>
              <w:rPr>
                <w:rFonts w:hint="eastAsia"/>
              </w:rPr>
            </w:pPr>
            <w:r>
              <w:rPr>
                <w:sz w:val="17"/>
              </w:rPr>
              <w:t>Assignment / specialist agent</w:t>
            </w:r>
          </w:p>
        </w:tc>
        <w:tc>
          <w:tcPr>
            <w:tcW w:w="5227" w:type="dxa"/>
            <w:tcMar>
              <w:top w:w="70" w:type="dxa"/>
              <w:left w:w="90" w:type="dxa"/>
              <w:bottom w:w="70" w:type="dxa"/>
              <w:right w:w="90" w:type="dxa"/>
            </w:tcMar>
          </w:tcPr>
          <w:p w14:paraId="007F3937" w14:textId="77777777" w:rsidR="002F3131" w:rsidRDefault="00000000">
            <w:pPr>
              <w:spacing w:after="0" w:line="240" w:lineRule="auto"/>
              <w:rPr>
                <w:rFonts w:hint="eastAsia"/>
              </w:rPr>
            </w:pPr>
            <w:r>
              <w:rPr>
                <w:rFonts w:ascii="Arial" w:hAnsi="Arial"/>
                <w:sz w:val="16"/>
              </w:rPr>
              <w:t>Week 4 Assignment 2 / Emerging Technology Creation Agent</w:t>
            </w:r>
          </w:p>
        </w:tc>
      </w:tr>
      <w:tr w:rsidR="002F3131" w14:paraId="058C58D0" w14:textId="77777777">
        <w:trPr>
          <w:jc w:val="center"/>
        </w:trPr>
        <w:tc>
          <w:tcPr>
            <w:tcW w:w="5227" w:type="dxa"/>
            <w:tcMar>
              <w:top w:w="70" w:type="dxa"/>
              <w:left w:w="90" w:type="dxa"/>
              <w:bottom w:w="70" w:type="dxa"/>
              <w:right w:w="90" w:type="dxa"/>
            </w:tcMar>
          </w:tcPr>
          <w:p w14:paraId="66D75866" w14:textId="77777777" w:rsidR="002F3131" w:rsidRDefault="00000000">
            <w:pPr>
              <w:spacing w:after="0"/>
              <w:rPr>
                <w:rFonts w:hint="eastAsia"/>
              </w:rPr>
            </w:pPr>
            <w:r>
              <w:rPr>
                <w:sz w:val="17"/>
              </w:rPr>
              <w:t>Date</w:t>
            </w:r>
          </w:p>
        </w:tc>
        <w:tc>
          <w:tcPr>
            <w:tcW w:w="5227" w:type="dxa"/>
            <w:tcMar>
              <w:top w:w="70" w:type="dxa"/>
              <w:left w:w="90" w:type="dxa"/>
              <w:bottom w:w="70" w:type="dxa"/>
              <w:right w:w="90" w:type="dxa"/>
            </w:tcMar>
          </w:tcPr>
          <w:p w14:paraId="6E6721E6" w14:textId="77777777" w:rsidR="002F3131" w:rsidRDefault="00000000">
            <w:pPr>
              <w:spacing w:after="0" w:line="240" w:lineRule="auto"/>
              <w:rPr>
                <w:rFonts w:hint="eastAsia"/>
              </w:rPr>
            </w:pPr>
            <w:r>
              <w:rPr>
                <w:rFonts w:ascii="Arial" w:hAnsi="Arial"/>
                <w:sz w:val="16"/>
              </w:rPr>
              <w:t>October 5, 2026</w:t>
            </w:r>
          </w:p>
        </w:tc>
      </w:tr>
      <w:tr w:rsidR="002F3131" w14:paraId="32D837C2" w14:textId="77777777">
        <w:trPr>
          <w:jc w:val="center"/>
        </w:trPr>
        <w:tc>
          <w:tcPr>
            <w:tcW w:w="5227" w:type="dxa"/>
            <w:tcMar>
              <w:top w:w="70" w:type="dxa"/>
              <w:left w:w="90" w:type="dxa"/>
              <w:bottom w:w="70" w:type="dxa"/>
              <w:right w:w="90" w:type="dxa"/>
            </w:tcMar>
          </w:tcPr>
          <w:p w14:paraId="7437D862" w14:textId="77777777" w:rsidR="002F3131" w:rsidRDefault="00000000">
            <w:pPr>
              <w:spacing w:after="0"/>
              <w:rPr>
                <w:rFonts w:hint="eastAsia"/>
              </w:rPr>
            </w:pPr>
            <w:r>
              <w:rPr>
                <w:sz w:val="17"/>
              </w:rPr>
              <w:t>GitHub repository</w:t>
            </w:r>
          </w:p>
        </w:tc>
        <w:tc>
          <w:tcPr>
            <w:tcW w:w="5227" w:type="dxa"/>
            <w:tcMar>
              <w:top w:w="70" w:type="dxa"/>
              <w:left w:w="90" w:type="dxa"/>
              <w:bottom w:w="70" w:type="dxa"/>
              <w:right w:w="90" w:type="dxa"/>
            </w:tcMar>
          </w:tcPr>
          <w:p w14:paraId="1D7529FB" w14:textId="77777777" w:rsidR="002F3131" w:rsidRDefault="00000000">
            <w:pPr>
              <w:spacing w:after="0" w:line="240" w:lineRule="auto"/>
              <w:rPr>
                <w:rFonts w:hint="eastAsia"/>
              </w:rPr>
            </w:pPr>
            <w:r>
              <w:rPr>
                <w:rFonts w:ascii="Arial" w:hAnsi="Arial"/>
                <w:sz w:val="16"/>
              </w:rPr>
              <w:t>https://github.com/mp7240-sudo/MASY1800-Emerging-Technology-Creation-Agent</w:t>
            </w:r>
          </w:p>
        </w:tc>
      </w:tr>
      <w:tr w:rsidR="002F3131" w14:paraId="40F61594" w14:textId="77777777">
        <w:trPr>
          <w:jc w:val="center"/>
        </w:trPr>
        <w:tc>
          <w:tcPr>
            <w:tcW w:w="5227" w:type="dxa"/>
            <w:tcMar>
              <w:top w:w="70" w:type="dxa"/>
              <w:left w:w="90" w:type="dxa"/>
              <w:bottom w:w="70" w:type="dxa"/>
              <w:right w:w="90" w:type="dxa"/>
            </w:tcMar>
          </w:tcPr>
          <w:p w14:paraId="2BDFE272" w14:textId="77777777" w:rsidR="002F3131" w:rsidRDefault="00000000">
            <w:pPr>
              <w:spacing w:after="0"/>
              <w:rPr>
                <w:rFonts w:hint="eastAsia"/>
              </w:rPr>
            </w:pPr>
            <w:r>
              <w:rPr>
                <w:sz w:val="17"/>
              </w:rPr>
              <w:t>Branch</w:t>
            </w:r>
          </w:p>
        </w:tc>
        <w:tc>
          <w:tcPr>
            <w:tcW w:w="5227" w:type="dxa"/>
            <w:tcMar>
              <w:top w:w="70" w:type="dxa"/>
              <w:left w:w="90" w:type="dxa"/>
              <w:bottom w:w="70" w:type="dxa"/>
              <w:right w:w="90" w:type="dxa"/>
            </w:tcMar>
          </w:tcPr>
          <w:p w14:paraId="46FF0881" w14:textId="77777777" w:rsidR="002F3131" w:rsidRDefault="00000000">
            <w:pPr>
              <w:spacing w:after="0" w:line="240" w:lineRule="auto"/>
              <w:rPr>
                <w:rFonts w:hint="eastAsia"/>
              </w:rPr>
            </w:pPr>
            <w:r>
              <w:rPr>
                <w:rFonts w:ascii="Arial" w:hAnsi="Arial"/>
                <w:sz w:val="16"/>
              </w:rPr>
              <w:t>main</w:t>
            </w:r>
          </w:p>
        </w:tc>
      </w:tr>
      <w:tr w:rsidR="002F3131" w14:paraId="519B9A13" w14:textId="77777777">
        <w:trPr>
          <w:jc w:val="center"/>
        </w:trPr>
        <w:tc>
          <w:tcPr>
            <w:tcW w:w="5227" w:type="dxa"/>
            <w:tcMar>
              <w:top w:w="70" w:type="dxa"/>
              <w:left w:w="90" w:type="dxa"/>
              <w:bottom w:w="70" w:type="dxa"/>
              <w:right w:w="90" w:type="dxa"/>
            </w:tcMar>
          </w:tcPr>
          <w:p w14:paraId="3BA6AB01" w14:textId="77777777" w:rsidR="002F3131" w:rsidRDefault="00000000">
            <w:pPr>
              <w:spacing w:after="0"/>
              <w:rPr>
                <w:rFonts w:hint="eastAsia"/>
              </w:rPr>
            </w:pPr>
            <w:r>
              <w:rPr>
                <w:sz w:val="17"/>
              </w:rPr>
              <w:t>Commit</w:t>
            </w:r>
          </w:p>
        </w:tc>
        <w:tc>
          <w:tcPr>
            <w:tcW w:w="5227" w:type="dxa"/>
            <w:tcMar>
              <w:top w:w="70" w:type="dxa"/>
              <w:left w:w="90" w:type="dxa"/>
              <w:bottom w:w="70" w:type="dxa"/>
              <w:right w:w="90" w:type="dxa"/>
            </w:tcMar>
          </w:tcPr>
          <w:p w14:paraId="03FB0FD9" w14:textId="77777777" w:rsidR="002F3131" w:rsidRDefault="00000000">
            <w:pPr>
              <w:spacing w:after="0" w:line="240" w:lineRule="auto"/>
              <w:rPr>
                <w:rFonts w:hint="eastAsia"/>
              </w:rPr>
            </w:pPr>
            <w:r>
              <w:rPr>
                <w:rFonts w:ascii="Arial" w:hAnsi="Arial"/>
                <w:sz w:val="16"/>
              </w:rPr>
              <w:t>60fffb8 (final record); a73e717 (tested agent candidate)</w:t>
            </w:r>
          </w:p>
        </w:tc>
      </w:tr>
      <w:tr w:rsidR="002F3131" w14:paraId="7B9A3D81" w14:textId="77777777">
        <w:trPr>
          <w:jc w:val="center"/>
        </w:trPr>
        <w:tc>
          <w:tcPr>
            <w:tcW w:w="5227" w:type="dxa"/>
            <w:tcMar>
              <w:top w:w="70" w:type="dxa"/>
              <w:left w:w="90" w:type="dxa"/>
              <w:bottom w:w="70" w:type="dxa"/>
              <w:right w:w="90" w:type="dxa"/>
            </w:tcMar>
          </w:tcPr>
          <w:p w14:paraId="5972A51D" w14:textId="77777777" w:rsidR="002F3131" w:rsidRDefault="00000000">
            <w:pPr>
              <w:spacing w:after="0"/>
              <w:rPr>
                <w:rFonts w:hint="eastAsia"/>
              </w:rPr>
            </w:pPr>
            <w:r>
              <w:rPr>
                <w:sz w:val="17"/>
              </w:rPr>
              <w:t>Frozen scaffold version</w:t>
            </w:r>
          </w:p>
        </w:tc>
        <w:tc>
          <w:tcPr>
            <w:tcW w:w="5227" w:type="dxa"/>
            <w:tcMar>
              <w:top w:w="70" w:type="dxa"/>
              <w:left w:w="90" w:type="dxa"/>
              <w:bottom w:w="70" w:type="dxa"/>
              <w:right w:w="90" w:type="dxa"/>
            </w:tcMar>
          </w:tcPr>
          <w:p w14:paraId="1E353E0D" w14:textId="77777777" w:rsidR="002F3131" w:rsidRDefault="00000000">
            <w:pPr>
              <w:spacing w:after="0"/>
              <w:rPr>
                <w:rFonts w:hint="eastAsia"/>
              </w:rPr>
            </w:pPr>
            <w:r>
              <w:rPr>
                <w:sz w:val="16"/>
              </w:rPr>
              <w:t>MASY1800_ET_Agent_Scaffold_v1_0</w:t>
            </w:r>
          </w:p>
        </w:tc>
      </w:tr>
    </w:tbl>
    <w:p w14:paraId="67367453" w14:textId="77777777" w:rsidR="002F3131" w:rsidRDefault="00000000">
      <w:pPr>
        <w:pStyle w:val="Heading1"/>
      </w:pPr>
      <w:r>
        <w:t>B. Specialist Purpose and Context</w:t>
      </w:r>
    </w:p>
    <w:tbl>
      <w:tblPr>
        <w:tblStyle w:val="TableGrid"/>
        <w:tblW w:w="0" w:type="auto"/>
        <w:jc w:val="center"/>
        <w:tblLook w:val="04A0" w:firstRow="1" w:lastRow="0" w:firstColumn="1" w:lastColumn="0" w:noHBand="0" w:noVBand="1"/>
      </w:tblPr>
      <w:tblGrid>
        <w:gridCol w:w="5222"/>
        <w:gridCol w:w="5222"/>
      </w:tblGrid>
      <w:tr w:rsidR="002F3131" w14:paraId="6243A976" w14:textId="77777777">
        <w:trPr>
          <w:jc w:val="center"/>
        </w:trPr>
        <w:tc>
          <w:tcPr>
            <w:tcW w:w="5227" w:type="dxa"/>
            <w:shd w:val="clear" w:color="auto" w:fill="57068C"/>
            <w:tcMar>
              <w:top w:w="70" w:type="dxa"/>
              <w:left w:w="90" w:type="dxa"/>
              <w:bottom w:w="70" w:type="dxa"/>
              <w:right w:w="90" w:type="dxa"/>
            </w:tcMar>
          </w:tcPr>
          <w:p w14:paraId="2F1974BC" w14:textId="77777777" w:rsidR="002F3131" w:rsidRDefault="00000000">
            <w:pPr>
              <w:spacing w:after="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7EA02F4D" w14:textId="77777777" w:rsidR="002F3131" w:rsidRDefault="00000000">
            <w:pPr>
              <w:spacing w:after="0"/>
              <w:rPr>
                <w:rFonts w:hint="eastAsia"/>
              </w:rPr>
            </w:pPr>
            <w:r>
              <w:rPr>
                <w:b/>
                <w:color w:val="FFFFFF"/>
                <w:sz w:val="17"/>
              </w:rPr>
              <w:t>Student record</w:t>
            </w:r>
          </w:p>
        </w:tc>
      </w:tr>
      <w:tr w:rsidR="002F3131" w14:paraId="478B40A0" w14:textId="77777777">
        <w:trPr>
          <w:jc w:val="center"/>
        </w:trPr>
        <w:tc>
          <w:tcPr>
            <w:tcW w:w="5227" w:type="dxa"/>
            <w:tcMar>
              <w:top w:w="70" w:type="dxa"/>
              <w:left w:w="90" w:type="dxa"/>
              <w:bottom w:w="70" w:type="dxa"/>
              <w:right w:w="90" w:type="dxa"/>
            </w:tcMar>
          </w:tcPr>
          <w:p w14:paraId="58C903E2" w14:textId="77777777" w:rsidR="002F3131" w:rsidRDefault="00000000">
            <w:pPr>
              <w:spacing w:after="0"/>
              <w:rPr>
                <w:rFonts w:hint="eastAsia"/>
              </w:rPr>
            </w:pPr>
            <w:r>
              <w:rPr>
                <w:sz w:val="17"/>
              </w:rPr>
              <w:t>Governing analytical question</w:t>
            </w:r>
          </w:p>
        </w:tc>
        <w:tc>
          <w:tcPr>
            <w:tcW w:w="5227" w:type="dxa"/>
            <w:tcMar>
              <w:top w:w="70" w:type="dxa"/>
              <w:left w:w="90" w:type="dxa"/>
              <w:bottom w:w="70" w:type="dxa"/>
              <w:right w:w="90" w:type="dxa"/>
            </w:tcMar>
          </w:tcPr>
          <w:p w14:paraId="32A6E425" w14:textId="77777777" w:rsidR="002F3131" w:rsidRDefault="00000000">
            <w:pPr>
              <w:spacing w:after="0" w:line="240" w:lineRule="auto"/>
              <w:rPr>
                <w:rFonts w:hint="eastAsia"/>
              </w:rPr>
            </w:pPr>
            <w:r>
              <w:rPr>
                <w:rFonts w:ascii="Arial" w:hAnsi="Arial"/>
                <w:sz w:val="16"/>
              </w:rPr>
              <w:t>How did this technology come into existence, what combination of prior capabilities made it possible, and what does that history imply for this application and organization?</w:t>
            </w:r>
          </w:p>
        </w:tc>
      </w:tr>
      <w:tr w:rsidR="002F3131" w14:paraId="5A344DE0" w14:textId="77777777">
        <w:trPr>
          <w:jc w:val="center"/>
        </w:trPr>
        <w:tc>
          <w:tcPr>
            <w:tcW w:w="5227" w:type="dxa"/>
            <w:tcMar>
              <w:top w:w="70" w:type="dxa"/>
              <w:left w:w="90" w:type="dxa"/>
              <w:bottom w:w="70" w:type="dxa"/>
              <w:right w:w="90" w:type="dxa"/>
            </w:tcMar>
          </w:tcPr>
          <w:p w14:paraId="443B0427" w14:textId="77777777" w:rsidR="002F3131" w:rsidRDefault="00000000">
            <w:pPr>
              <w:spacing w:after="0"/>
              <w:rPr>
                <w:rFonts w:hint="eastAsia"/>
              </w:rPr>
            </w:pPr>
            <w:r>
              <w:rPr>
                <w:sz w:val="17"/>
              </w:rPr>
              <w:t>Emerging technology</w:t>
            </w:r>
          </w:p>
        </w:tc>
        <w:tc>
          <w:tcPr>
            <w:tcW w:w="5227" w:type="dxa"/>
            <w:tcMar>
              <w:top w:w="70" w:type="dxa"/>
              <w:left w:w="90" w:type="dxa"/>
              <w:bottom w:w="70" w:type="dxa"/>
              <w:right w:w="90" w:type="dxa"/>
            </w:tcMar>
          </w:tcPr>
          <w:p w14:paraId="271B37B1" w14:textId="77777777" w:rsidR="002F3131" w:rsidRDefault="00000000">
            <w:pPr>
              <w:spacing w:after="0" w:line="240" w:lineRule="auto"/>
              <w:rPr>
                <w:rFonts w:hint="eastAsia"/>
              </w:rPr>
            </w:pPr>
            <w:r>
              <w:rPr>
                <w:rFonts w:ascii="Arial" w:hAnsi="Arial"/>
                <w:sz w:val="16"/>
              </w:rPr>
              <w:t>Large-language-model-based generative AI conversational assistants</w:t>
            </w:r>
          </w:p>
        </w:tc>
      </w:tr>
      <w:tr w:rsidR="002F3131" w14:paraId="074FAF6B" w14:textId="77777777">
        <w:trPr>
          <w:jc w:val="center"/>
        </w:trPr>
        <w:tc>
          <w:tcPr>
            <w:tcW w:w="5227" w:type="dxa"/>
            <w:tcMar>
              <w:top w:w="70" w:type="dxa"/>
              <w:left w:w="90" w:type="dxa"/>
              <w:bottom w:w="70" w:type="dxa"/>
              <w:right w:w="90" w:type="dxa"/>
            </w:tcMar>
          </w:tcPr>
          <w:p w14:paraId="239C7CA5" w14:textId="77777777" w:rsidR="002F3131" w:rsidRDefault="00000000">
            <w:pPr>
              <w:spacing w:after="0"/>
              <w:rPr>
                <w:rFonts w:hint="eastAsia"/>
              </w:rPr>
            </w:pPr>
            <w:r>
              <w:rPr>
                <w:sz w:val="17"/>
              </w:rPr>
              <w:t>Intended application</w:t>
            </w:r>
          </w:p>
        </w:tc>
        <w:tc>
          <w:tcPr>
            <w:tcW w:w="5227" w:type="dxa"/>
            <w:tcMar>
              <w:top w:w="70" w:type="dxa"/>
              <w:left w:w="90" w:type="dxa"/>
              <w:bottom w:w="70" w:type="dxa"/>
              <w:right w:w="90" w:type="dxa"/>
            </w:tcMar>
          </w:tcPr>
          <w:p w14:paraId="4566797E" w14:textId="77777777" w:rsidR="002F3131" w:rsidRDefault="00000000">
            <w:pPr>
              <w:spacing w:after="0" w:line="240" w:lineRule="auto"/>
              <w:rPr>
                <w:rFonts w:hint="eastAsia"/>
              </w:rPr>
            </w:pPr>
            <w:r>
              <w:rPr>
                <w:rFonts w:ascii="Arial" w:hAnsi="Arial"/>
                <w:sz w:val="16"/>
              </w:rPr>
              <w:t>Client-facing assistant for initial wealth-management risk-tolerance intake: guide questions, clarify/structure responses, and route information to a human financial advisor for individualized review and follow-up.</w:t>
            </w:r>
          </w:p>
        </w:tc>
      </w:tr>
      <w:tr w:rsidR="002F3131" w14:paraId="7558536B" w14:textId="77777777">
        <w:trPr>
          <w:jc w:val="center"/>
        </w:trPr>
        <w:tc>
          <w:tcPr>
            <w:tcW w:w="5227" w:type="dxa"/>
            <w:tcMar>
              <w:top w:w="70" w:type="dxa"/>
              <w:left w:w="90" w:type="dxa"/>
              <w:bottom w:w="70" w:type="dxa"/>
              <w:right w:w="90" w:type="dxa"/>
            </w:tcMar>
          </w:tcPr>
          <w:p w14:paraId="17094AC7" w14:textId="77777777" w:rsidR="002F3131" w:rsidRDefault="00000000">
            <w:pPr>
              <w:spacing w:after="0"/>
              <w:rPr>
                <w:rFonts w:hint="eastAsia"/>
              </w:rPr>
            </w:pPr>
            <w:r>
              <w:rPr>
                <w:sz w:val="17"/>
              </w:rPr>
              <w:t>Organization / industry</w:t>
            </w:r>
          </w:p>
        </w:tc>
        <w:tc>
          <w:tcPr>
            <w:tcW w:w="5227" w:type="dxa"/>
            <w:tcMar>
              <w:top w:w="70" w:type="dxa"/>
              <w:left w:w="90" w:type="dxa"/>
              <w:bottom w:w="70" w:type="dxa"/>
              <w:right w:w="90" w:type="dxa"/>
            </w:tcMar>
          </w:tcPr>
          <w:p w14:paraId="5A8682E4" w14:textId="77777777" w:rsidR="002F3131" w:rsidRDefault="00000000">
            <w:pPr>
              <w:spacing w:after="0" w:line="240" w:lineRule="auto"/>
              <w:rPr>
                <w:rFonts w:hint="eastAsia"/>
              </w:rPr>
            </w:pPr>
            <w:r>
              <w:rPr>
                <w:rFonts w:ascii="Arial" w:hAnsi="Arial"/>
                <w:sz w:val="16"/>
              </w:rPr>
              <w:t>Established regional bank with a wealth-management division / regulated banking and wealth management</w:t>
            </w:r>
          </w:p>
        </w:tc>
      </w:tr>
      <w:tr w:rsidR="002F3131" w14:paraId="4E62B4FA" w14:textId="77777777">
        <w:trPr>
          <w:jc w:val="center"/>
        </w:trPr>
        <w:tc>
          <w:tcPr>
            <w:tcW w:w="5227" w:type="dxa"/>
            <w:tcMar>
              <w:top w:w="70" w:type="dxa"/>
              <w:left w:w="90" w:type="dxa"/>
              <w:bottom w:w="70" w:type="dxa"/>
              <w:right w:w="90" w:type="dxa"/>
            </w:tcMar>
          </w:tcPr>
          <w:p w14:paraId="588533F8" w14:textId="77777777" w:rsidR="002F3131" w:rsidRDefault="00000000">
            <w:pPr>
              <w:spacing w:after="0"/>
              <w:rPr>
                <w:rFonts w:hint="eastAsia"/>
              </w:rPr>
            </w:pPr>
            <w:r>
              <w:rPr>
                <w:sz w:val="17"/>
              </w:rPr>
              <w:t>Adoption posture</w:t>
            </w:r>
          </w:p>
        </w:tc>
        <w:tc>
          <w:tcPr>
            <w:tcW w:w="5227" w:type="dxa"/>
            <w:tcMar>
              <w:top w:w="70" w:type="dxa"/>
              <w:left w:w="90" w:type="dxa"/>
              <w:bottom w:w="70" w:type="dxa"/>
              <w:right w:w="90" w:type="dxa"/>
            </w:tcMar>
          </w:tcPr>
          <w:p w14:paraId="092793EE" w14:textId="77777777" w:rsidR="002F3131" w:rsidRDefault="00000000">
            <w:pPr>
              <w:spacing w:after="0" w:line="240" w:lineRule="auto"/>
              <w:rPr>
                <w:rFonts w:hint="eastAsia"/>
              </w:rPr>
            </w:pPr>
            <w:r>
              <w:rPr>
                <w:rFonts w:ascii="Arial" w:hAnsi="Arial"/>
                <w:sz w:val="16"/>
              </w:rPr>
              <w:t>Conservative / risk-averse</w:t>
            </w:r>
          </w:p>
        </w:tc>
      </w:tr>
      <w:tr w:rsidR="002F3131" w14:paraId="5B47D919" w14:textId="77777777">
        <w:trPr>
          <w:jc w:val="center"/>
        </w:trPr>
        <w:tc>
          <w:tcPr>
            <w:tcW w:w="5227" w:type="dxa"/>
            <w:tcMar>
              <w:top w:w="70" w:type="dxa"/>
              <w:left w:w="90" w:type="dxa"/>
              <w:bottom w:w="70" w:type="dxa"/>
              <w:right w:w="90" w:type="dxa"/>
            </w:tcMar>
          </w:tcPr>
          <w:p w14:paraId="3BC5B868" w14:textId="77777777" w:rsidR="002F3131" w:rsidRDefault="00000000">
            <w:pPr>
              <w:spacing w:after="0"/>
              <w:rPr>
                <w:rFonts w:hint="eastAsia"/>
              </w:rPr>
            </w:pPr>
            <w:r>
              <w:rPr>
                <w:sz w:val="17"/>
              </w:rPr>
              <w:t>Risk / consequence context</w:t>
            </w:r>
          </w:p>
        </w:tc>
        <w:tc>
          <w:tcPr>
            <w:tcW w:w="5227" w:type="dxa"/>
            <w:tcMar>
              <w:top w:w="70" w:type="dxa"/>
              <w:left w:w="90" w:type="dxa"/>
              <w:bottom w:w="70" w:type="dxa"/>
              <w:right w:w="90" w:type="dxa"/>
            </w:tcMar>
          </w:tcPr>
          <w:p w14:paraId="2B40429A" w14:textId="77777777" w:rsidR="002F3131" w:rsidRDefault="00000000">
            <w:pPr>
              <w:spacing w:after="0" w:line="240" w:lineRule="auto"/>
              <w:rPr>
                <w:rFonts w:hint="eastAsia"/>
              </w:rPr>
            </w:pPr>
            <w:r>
              <w:rPr>
                <w:rFonts w:ascii="Arial" w:hAnsi="Arial"/>
                <w:sz w:val="16"/>
              </w:rPr>
              <w:t>Medium-high. Errors in eliciting, interpreting, or summarizing risk-tolerance information could affect downstream financial discussions; consequential investment judgments remain with a human advisor.</w:t>
            </w:r>
          </w:p>
        </w:tc>
      </w:tr>
      <w:tr w:rsidR="002F3131" w14:paraId="3BE762DC" w14:textId="77777777">
        <w:trPr>
          <w:jc w:val="center"/>
        </w:trPr>
        <w:tc>
          <w:tcPr>
            <w:tcW w:w="5227" w:type="dxa"/>
            <w:tcMar>
              <w:top w:w="70" w:type="dxa"/>
              <w:left w:w="90" w:type="dxa"/>
              <w:bottom w:w="70" w:type="dxa"/>
              <w:right w:w="90" w:type="dxa"/>
            </w:tcMar>
          </w:tcPr>
          <w:p w14:paraId="6E607509" w14:textId="77777777" w:rsidR="002F3131" w:rsidRDefault="00000000">
            <w:pPr>
              <w:spacing w:after="0"/>
              <w:rPr>
                <w:rFonts w:hint="eastAsia"/>
              </w:rPr>
            </w:pPr>
            <w:r>
              <w:rPr>
                <w:sz w:val="17"/>
              </w:rPr>
              <w:t>Management question / time horizon</w:t>
            </w:r>
          </w:p>
        </w:tc>
        <w:tc>
          <w:tcPr>
            <w:tcW w:w="5227" w:type="dxa"/>
            <w:tcMar>
              <w:top w:w="70" w:type="dxa"/>
              <w:left w:w="90" w:type="dxa"/>
              <w:bottom w:w="70" w:type="dxa"/>
              <w:right w:w="90" w:type="dxa"/>
            </w:tcMar>
          </w:tcPr>
          <w:p w14:paraId="0576DC20" w14:textId="77777777" w:rsidR="002F3131" w:rsidRDefault="00000000">
            <w:pPr>
              <w:spacing w:after="0" w:line="240" w:lineRule="auto"/>
              <w:rPr>
                <w:rFonts w:hint="eastAsia"/>
              </w:rPr>
            </w:pPr>
            <w:r>
              <w:rPr>
                <w:rFonts w:ascii="Arial" w:hAnsi="Arial"/>
                <w:sz w:val="16"/>
              </w:rPr>
              <w:t>Should the bank pilot an LLM assistant for risk-profiling intake and advisor routing, and which inherited capabilities/limitations should shape the pilot? / Next 12-18 months</w:t>
            </w:r>
          </w:p>
        </w:tc>
      </w:tr>
    </w:tbl>
    <w:p w14:paraId="36C86458" w14:textId="77777777" w:rsidR="002F3131" w:rsidRDefault="00000000">
      <w:pPr>
        <w:pStyle w:val="Heading1"/>
      </w:pPr>
      <w:r>
        <w:t>C. Three-Level Finding</w:t>
      </w:r>
    </w:p>
    <w:tbl>
      <w:tblPr>
        <w:tblStyle w:val="TableGrid"/>
        <w:tblW w:w="0" w:type="auto"/>
        <w:jc w:val="center"/>
        <w:tblLook w:val="04A0" w:firstRow="1" w:lastRow="0" w:firstColumn="1" w:lastColumn="0" w:noHBand="0" w:noVBand="1"/>
      </w:tblPr>
      <w:tblGrid>
        <w:gridCol w:w="5222"/>
        <w:gridCol w:w="5222"/>
      </w:tblGrid>
      <w:tr w:rsidR="002F3131" w14:paraId="2B7DAA56" w14:textId="77777777">
        <w:trPr>
          <w:jc w:val="center"/>
        </w:trPr>
        <w:tc>
          <w:tcPr>
            <w:tcW w:w="5227" w:type="dxa"/>
            <w:shd w:val="clear" w:color="auto" w:fill="57068C"/>
            <w:tcMar>
              <w:top w:w="70" w:type="dxa"/>
              <w:left w:w="90" w:type="dxa"/>
              <w:bottom w:w="70" w:type="dxa"/>
              <w:right w:w="90" w:type="dxa"/>
            </w:tcMar>
          </w:tcPr>
          <w:p w14:paraId="40BE5651" w14:textId="77777777" w:rsidR="002F3131" w:rsidRDefault="00000000">
            <w:pPr>
              <w:spacing w:after="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61022CCD" w14:textId="77777777" w:rsidR="002F3131" w:rsidRDefault="00000000">
            <w:pPr>
              <w:spacing w:after="0"/>
              <w:rPr>
                <w:rFonts w:hint="eastAsia"/>
              </w:rPr>
            </w:pPr>
            <w:r>
              <w:rPr>
                <w:b/>
                <w:color w:val="FFFFFF"/>
                <w:sz w:val="17"/>
              </w:rPr>
              <w:t>Student record</w:t>
            </w:r>
          </w:p>
        </w:tc>
      </w:tr>
      <w:tr w:rsidR="002F3131" w14:paraId="243CAF00" w14:textId="77777777">
        <w:trPr>
          <w:jc w:val="center"/>
        </w:trPr>
        <w:tc>
          <w:tcPr>
            <w:tcW w:w="5227" w:type="dxa"/>
            <w:tcMar>
              <w:top w:w="70" w:type="dxa"/>
              <w:left w:w="90" w:type="dxa"/>
              <w:bottom w:w="70" w:type="dxa"/>
              <w:right w:w="90" w:type="dxa"/>
            </w:tcMar>
          </w:tcPr>
          <w:p w14:paraId="0EFC745F" w14:textId="77777777" w:rsidR="002F3131" w:rsidRDefault="00000000">
            <w:pPr>
              <w:spacing w:after="0"/>
              <w:rPr>
                <w:rFonts w:hint="eastAsia"/>
              </w:rPr>
            </w:pPr>
            <w:r>
              <w:rPr>
                <w:sz w:val="17"/>
              </w:rPr>
              <w:t>ET generally</w:t>
            </w:r>
          </w:p>
        </w:tc>
        <w:tc>
          <w:tcPr>
            <w:tcW w:w="5227" w:type="dxa"/>
            <w:tcMar>
              <w:top w:w="70" w:type="dxa"/>
              <w:left w:w="90" w:type="dxa"/>
              <w:bottom w:w="70" w:type="dxa"/>
              <w:right w:w="90" w:type="dxa"/>
            </w:tcMar>
          </w:tcPr>
          <w:p w14:paraId="06090CCC" w14:textId="77777777" w:rsidR="002F3131" w:rsidRDefault="00000000">
            <w:pPr>
              <w:spacing w:after="0" w:line="240" w:lineRule="auto"/>
              <w:rPr>
                <w:rFonts w:hint="eastAsia"/>
              </w:rPr>
            </w:pPr>
            <w:r>
              <w:rPr>
                <w:rFonts w:ascii="Arial" w:hAnsi="Arial"/>
                <w:sz w:val="16"/>
              </w:rPr>
              <w:t>Conversational LLMs emerged cumulatively through Transformer architectures, large-scale pretrained language modeling, scaling of model/data/compute, and later instruction tuning/RLHF. These advances enabled flexible natural-language interaction but did not make fluent generation equivalent to factual correctness or domain judgment.</w:t>
            </w:r>
          </w:p>
        </w:tc>
      </w:tr>
      <w:tr w:rsidR="002F3131" w14:paraId="6E97A7D3" w14:textId="77777777">
        <w:trPr>
          <w:jc w:val="center"/>
        </w:trPr>
        <w:tc>
          <w:tcPr>
            <w:tcW w:w="5227" w:type="dxa"/>
            <w:tcMar>
              <w:top w:w="70" w:type="dxa"/>
              <w:left w:w="90" w:type="dxa"/>
              <w:bottom w:w="70" w:type="dxa"/>
              <w:right w:w="90" w:type="dxa"/>
            </w:tcMar>
          </w:tcPr>
          <w:p w14:paraId="47125204" w14:textId="77777777" w:rsidR="002F3131" w:rsidRDefault="00000000">
            <w:pPr>
              <w:spacing w:after="0"/>
              <w:rPr>
                <w:rFonts w:hint="eastAsia"/>
              </w:rPr>
            </w:pPr>
            <w:r>
              <w:rPr>
                <w:sz w:val="17"/>
              </w:rPr>
              <w:lastRenderedPageBreak/>
              <w:t>ET for this application</w:t>
            </w:r>
          </w:p>
        </w:tc>
        <w:tc>
          <w:tcPr>
            <w:tcW w:w="5227" w:type="dxa"/>
            <w:tcMar>
              <w:top w:w="70" w:type="dxa"/>
              <w:left w:w="90" w:type="dxa"/>
              <w:bottom w:w="70" w:type="dxa"/>
              <w:right w:w="90" w:type="dxa"/>
            </w:tcMar>
          </w:tcPr>
          <w:p w14:paraId="24E13414" w14:textId="77777777" w:rsidR="002F3131" w:rsidRDefault="00000000">
            <w:pPr>
              <w:spacing w:after="0" w:line="240" w:lineRule="auto"/>
              <w:rPr>
                <w:rFonts w:hint="eastAsia"/>
              </w:rPr>
            </w:pPr>
            <w:r>
              <w:rPr>
                <w:rFonts w:ascii="Arial" w:hAnsi="Arial"/>
                <w:sz w:val="16"/>
              </w:rPr>
              <w:t>The inherited conversational and instruction-following capabilities support follow-up questions, clarification, structuring, and summarization of client responses. The creation history does not establish reliable autonomous risk classification, suitability judgment, portfolio allocation, or investment recommendation.</w:t>
            </w:r>
          </w:p>
        </w:tc>
      </w:tr>
      <w:tr w:rsidR="002F3131" w14:paraId="03790B8C" w14:textId="77777777">
        <w:trPr>
          <w:jc w:val="center"/>
        </w:trPr>
        <w:tc>
          <w:tcPr>
            <w:tcW w:w="5227" w:type="dxa"/>
            <w:tcMar>
              <w:top w:w="70" w:type="dxa"/>
              <w:left w:w="90" w:type="dxa"/>
              <w:bottom w:w="70" w:type="dxa"/>
              <w:right w:w="90" w:type="dxa"/>
            </w:tcMar>
          </w:tcPr>
          <w:p w14:paraId="4B0E2B35" w14:textId="77777777" w:rsidR="002F3131" w:rsidRDefault="00000000">
            <w:pPr>
              <w:spacing w:after="0"/>
              <w:rPr>
                <w:rFonts w:hint="eastAsia"/>
              </w:rPr>
            </w:pPr>
            <w:r>
              <w:rPr>
                <w:sz w:val="17"/>
              </w:rPr>
              <w:t>ET for this application in this organization</w:t>
            </w:r>
          </w:p>
        </w:tc>
        <w:tc>
          <w:tcPr>
            <w:tcW w:w="5227" w:type="dxa"/>
            <w:tcMar>
              <w:top w:w="70" w:type="dxa"/>
              <w:left w:w="90" w:type="dxa"/>
              <w:bottom w:w="70" w:type="dxa"/>
              <w:right w:w="90" w:type="dxa"/>
            </w:tcMar>
          </w:tcPr>
          <w:p w14:paraId="799C7D1F" w14:textId="77777777" w:rsidR="002F3131" w:rsidRDefault="00000000">
            <w:pPr>
              <w:spacing w:after="0" w:line="240" w:lineRule="auto"/>
              <w:rPr>
                <w:rFonts w:hint="eastAsia"/>
              </w:rPr>
            </w:pPr>
            <w:r>
              <w:rPr>
                <w:rFonts w:ascii="Arial" w:hAnsi="Arial"/>
                <w:sz w:val="16"/>
              </w:rPr>
              <w:t>For a conservative regional bank, the history supports embedding the LLM inside an existing human-advisor workflow. Sensitive information, traceability, legacy integration, and higher consequences of error make inherited reliability limitations more important.</w:t>
            </w:r>
          </w:p>
        </w:tc>
      </w:tr>
      <w:tr w:rsidR="002F3131" w14:paraId="7A4C4403" w14:textId="77777777">
        <w:trPr>
          <w:jc w:val="center"/>
        </w:trPr>
        <w:tc>
          <w:tcPr>
            <w:tcW w:w="5227" w:type="dxa"/>
            <w:tcMar>
              <w:top w:w="70" w:type="dxa"/>
              <w:left w:w="90" w:type="dxa"/>
              <w:bottom w:w="70" w:type="dxa"/>
              <w:right w:w="90" w:type="dxa"/>
            </w:tcMar>
          </w:tcPr>
          <w:p w14:paraId="55BCA1F2" w14:textId="77777777" w:rsidR="002F3131" w:rsidRDefault="00000000">
            <w:pPr>
              <w:spacing w:after="0"/>
              <w:rPr>
                <w:rFonts w:hint="eastAsia"/>
              </w:rPr>
            </w:pPr>
            <w:r>
              <w:rPr>
                <w:sz w:val="17"/>
              </w:rPr>
              <w:t>Bounded management implication</w:t>
            </w:r>
          </w:p>
        </w:tc>
        <w:tc>
          <w:tcPr>
            <w:tcW w:w="5227" w:type="dxa"/>
            <w:tcMar>
              <w:top w:w="70" w:type="dxa"/>
              <w:left w:w="90" w:type="dxa"/>
              <w:bottom w:w="70" w:type="dxa"/>
              <w:right w:w="90" w:type="dxa"/>
            </w:tcMar>
          </w:tcPr>
          <w:p w14:paraId="409DA192" w14:textId="77777777" w:rsidR="002F3131" w:rsidRDefault="00000000">
            <w:pPr>
              <w:spacing w:after="0" w:line="240" w:lineRule="auto"/>
              <w:rPr>
                <w:rFonts w:hint="eastAsia"/>
              </w:rPr>
            </w:pPr>
            <w:r>
              <w:rPr>
                <w:rFonts w:ascii="Arial" w:hAnsi="Arial"/>
                <w:sz w:val="16"/>
              </w:rPr>
              <w:t>A bounded pilot is supportable for intake, clarification, summarization, and routing, with human advisors retaining authority over consequential interpretation and recommendations. Creation/evolution analysis alone cannot establish compliance or implementation readiness.</w:t>
            </w:r>
          </w:p>
        </w:tc>
      </w:tr>
      <w:tr w:rsidR="002F3131" w14:paraId="760FDBD7" w14:textId="77777777">
        <w:trPr>
          <w:jc w:val="center"/>
        </w:trPr>
        <w:tc>
          <w:tcPr>
            <w:tcW w:w="5227" w:type="dxa"/>
            <w:tcMar>
              <w:top w:w="70" w:type="dxa"/>
              <w:left w:w="90" w:type="dxa"/>
              <w:bottom w:w="70" w:type="dxa"/>
              <w:right w:w="90" w:type="dxa"/>
            </w:tcMar>
          </w:tcPr>
          <w:p w14:paraId="5ADA2F75" w14:textId="77777777" w:rsidR="002F3131" w:rsidRDefault="00000000">
            <w:pPr>
              <w:spacing w:after="0"/>
              <w:rPr>
                <w:rFonts w:hint="eastAsia"/>
              </w:rPr>
            </w:pPr>
            <w:r>
              <w:rPr>
                <w:sz w:val="17"/>
              </w:rPr>
              <w:t>Confidence / uncertainty</w:t>
            </w:r>
          </w:p>
        </w:tc>
        <w:tc>
          <w:tcPr>
            <w:tcW w:w="5227" w:type="dxa"/>
            <w:tcMar>
              <w:top w:w="70" w:type="dxa"/>
              <w:left w:w="90" w:type="dxa"/>
              <w:bottom w:w="70" w:type="dxa"/>
              <w:right w:w="90" w:type="dxa"/>
            </w:tcMar>
          </w:tcPr>
          <w:p w14:paraId="7F5B8BD1" w14:textId="77777777" w:rsidR="002F3131" w:rsidRDefault="00000000">
            <w:pPr>
              <w:spacing w:after="0" w:line="240" w:lineRule="auto"/>
              <w:rPr>
                <w:rFonts w:hint="eastAsia"/>
              </w:rPr>
            </w:pPr>
            <w:r>
              <w:rPr>
                <w:rFonts w:ascii="Arial" w:hAnsi="Arial"/>
                <w:sz w:val="16"/>
              </w:rPr>
              <w:t>Moderate-high confidence in the general creation trajectory; moderate confidence in application implications. Uncertainty remains around application-specific performance, organizational controls, and the direct applicability of some supervisory guidance.</w:t>
            </w:r>
          </w:p>
        </w:tc>
      </w:tr>
      <w:tr w:rsidR="002F3131" w14:paraId="41B4C61C" w14:textId="77777777">
        <w:trPr>
          <w:jc w:val="center"/>
        </w:trPr>
        <w:tc>
          <w:tcPr>
            <w:tcW w:w="5227" w:type="dxa"/>
            <w:tcMar>
              <w:top w:w="70" w:type="dxa"/>
              <w:left w:w="90" w:type="dxa"/>
              <w:bottom w:w="70" w:type="dxa"/>
              <w:right w:w="90" w:type="dxa"/>
            </w:tcMar>
          </w:tcPr>
          <w:p w14:paraId="5971BE2A" w14:textId="77777777" w:rsidR="002F3131" w:rsidRDefault="00000000">
            <w:pPr>
              <w:spacing w:after="0"/>
              <w:rPr>
                <w:rFonts w:hint="eastAsia"/>
              </w:rPr>
            </w:pPr>
            <w:r>
              <w:rPr>
                <w:sz w:val="17"/>
              </w:rPr>
              <w:t>What evidence or condition would change the conclusion</w:t>
            </w:r>
          </w:p>
        </w:tc>
        <w:tc>
          <w:tcPr>
            <w:tcW w:w="5227" w:type="dxa"/>
            <w:tcMar>
              <w:top w:w="70" w:type="dxa"/>
              <w:left w:w="90" w:type="dxa"/>
              <w:bottom w:w="70" w:type="dxa"/>
              <w:right w:w="90" w:type="dxa"/>
            </w:tcMar>
          </w:tcPr>
          <w:p w14:paraId="7B994338" w14:textId="77777777" w:rsidR="002F3131" w:rsidRDefault="00000000">
            <w:pPr>
              <w:spacing w:after="0" w:line="240" w:lineRule="auto"/>
              <w:rPr>
                <w:rFonts w:hint="eastAsia"/>
              </w:rPr>
            </w:pPr>
            <w:r>
              <w:rPr>
                <w:rFonts w:ascii="Arial" w:hAnsi="Arial"/>
                <w:sz w:val="16"/>
              </w:rPr>
              <w:t>Validated evidence that the proposed system reliably improves intake quality without materially increasing omissions, unsupported inferences, or advisor correction burden could strengthen the case. Evidence of persistent high-impact errors or inadequate controls would weaken it.</w:t>
            </w:r>
          </w:p>
        </w:tc>
      </w:tr>
    </w:tbl>
    <w:p w14:paraId="4F21094C" w14:textId="77777777" w:rsidR="002F3131" w:rsidRDefault="00000000">
      <w:pPr>
        <w:pStyle w:val="Heading1"/>
      </w:pPr>
      <w:r>
        <w:t>D. Evidence and Testing</w:t>
      </w:r>
    </w:p>
    <w:tbl>
      <w:tblPr>
        <w:tblStyle w:val="TableGrid"/>
        <w:tblW w:w="0" w:type="auto"/>
        <w:jc w:val="center"/>
        <w:tblLook w:val="04A0" w:firstRow="1" w:lastRow="0" w:firstColumn="1" w:lastColumn="0" w:noHBand="0" w:noVBand="1"/>
      </w:tblPr>
      <w:tblGrid>
        <w:gridCol w:w="5221"/>
        <w:gridCol w:w="5223"/>
      </w:tblGrid>
      <w:tr w:rsidR="002F3131" w14:paraId="7A6D5F05" w14:textId="77777777">
        <w:trPr>
          <w:jc w:val="center"/>
        </w:trPr>
        <w:tc>
          <w:tcPr>
            <w:tcW w:w="5227" w:type="dxa"/>
            <w:shd w:val="clear" w:color="auto" w:fill="57068C"/>
            <w:tcMar>
              <w:top w:w="70" w:type="dxa"/>
              <w:left w:w="90" w:type="dxa"/>
              <w:bottom w:w="70" w:type="dxa"/>
              <w:right w:w="90" w:type="dxa"/>
            </w:tcMar>
          </w:tcPr>
          <w:p w14:paraId="416E7C61" w14:textId="77777777" w:rsidR="002F3131" w:rsidRDefault="00000000">
            <w:pPr>
              <w:spacing w:after="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46A671ED" w14:textId="77777777" w:rsidR="002F3131" w:rsidRDefault="00000000">
            <w:pPr>
              <w:spacing w:after="0"/>
              <w:rPr>
                <w:rFonts w:hint="eastAsia"/>
              </w:rPr>
            </w:pPr>
            <w:r>
              <w:rPr>
                <w:b/>
                <w:color w:val="FFFFFF"/>
                <w:sz w:val="17"/>
              </w:rPr>
              <w:t>Student record</w:t>
            </w:r>
          </w:p>
        </w:tc>
      </w:tr>
      <w:tr w:rsidR="002F3131" w14:paraId="0D48E1EC" w14:textId="77777777">
        <w:trPr>
          <w:jc w:val="center"/>
        </w:trPr>
        <w:tc>
          <w:tcPr>
            <w:tcW w:w="5227" w:type="dxa"/>
            <w:tcMar>
              <w:top w:w="70" w:type="dxa"/>
              <w:left w:w="90" w:type="dxa"/>
              <w:bottom w:w="70" w:type="dxa"/>
              <w:right w:w="90" w:type="dxa"/>
            </w:tcMar>
          </w:tcPr>
          <w:p w14:paraId="50E33F6C" w14:textId="77777777" w:rsidR="002F3131" w:rsidRDefault="00000000">
            <w:pPr>
              <w:spacing w:after="0"/>
              <w:rPr>
                <w:rFonts w:hint="eastAsia"/>
              </w:rPr>
            </w:pPr>
            <w:r>
              <w:rPr>
                <w:sz w:val="17"/>
              </w:rPr>
              <w:t>Most important evidence/source(s)</w:t>
            </w:r>
          </w:p>
        </w:tc>
        <w:tc>
          <w:tcPr>
            <w:tcW w:w="5227" w:type="dxa"/>
            <w:tcMar>
              <w:top w:w="70" w:type="dxa"/>
              <w:left w:w="90" w:type="dxa"/>
              <w:bottom w:w="70" w:type="dxa"/>
              <w:right w:w="90" w:type="dxa"/>
            </w:tcMar>
          </w:tcPr>
          <w:p w14:paraId="3904EEC6" w14:textId="77777777" w:rsidR="002F3131" w:rsidRDefault="00000000">
            <w:pPr>
              <w:spacing w:after="0" w:line="240" w:lineRule="auto"/>
              <w:rPr>
                <w:rFonts w:hint="eastAsia"/>
              </w:rPr>
            </w:pPr>
            <w:r>
              <w:rPr>
                <w:rFonts w:ascii="Arial" w:hAnsi="Arial"/>
                <w:sz w:val="16"/>
              </w:rPr>
              <w:t>Vaswani et al. (2017), Attention Is All You Need; Brown et al. (2020), Language Models are Few-Shot Learners; Ouyang et al. (2022), Training language models to follow instructions with human feedback; NIST AI 600-1, Generative AI Profile (2024). Federal Reserve SR 26-2 was checked as contextual evidence but requires scope qualification.</w:t>
            </w:r>
          </w:p>
        </w:tc>
      </w:tr>
      <w:tr w:rsidR="002F3131" w14:paraId="6AD2F87E" w14:textId="77777777">
        <w:trPr>
          <w:jc w:val="center"/>
        </w:trPr>
        <w:tc>
          <w:tcPr>
            <w:tcW w:w="5227" w:type="dxa"/>
            <w:tcMar>
              <w:top w:w="70" w:type="dxa"/>
              <w:left w:w="90" w:type="dxa"/>
              <w:bottom w:w="70" w:type="dxa"/>
              <w:right w:w="90" w:type="dxa"/>
            </w:tcMar>
          </w:tcPr>
          <w:p w14:paraId="400FD2DB" w14:textId="77777777" w:rsidR="002F3131" w:rsidRDefault="00000000">
            <w:pPr>
              <w:spacing w:after="0"/>
              <w:rPr>
                <w:rFonts w:hint="eastAsia"/>
              </w:rPr>
            </w:pPr>
            <w:r>
              <w:rPr>
                <w:sz w:val="17"/>
              </w:rPr>
              <w:t>Primary test - result</w:t>
            </w:r>
          </w:p>
        </w:tc>
        <w:tc>
          <w:tcPr>
            <w:tcW w:w="5227" w:type="dxa"/>
            <w:tcMar>
              <w:top w:w="70" w:type="dxa"/>
              <w:left w:w="90" w:type="dxa"/>
              <w:bottom w:w="70" w:type="dxa"/>
              <w:right w:w="90" w:type="dxa"/>
            </w:tcMar>
          </w:tcPr>
          <w:p w14:paraId="3A18F746" w14:textId="77777777" w:rsidR="002F3131" w:rsidRDefault="00000000">
            <w:pPr>
              <w:spacing w:after="0" w:line="240" w:lineRule="auto"/>
              <w:rPr>
                <w:rFonts w:hint="eastAsia"/>
              </w:rPr>
            </w:pPr>
            <w:r>
              <w:rPr>
                <w:rFonts w:ascii="Arial" w:hAnsi="Arial"/>
                <w:sz w:val="16"/>
              </w:rPr>
              <w:t>v0.1 produced valid JSON and passed the scaffold validator. It separated general, application, and organization findings and supported bounded intake/routing with retained human authority. A stray 'Pasted text' artifact appeared in an abstention field and was preserved as test evidence.</w:t>
            </w:r>
          </w:p>
        </w:tc>
      </w:tr>
      <w:tr w:rsidR="002F3131" w14:paraId="2EE5B933" w14:textId="77777777">
        <w:trPr>
          <w:jc w:val="center"/>
        </w:trPr>
        <w:tc>
          <w:tcPr>
            <w:tcW w:w="5227" w:type="dxa"/>
            <w:tcMar>
              <w:top w:w="70" w:type="dxa"/>
              <w:left w:w="90" w:type="dxa"/>
              <w:bottom w:w="70" w:type="dxa"/>
              <w:right w:w="90" w:type="dxa"/>
            </w:tcMar>
          </w:tcPr>
          <w:p w14:paraId="3A93DF3A" w14:textId="77777777" w:rsidR="002F3131" w:rsidRDefault="00000000">
            <w:pPr>
              <w:spacing w:after="0"/>
              <w:rPr>
                <w:rFonts w:hint="eastAsia"/>
              </w:rPr>
            </w:pPr>
            <w:r>
              <w:rPr>
                <w:sz w:val="17"/>
              </w:rPr>
              <w:t>Contrast test - what appropriately stayed stable</w:t>
            </w:r>
          </w:p>
        </w:tc>
        <w:tc>
          <w:tcPr>
            <w:tcW w:w="5227" w:type="dxa"/>
            <w:tcMar>
              <w:top w:w="70" w:type="dxa"/>
              <w:left w:w="90" w:type="dxa"/>
              <w:bottom w:w="70" w:type="dxa"/>
              <w:right w:w="90" w:type="dxa"/>
            </w:tcMar>
          </w:tcPr>
          <w:p w14:paraId="55E78BA9" w14:textId="77777777" w:rsidR="002F3131" w:rsidRDefault="00000000">
            <w:pPr>
              <w:spacing w:after="0" w:line="240" w:lineRule="auto"/>
              <w:rPr>
                <w:rFonts w:hint="eastAsia"/>
              </w:rPr>
            </w:pPr>
            <w:r>
              <w:rPr>
                <w:rFonts w:ascii="Arial" w:hAnsi="Arial"/>
                <w:sz w:val="16"/>
              </w:rPr>
              <w:t>Across all contexts, the core creation/evolution story stayed stable: Transformer-based architectures, large-scale pretraining/scaling, instruction/human-feedback alignment, and the inherited limitation that fluent output does not guarantee factual correctness or reliable domain judgment.</w:t>
            </w:r>
          </w:p>
        </w:tc>
      </w:tr>
      <w:tr w:rsidR="002F3131" w14:paraId="2F3EABDA" w14:textId="77777777">
        <w:trPr>
          <w:jc w:val="center"/>
        </w:trPr>
        <w:tc>
          <w:tcPr>
            <w:tcW w:w="5227" w:type="dxa"/>
            <w:tcMar>
              <w:top w:w="70" w:type="dxa"/>
              <w:left w:w="90" w:type="dxa"/>
              <w:bottom w:w="70" w:type="dxa"/>
              <w:right w:w="90" w:type="dxa"/>
            </w:tcMar>
          </w:tcPr>
          <w:p w14:paraId="3DFE9519" w14:textId="77777777" w:rsidR="002F3131" w:rsidRDefault="00000000">
            <w:pPr>
              <w:spacing w:after="0"/>
              <w:rPr>
                <w:rFonts w:hint="eastAsia"/>
              </w:rPr>
            </w:pPr>
            <w:r>
              <w:rPr>
                <w:sz w:val="17"/>
              </w:rPr>
              <w:t>Contrast test - what appropriately changed</w:t>
            </w:r>
          </w:p>
        </w:tc>
        <w:tc>
          <w:tcPr>
            <w:tcW w:w="5227" w:type="dxa"/>
            <w:tcMar>
              <w:top w:w="70" w:type="dxa"/>
              <w:left w:w="90" w:type="dxa"/>
              <w:bottom w:w="70" w:type="dxa"/>
              <w:right w:w="90" w:type="dxa"/>
            </w:tcMar>
          </w:tcPr>
          <w:p w14:paraId="6AAAA311" w14:textId="77777777" w:rsidR="002F3131" w:rsidRDefault="00000000">
            <w:pPr>
              <w:spacing w:after="0" w:line="240" w:lineRule="auto"/>
              <w:rPr>
                <w:rFonts w:hint="eastAsia"/>
              </w:rPr>
            </w:pPr>
            <w:r>
              <w:rPr>
                <w:rFonts w:ascii="Arial" w:hAnsi="Arial"/>
                <w:sz w:val="16"/>
              </w:rPr>
              <w:t>High-consequence fintech use with direct portfolio recommendation/allocation and minimal routine human review produced a stricter interpretation. Low-consequence internal meeting summarization at the same bank produced a more favorable bounded-pilot interpretation because employees review and correct drafts.</w:t>
            </w:r>
          </w:p>
        </w:tc>
      </w:tr>
      <w:tr w:rsidR="002F3131" w14:paraId="546374D3" w14:textId="77777777">
        <w:trPr>
          <w:jc w:val="center"/>
        </w:trPr>
        <w:tc>
          <w:tcPr>
            <w:tcW w:w="5227" w:type="dxa"/>
            <w:tcMar>
              <w:top w:w="70" w:type="dxa"/>
              <w:left w:w="90" w:type="dxa"/>
              <w:bottom w:w="70" w:type="dxa"/>
              <w:right w:w="90" w:type="dxa"/>
            </w:tcMar>
          </w:tcPr>
          <w:p w14:paraId="12539A86" w14:textId="77777777" w:rsidR="002F3131" w:rsidRDefault="00000000">
            <w:pPr>
              <w:spacing w:after="0"/>
              <w:rPr>
                <w:rFonts w:hint="eastAsia"/>
              </w:rPr>
            </w:pPr>
            <w:r>
              <w:rPr>
                <w:sz w:val="17"/>
              </w:rPr>
              <w:t>Weakness/failure found</w:t>
            </w:r>
          </w:p>
        </w:tc>
        <w:tc>
          <w:tcPr>
            <w:tcW w:w="5227" w:type="dxa"/>
            <w:tcMar>
              <w:top w:w="70" w:type="dxa"/>
              <w:left w:w="90" w:type="dxa"/>
              <w:bottom w:w="70" w:type="dxa"/>
              <w:right w:w="90" w:type="dxa"/>
            </w:tcMar>
          </w:tcPr>
          <w:p w14:paraId="2C5BAF5E" w14:textId="77777777" w:rsidR="002F3131" w:rsidRDefault="00000000">
            <w:pPr>
              <w:spacing w:after="0" w:line="240" w:lineRule="auto"/>
              <w:rPr>
                <w:rFonts w:hint="eastAsia"/>
              </w:rPr>
            </w:pPr>
            <w:r>
              <w:rPr>
                <w:rFonts w:ascii="Arial" w:hAnsi="Arial"/>
                <w:sz w:val="16"/>
              </w:rPr>
              <w:t>Intermittent output-cleanliness/field-discipline contamination: the primary v0.1 response contained stray 'Pasted text' once and contrast 1 v0.1 contained it twice. Contrast 2 did not reproduce the issue. Structural validators still passed, showing this was a semantic field-discipline weakness rather than a JSON/schema failure.</w:t>
            </w:r>
          </w:p>
        </w:tc>
      </w:tr>
      <w:tr w:rsidR="002F3131" w14:paraId="1DA43C39" w14:textId="77777777">
        <w:trPr>
          <w:jc w:val="center"/>
        </w:trPr>
        <w:tc>
          <w:tcPr>
            <w:tcW w:w="5227" w:type="dxa"/>
            <w:tcMar>
              <w:top w:w="70" w:type="dxa"/>
              <w:left w:w="90" w:type="dxa"/>
              <w:bottom w:w="70" w:type="dxa"/>
              <w:right w:w="90" w:type="dxa"/>
            </w:tcMar>
          </w:tcPr>
          <w:p w14:paraId="0685AE07" w14:textId="77777777" w:rsidR="002F3131" w:rsidRDefault="00000000">
            <w:pPr>
              <w:spacing w:after="0"/>
              <w:rPr>
                <w:rFonts w:hint="eastAsia"/>
              </w:rPr>
            </w:pPr>
            <w:r>
              <w:rPr>
                <w:sz w:val="17"/>
              </w:rPr>
              <w:t>Revision made and why</w:t>
            </w:r>
          </w:p>
        </w:tc>
        <w:tc>
          <w:tcPr>
            <w:tcW w:w="5227" w:type="dxa"/>
            <w:tcMar>
              <w:top w:w="70" w:type="dxa"/>
              <w:left w:w="90" w:type="dxa"/>
              <w:bottom w:w="70" w:type="dxa"/>
              <w:right w:w="90" w:type="dxa"/>
            </w:tcMar>
          </w:tcPr>
          <w:p w14:paraId="5172012F" w14:textId="77777777" w:rsidR="002F3131" w:rsidRDefault="00000000">
            <w:pPr>
              <w:spacing w:after="0" w:line="240" w:lineRule="auto"/>
              <w:rPr>
                <w:rFonts w:hint="eastAsia"/>
              </w:rPr>
            </w:pPr>
            <w:r>
              <w:rPr>
                <w:rFonts w:ascii="Arial" w:hAnsi="Arial"/>
                <w:sz w:val="16"/>
              </w:rPr>
              <w:t>Advanced the student-editable agent to v0.2 and added a final field-discipline check requiring each field to contain only responsive content and removing interface text, prompt artifacts, self-evaluation, and unrelated meta-commentary. Frozen Core was not changed. A targeted contrast-1 retest passed validation and did not reproduce the contamination.</w:t>
            </w:r>
          </w:p>
        </w:tc>
      </w:tr>
      <w:tr w:rsidR="002F3131" w14:paraId="0F1785C3" w14:textId="77777777">
        <w:trPr>
          <w:jc w:val="center"/>
        </w:trPr>
        <w:tc>
          <w:tcPr>
            <w:tcW w:w="5227" w:type="dxa"/>
            <w:tcMar>
              <w:top w:w="70" w:type="dxa"/>
              <w:left w:w="90" w:type="dxa"/>
              <w:bottom w:w="70" w:type="dxa"/>
              <w:right w:w="90" w:type="dxa"/>
            </w:tcMar>
          </w:tcPr>
          <w:p w14:paraId="40A70982" w14:textId="77777777" w:rsidR="002F3131" w:rsidRDefault="00000000">
            <w:pPr>
              <w:spacing w:after="0"/>
              <w:rPr>
                <w:rFonts w:hint="eastAsia"/>
              </w:rPr>
            </w:pPr>
            <w:r>
              <w:rPr>
                <w:sz w:val="17"/>
              </w:rPr>
              <w:t>Remaining limitation / abstention condition</w:t>
            </w:r>
          </w:p>
        </w:tc>
        <w:tc>
          <w:tcPr>
            <w:tcW w:w="5227" w:type="dxa"/>
            <w:tcMar>
              <w:top w:w="70" w:type="dxa"/>
              <w:left w:w="90" w:type="dxa"/>
              <w:bottom w:w="70" w:type="dxa"/>
              <w:right w:w="90" w:type="dxa"/>
            </w:tcMar>
          </w:tcPr>
          <w:p w14:paraId="63249FE8" w14:textId="77777777" w:rsidR="002F3131" w:rsidRDefault="00000000">
            <w:pPr>
              <w:spacing w:after="0" w:line="240" w:lineRule="auto"/>
              <w:rPr>
                <w:rFonts w:hint="eastAsia"/>
              </w:rPr>
            </w:pPr>
            <w:r>
              <w:rPr>
                <w:rFonts w:ascii="Arial" w:hAnsi="Arial"/>
                <w:sz w:val="16"/>
              </w:rPr>
              <w:t>One successful v0.2 retest does not prove the contamination can never recur. The agent should abstain or hand off questions of regulatory compliance, organizational/implementation readiness, investment suitability, cybersecurity/privacy adequacy, diffusion/adoption, and enterprise strategy. Application-specific performance evidence is still needed.</w:t>
            </w:r>
          </w:p>
        </w:tc>
      </w:tr>
    </w:tbl>
    <w:p w14:paraId="147354B2" w14:textId="77777777" w:rsidR="002F3131" w:rsidRDefault="00000000">
      <w:pPr>
        <w:pStyle w:val="Heading1"/>
      </w:pPr>
      <w:r>
        <w:lastRenderedPageBreak/>
        <w:t>E. Independent Judgment and Handoff</w:t>
      </w:r>
    </w:p>
    <w:tbl>
      <w:tblPr>
        <w:tblStyle w:val="TableGrid"/>
        <w:tblW w:w="0" w:type="auto"/>
        <w:jc w:val="center"/>
        <w:tblLook w:val="04A0" w:firstRow="1" w:lastRow="0" w:firstColumn="1" w:lastColumn="0" w:noHBand="0" w:noVBand="1"/>
      </w:tblPr>
      <w:tblGrid>
        <w:gridCol w:w="5222"/>
        <w:gridCol w:w="5222"/>
      </w:tblGrid>
      <w:tr w:rsidR="002F3131" w14:paraId="1F197573" w14:textId="77777777">
        <w:trPr>
          <w:jc w:val="center"/>
        </w:trPr>
        <w:tc>
          <w:tcPr>
            <w:tcW w:w="5227" w:type="dxa"/>
            <w:shd w:val="clear" w:color="auto" w:fill="57068C"/>
            <w:tcMar>
              <w:top w:w="70" w:type="dxa"/>
              <w:left w:w="90" w:type="dxa"/>
              <w:bottom w:w="70" w:type="dxa"/>
              <w:right w:w="90" w:type="dxa"/>
            </w:tcMar>
          </w:tcPr>
          <w:p w14:paraId="2784F5C0" w14:textId="77777777" w:rsidR="002F3131" w:rsidRDefault="00000000">
            <w:pPr>
              <w:spacing w:after="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32D48C5C" w14:textId="77777777" w:rsidR="002F3131" w:rsidRDefault="00000000">
            <w:pPr>
              <w:spacing w:after="0"/>
              <w:rPr>
                <w:rFonts w:hint="eastAsia"/>
              </w:rPr>
            </w:pPr>
            <w:r>
              <w:rPr>
                <w:b/>
                <w:color w:val="FFFFFF"/>
                <w:sz w:val="17"/>
              </w:rPr>
              <w:t>Student record</w:t>
            </w:r>
          </w:p>
        </w:tc>
      </w:tr>
      <w:tr w:rsidR="002F3131" w14:paraId="35450559" w14:textId="77777777">
        <w:trPr>
          <w:jc w:val="center"/>
        </w:trPr>
        <w:tc>
          <w:tcPr>
            <w:tcW w:w="5227" w:type="dxa"/>
            <w:tcMar>
              <w:top w:w="70" w:type="dxa"/>
              <w:left w:w="90" w:type="dxa"/>
              <w:bottom w:w="70" w:type="dxa"/>
              <w:right w:w="90" w:type="dxa"/>
            </w:tcMar>
          </w:tcPr>
          <w:p w14:paraId="2EBB6FF4" w14:textId="77777777" w:rsidR="002F3131" w:rsidRDefault="00000000">
            <w:pPr>
              <w:spacing w:after="0"/>
              <w:rPr>
                <w:rFonts w:hint="eastAsia"/>
              </w:rPr>
            </w:pPr>
            <w:r>
              <w:rPr>
                <w:sz w:val="17"/>
              </w:rPr>
              <w:t>Is the agent credible enough for team consideration? Why?</w:t>
            </w:r>
          </w:p>
        </w:tc>
        <w:tc>
          <w:tcPr>
            <w:tcW w:w="5227" w:type="dxa"/>
            <w:tcMar>
              <w:top w:w="70" w:type="dxa"/>
              <w:left w:w="90" w:type="dxa"/>
              <w:bottom w:w="70" w:type="dxa"/>
              <w:right w:w="90" w:type="dxa"/>
            </w:tcMar>
          </w:tcPr>
          <w:p w14:paraId="67C2BFCD" w14:textId="77777777" w:rsidR="002F3131" w:rsidRDefault="00000000">
            <w:pPr>
              <w:spacing w:after="0" w:line="240" w:lineRule="auto"/>
              <w:rPr>
                <w:rFonts w:hint="eastAsia"/>
              </w:rPr>
            </w:pPr>
            <w:r>
              <w:rPr>
                <w:rFonts w:ascii="Arial" w:hAnsi="Arial"/>
                <w:sz w:val="16"/>
              </w:rPr>
              <w:t>Yes, for its bounded specialist role. The tests showed the desired pattern: general creation evidence remained stable while management implications changed appropriately with application, organization, human authority, and consequence level. The observed output-cleanliness weakness was preserved, diagnosed, and narrowly revised rather than hidden.</w:t>
            </w:r>
          </w:p>
        </w:tc>
      </w:tr>
      <w:tr w:rsidR="002F3131" w14:paraId="72E7918D" w14:textId="77777777">
        <w:trPr>
          <w:jc w:val="center"/>
        </w:trPr>
        <w:tc>
          <w:tcPr>
            <w:tcW w:w="5227" w:type="dxa"/>
            <w:tcMar>
              <w:top w:w="70" w:type="dxa"/>
              <w:left w:w="90" w:type="dxa"/>
              <w:bottom w:w="70" w:type="dxa"/>
              <w:right w:w="90" w:type="dxa"/>
            </w:tcMar>
          </w:tcPr>
          <w:p w14:paraId="33EAF40F" w14:textId="77777777" w:rsidR="002F3131" w:rsidRDefault="00000000">
            <w:pPr>
              <w:spacing w:after="0"/>
              <w:rPr>
                <w:rFonts w:hint="eastAsia"/>
              </w:rPr>
            </w:pPr>
            <w:r>
              <w:rPr>
                <w:sz w:val="17"/>
              </w:rPr>
              <w:t>Most important recommendation to the team</w:t>
            </w:r>
          </w:p>
        </w:tc>
        <w:tc>
          <w:tcPr>
            <w:tcW w:w="5227" w:type="dxa"/>
            <w:tcMar>
              <w:top w:w="70" w:type="dxa"/>
              <w:left w:w="90" w:type="dxa"/>
              <w:bottom w:w="70" w:type="dxa"/>
              <w:right w:w="90" w:type="dxa"/>
            </w:tcMar>
          </w:tcPr>
          <w:p w14:paraId="57A1BD4A" w14:textId="77777777" w:rsidR="002F3131" w:rsidRDefault="00000000">
            <w:pPr>
              <w:spacing w:after="0" w:line="240" w:lineRule="auto"/>
              <w:rPr>
                <w:rFonts w:hint="eastAsia"/>
              </w:rPr>
            </w:pPr>
            <w:r>
              <w:rPr>
                <w:rFonts w:ascii="Arial" w:hAnsi="Arial"/>
                <w:sz w:val="16"/>
              </w:rPr>
              <w:t>Preserve the three-level interface (ET generally -&gt; application -&gt; application in organization), evidence-versus-inference discipline, explicit human-authority/consequence context, and specialist handoff boundaries. Do not treat conversational sophistication or novelty as evidence of autonomous decision reliability.</w:t>
            </w:r>
          </w:p>
        </w:tc>
      </w:tr>
      <w:tr w:rsidR="002F3131" w14:paraId="7CCB7DFB" w14:textId="77777777">
        <w:trPr>
          <w:jc w:val="center"/>
        </w:trPr>
        <w:tc>
          <w:tcPr>
            <w:tcW w:w="5227" w:type="dxa"/>
            <w:tcMar>
              <w:top w:w="70" w:type="dxa"/>
              <w:left w:w="90" w:type="dxa"/>
              <w:bottom w:w="70" w:type="dxa"/>
              <w:right w:w="90" w:type="dxa"/>
            </w:tcMar>
          </w:tcPr>
          <w:p w14:paraId="38C7CDFA" w14:textId="77777777" w:rsidR="002F3131" w:rsidRDefault="00000000">
            <w:pPr>
              <w:spacing w:after="0"/>
              <w:rPr>
                <w:rFonts w:hint="eastAsia"/>
              </w:rPr>
            </w:pPr>
            <w:r>
              <w:rPr>
                <w:sz w:val="17"/>
              </w:rPr>
              <w:t>AI / verification note</w:t>
            </w:r>
          </w:p>
        </w:tc>
        <w:tc>
          <w:tcPr>
            <w:tcW w:w="5227" w:type="dxa"/>
            <w:tcMar>
              <w:top w:w="70" w:type="dxa"/>
              <w:left w:w="90" w:type="dxa"/>
              <w:bottom w:w="70" w:type="dxa"/>
              <w:right w:w="90" w:type="dxa"/>
            </w:tcMar>
          </w:tcPr>
          <w:p w14:paraId="6435BE1E" w14:textId="77777777" w:rsidR="002F3131" w:rsidRDefault="00000000">
            <w:pPr>
              <w:spacing w:after="0" w:line="240" w:lineRule="auto"/>
              <w:rPr>
                <w:rFonts w:hint="eastAsia"/>
              </w:rPr>
            </w:pPr>
            <w:r>
              <w:rPr>
                <w:rFonts w:ascii="Arial" w:hAnsi="Arial"/>
                <w:sz w:val="16"/>
              </w:rPr>
              <w:t>ChatGPT was used to execute prompt packets, generate structured test outputs, and assist diagnosis/revision. Key generated claims were checked against original or authoritative sources: Vaswani et al. (Transformer), Brown et al. (few-shot scaling), Ouyang et al. (instruction tuning/RLHF), and NIST AI 600-1 (confabulation). Federal Reserve SR 26-2 was verified as authentic/current but explicitly excludes generative and agentic AI from scope and is described as most relevant above $30B in assets; the hypothetical bank's asset size is unknown, so it was treated only as qualified contextual evidence. Raw model outputs were preserved.</w:t>
            </w:r>
          </w:p>
        </w:tc>
      </w:tr>
    </w:tbl>
    <w:p w14:paraId="25ACF468" w14:textId="77777777" w:rsidR="002C3826" w:rsidRDefault="002C3826"/>
    <w:sectPr w:rsidR="002C3826"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7E40E" w14:textId="77777777" w:rsidR="002C3826" w:rsidRDefault="002C3826">
      <w:pPr>
        <w:spacing w:after="0" w:line="240" w:lineRule="auto"/>
        <w:rPr>
          <w:rFonts w:hint="eastAsia"/>
        </w:rPr>
      </w:pPr>
      <w:r>
        <w:separator/>
      </w:r>
    </w:p>
  </w:endnote>
  <w:endnote w:type="continuationSeparator" w:id="0">
    <w:p w14:paraId="0AF799C2" w14:textId="77777777" w:rsidR="002C3826" w:rsidRDefault="002C382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761E9" w14:textId="77777777" w:rsidR="00630F3A" w:rsidRDefault="00000000">
    <w:pPr>
      <w:pStyle w:val="Footer"/>
      <w:jc w:val="center"/>
      <w:rPr>
        <w:rFonts w:hint="eastAsia"/>
      </w:rPr>
    </w:pPr>
    <w:r>
      <w:rPr>
        <w:color w:val="666666"/>
        <w:sz w:val="16"/>
      </w:rPr>
      <w:t>Specialist Agent Record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B57C0" w14:textId="77777777" w:rsidR="002C3826" w:rsidRDefault="002C3826">
      <w:pPr>
        <w:spacing w:after="0" w:line="240" w:lineRule="auto"/>
        <w:rPr>
          <w:rFonts w:hint="eastAsia"/>
        </w:rPr>
      </w:pPr>
      <w:r>
        <w:separator/>
      </w:r>
    </w:p>
  </w:footnote>
  <w:footnote w:type="continuationSeparator" w:id="0">
    <w:p w14:paraId="70BBD46A" w14:textId="77777777" w:rsidR="002C3826" w:rsidRDefault="002C382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F8A44" w14:textId="77777777"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2C3826"/>
    <w:rsid w:val="002F3131"/>
    <w:rsid w:val="00326F90"/>
    <w:rsid w:val="00630F3A"/>
    <w:rsid w:val="006E721C"/>
    <w:rsid w:val="00AA1D8D"/>
    <w:rsid w:val="00B47730"/>
    <w:rsid w:val="00CB0664"/>
    <w:rsid w:val="00E61658"/>
    <w:rsid w:val="00F834FE"/>
    <w:rsid w:val="00FC46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9CB81"/>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1183</Words>
  <Characters>6745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Meilin Pan</cp:lastModifiedBy>
  <cp:revision>3</cp:revision>
  <dcterms:created xsi:type="dcterms:W3CDTF">2026-08-13T19:48:00Z</dcterms:created>
  <dcterms:modified xsi:type="dcterms:W3CDTF">2026-10-05T05:03:00Z</dcterms:modified>
  <cp:category/>
</cp:coreProperties>
</file>