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rPr>
          <w:b/>
          <w:color w:val="57068C"/>
          <w:sz w:val="28"/>
        </w:rPr>
        <w:t>EMERGING TECHNOLOGIES</w:t>
      </w:r>
    </w:p>
    <w:p>
      <w:pPr>
        <w:pStyle w:val="Title"/>
        <w:jc w:val="center"/>
      </w:pPr>
      <w:r>
        <w:t>Diffusion Agent Record</w:t>
      </w:r>
    </w:p>
    <w:p>
      <w:pPr>
        <w:jc w:val="center"/>
      </w:pPr>
      <w:r>
        <w:t>MASY1-GC 1800 | Assignment 5 | Meilin Pan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F3ED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pStyle w:val="Callout"/>
            </w:pPr>
            <w:r>
              <w:t>My judgment: Begin a protected, bounded evaluation. Preserve client trust while testing whether intake assistance improves service; broader adoption remains conditional on evidence.</w:t>
            </w:r>
          </w:p>
        </w:tc>
      </w:tr>
    </w:tbl>
    <w:p>
      <w:pPr>
        <w:pStyle w:val="Heading1"/>
      </w:pPr>
      <w:r>
        <w:t>A. Agent and Version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cantSplit/>
          <w:tblHeader/>
        </w:trP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57068C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57068C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Student record</w:t>
            </w:r>
          </w:p>
        </w:tc>
      </w:tr>
      <w:tr>
        <w:trPr>
          <w:cantSplit/>
        </w:trP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Student / team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Meilin Pan</w:t>
            </w:r>
          </w:p>
        </w:tc>
      </w:tr>
      <w:tr>
        <w:trPr>
          <w:cantSplit/>
        </w:trP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Assignment / specialist agent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Assignment 5 - Emerging Technology Diffusion Agent; 0.2-student</w:t>
            </w:r>
          </w:p>
        </w:tc>
      </w:tr>
      <w:tr>
        <w:trPr>
          <w:cantSplit/>
        </w:trP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Date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October 20, 2026</w:t>
            </w:r>
          </w:p>
        </w:tc>
      </w:tr>
      <w:tr>
        <w:trPr>
          <w:cantSplit/>
        </w:trP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GitHub repository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https://github.com/mp7240-sudo/MASY1800-Emerging-Technology-Diffusion-Agent (private)</w:t>
            </w:r>
          </w:p>
        </w:tc>
      </w:tr>
      <w:tr>
        <w:trPr>
          <w:cantSplit/>
        </w:trP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Branch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assignment-5-diffusion</w:t>
            </w:r>
          </w:p>
        </w:tc>
      </w:tr>
      <w:tr>
        <w:trPr>
          <w:cantSplit/>
        </w:trP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Commit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dba1760 (tested agent/evidence candidate). This Word record is saved in a subsequent documentation commit.</w:t>
            </w:r>
          </w:p>
        </w:tc>
      </w:tr>
      <w:tr>
        <w:trPr>
          <w:cantSplit/>
        </w:trP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Frozen scaffold version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MASY1800_ET_Agent_Scaffold_v1_0</w:t>
            </w:r>
          </w:p>
        </w:tc>
      </w:tr>
    </w:tbl>
    <w:p>
      <w:pPr>
        <w:pStyle w:val="Heading1"/>
      </w:pPr>
      <w:r>
        <w:t>B. Specialist Purpose and Context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cantSplit/>
          <w:tblHeader/>
        </w:trP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57068C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57068C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Student record</w:t>
            </w:r>
          </w:p>
        </w:tc>
      </w:tr>
      <w:tr>
        <w:trPr>
          <w:cantSplit/>
        </w:trP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Governing analytical question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How far has this technology/application diffused, what helps or inhibits it, and what does that imply for this bank’s timing?</w:t>
            </w:r>
          </w:p>
        </w:tc>
      </w:tr>
      <w:tr>
        <w:trPr>
          <w:cantSplit/>
        </w:trP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Emerging technology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LLM-based generative AI conversational assistants as deployed systems.</w:t>
            </w:r>
          </w:p>
        </w:tc>
      </w:tr>
      <w:tr>
        <w:trPr>
          <w:cantSplit/>
        </w:trP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Intended application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Client wealth-management risk-tolerance intake, clarification, structuring, summarization and advisor routing.</w:t>
            </w:r>
          </w:p>
        </w:tc>
      </w:tr>
      <w:tr>
        <w:trPr>
          <w:cantSplit/>
        </w:trP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Organization / industry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Hypothetical established regional bank with wealth management; geography unspecified.</w:t>
            </w:r>
          </w:p>
        </w:tc>
      </w:tr>
      <w:tr>
        <w:trPr>
          <w:cantSplit/>
        </w:trP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Adoption posture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Conservative / risk-averse, by scenario assumption.</w:t>
            </w:r>
          </w:p>
        </w:tc>
      </w:tr>
      <w:tr>
        <w:trPr>
          <w:cantSplit/>
        </w:trP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Risk / consequence context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Medium-high by assumption. Missing or distorted intake could affect later discussions; human advisors retain consequential interpretation and recommendations.</w:t>
            </w:r>
          </w:p>
        </w:tc>
      </w:tr>
      <w:tr>
        <w:trPr>
          <w:cantSplit/>
        </w:trP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Management question / time horizon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How should diffusion inform evaluation timing and evidence requirements? Next 12–18 months from October 20, 2026.</w:t>
            </w:r>
          </w:p>
        </w:tc>
      </w:tr>
    </w:tbl>
    <w:p>
      <w:pPr>
        <w:pStyle w:val="Heading1"/>
        <w:pageBreakBefore/>
      </w:pPr>
      <w:r>
        <w:t>C. Three-Level Finding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cantSplit/>
          <w:tblHeader/>
        </w:trP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57068C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57068C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Student record</w:t>
            </w:r>
          </w:p>
        </w:tc>
      </w:tr>
      <w:tr>
        <w:trPr>
          <w:cantSplit/>
        </w:trP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ET generally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Broad generative-AI use and selected financial-sector AI activity have spread, but the sources do not establish a Rogers stage for deployed LLM conversational assistants. Person, firm and use-case measures differ.</w:t>
            </w:r>
          </w:p>
        </w:tc>
      </w:tr>
      <w:tr>
        <w:trPr>
          <w:cantSplit/>
        </w:trP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ET for this application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Application-specific prevalence and comparative timing among regional banks are unknown. Adjacent advisor-support deployments do not establish client-facing intake diffusion; withhold a firm stage.</w:t>
            </w:r>
          </w:p>
        </w:tc>
      </w:tr>
      <w:tr>
        <w:trPr>
          <w:cantSplit/>
        </w:trP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ET for this application in this organization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Compatibility is the principal plausible inhibitor: fit with sensitive data, legacy systems, traceability and advisor review. Local severity is unverified. Conservative posture changes evidence interpretation, not diffusion facts.</w:t>
            </w:r>
          </w:p>
        </w:tc>
      </w:tr>
      <w:tr>
        <w:trPr>
          <w:cantSplit/>
        </w:trP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Bounded management implication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I recommend a protected, bounded evaluation with informed user consent, information protection and retained advisor authority. Compare completeness, accuracy and total advisor effort with the current workflow before considering expansion.</w:t>
            </w:r>
          </w:p>
        </w:tc>
      </w:tr>
      <w:tr>
        <w:trPr>
          <w:cantSplit/>
        </w:trP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Confidence / uncertainty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Moderate confidence in broad diffusion context; low confidence in application prevalence, stage and local benefit. No measured bank outcomes. Tests do not establish general reliability.</w:t>
            </w:r>
          </w:p>
        </w:tc>
      </w:tr>
      <w:tr>
        <w:trPr>
          <w:cantSplit/>
        </w:trP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What evidence or condition would change the conclusion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Matched peer production evidence with dates/denominators; local fidelity, omissions, correction effort and workflow results; credible failures or inadequate safeguards would weaken the evaluation case.</w:t>
            </w:r>
          </w:p>
        </w:tc>
      </w:tr>
    </w:tbl>
    <w:p>
      <w:pPr>
        <w:pStyle w:val="Heading1"/>
        <w:pageBreakBefore/>
      </w:pPr>
      <w:r>
        <w:t>D. Evidence and Testing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cantSplit/>
          <w:tblHeader/>
        </w:trP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57068C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57068C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Student record</w:t>
            </w:r>
          </w:p>
        </w:tc>
      </w:tr>
      <w:tr>
        <w:trPr>
          <w:cantSplit/>
        </w:trP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Most important evidence/source(s)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E1 St. Louis Fed, Nov 13, 2025 (Aug 2025 US use); E2 BoE/FCA, Nov 21, 2024 (UK broad AI); E3 Morgan Stanley, Jun 26, 2024 (adjacent support tools); E4 FCA, Aug 18, 2026 (data through Dec 2024; banking-led firms excluded); E5 Bank of Canada, May 28, 2026 (integration/skills). URLs and scope limits: records/evidence_brief.md.</w:t>
            </w:r>
          </w:p>
        </w:tc>
      </w:tr>
      <w:tr>
        <w:trPr>
          <w:cantSplit/>
        </w:trP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Primary test - result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Primary v1 and v2 passed the basic validator. Both separate three analytical levels and withhold unsupported application-stage claims. V2 removes the qualified empirical adopter label. Raw outputs: responses/primary_response_v1.json and primary_response_v2.json.</w:t>
            </w:r>
          </w:p>
        </w:tc>
      </w:tr>
      <w:tr>
        <w:trPr>
          <w:cantSplit/>
        </w:trP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Contrast test - what appropriately stayed stable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Same technology, application, evidence and consequence boundaries; only posture changes. Both versions withhold a firm intake stage and retain advisor authority. General evidence remains substantively stable.</w:t>
            </w:r>
          </w:p>
        </w:tc>
      </w:tr>
      <w:tr>
        <w:trPr>
          <w:cantSplit/>
        </w:trP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Contrast test - what appropriately changed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Leading-edge outputs emphasize willingness to learn despite unknown benefits and prevalence; conservative outputs emphasize protected evaluation conditions. Difference is modest: materially different timing or operational thresholds were not demonstrated.</w:t>
            </w:r>
          </w:p>
        </w:tc>
      </w:tr>
      <w:tr>
        <w:trPr>
          <w:cantSplit/>
        </w:trP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Weakness/failure found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Primary v1 called an adjacent deployment consistent with early-adopter behavior despite unknown comparative timing. Similar timing advice across contexts limits demonstrated context sensitivity.</w:t>
            </w:r>
          </w:p>
        </w:tc>
      </w:tr>
      <w:tr>
        <w:trPr>
          <w:cantSplit/>
        </w:trP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Revision made and why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V0.2 requires comparative timing/population evidence for adopter labels and asks for posture’s concrete decision consequence without forced differences. Both retests omit the label; general improvement and causal attribution remain unproven.</w:t>
            </w:r>
          </w:p>
        </w:tc>
      </w:tr>
      <w:tr>
        <w:trPr>
          <w:cantSplit/>
        </w:trP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Remaining limitation / abstention condition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Weak claim withheld: “This intake application has reached the early majority among comparable regional banks.” Matching data are missing. Fixed-source selection, unobserved run conditions and no local outcomes limit conclusions. See records/retest_review_v2.md.</w:t>
            </w:r>
          </w:p>
        </w:tc>
      </w:tr>
    </w:tbl>
    <w:p>
      <w:pPr>
        <w:pStyle w:val="Heading1"/>
      </w:pPr>
      <w:r>
        <w:t>E. Independent Judgment and Handoff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cantSplit/>
          <w:tblHeader/>
        </w:trP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57068C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57068C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Student record</w:t>
            </w:r>
          </w:p>
        </w:tc>
      </w:tr>
      <w:tr>
        <w:trPr>
          <w:cantSplit/>
        </w:trP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Is the agent credible enough for team consideration? Why?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Provisionally credible as a bounded discussion aid: four preserved outputs pass basic validation, distinguish evidence from inference, and cover all five Rogers factors. Material timing sensitivity and general reliability remain unproven.</w:t>
            </w:r>
          </w:p>
        </w:tc>
      </w:tr>
      <w:tr>
        <w:trPr>
          <w:cantSplit/>
        </w:trP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Most important recommendation to the team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Begin protected learning rather than allow caution to become a service-development bottleneck. Consent, safeguards and advisor authority support evaluation; measured benefit and acceptable risk must govern expansion. Handoff: adjacent signal E3, compatibility inhibitor, and no proven intake diffusion stage.</w:t>
            </w:r>
          </w:p>
        </w:tc>
      </w:tr>
      <w:tr>
        <w:trPr>
          <w:cantSplit/>
        </w:trPr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AI / verification note</w:t>
            </w:r>
          </w:p>
        </w:tc>
        <w:tc>
          <w:tcPr>
            <w:tcW w:type="dxa" w:w="522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20"/>
            </w:pPr>
            <w:r>
              <w:rPr>
                <w:sz w:val="17"/>
              </w:rPr>
              <w:t>ChatGPT generated the four user-supplied responses. Codex specialized the scaffold, assembled fixed-source packets, preserved raw outputs, validated structure and compared tests. Selected original-source pages were inspected on Oct 20; no full-data audit. Runs used the brief, without independent browsing; fresh-conversation conditions were requested but not independently observed. I supplied the evaluation recommendation; AI helped express it.</w:t>
            </w:r>
          </w:p>
        </w:tc>
      </w:tr>
    </w:tbl>
    <w:sectPr w:rsidR="00630F3A" w:rsidSect="00034616">
      <w:headerReference w:type="default" r:id="rId8"/>
      <w:footerReference w:type="default" r:id="rId9"/>
      <w:pgSz w:w="12240" w:h="15840"/>
      <w:pgMar w:top="792" w:right="893" w:bottom="792" w:left="893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834FE" w:rsidRDefault="00F834FE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:rsidR="00F834FE" w:rsidRDefault="00F834FE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iberation Sans">
    <w:altName w:val="Arial"/>
    <w:panose1 w:val="020B06040202020202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0F3A" w:rsidRDefault="00000000">
    <w:pPr>
      <w:pStyle w:val="Footer"/>
      <w:jc w:val="center"/>
      <w:rPr>
        <w:rFonts w:hint="eastAsia"/>
      </w:rPr>
    </w:pPr>
    <w:r>
      <w:rPr>
        <w:color w:val="666666"/>
        <w:sz w:val="16"/>
      </w:rPr>
      <w:t>Diffusion Agent Record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834FE" w:rsidRDefault="00F834FE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:rsidR="00F834FE" w:rsidRDefault="00F834FE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0F3A" w:rsidRDefault="00000000">
    <w:pPr>
      <w:pStyle w:val="Header"/>
      <w:jc w:val="right"/>
      <w:rPr>
        <w:rFonts w:hint="eastAsia"/>
      </w:rPr>
    </w:pPr>
    <w:r>
      <w:rPr>
        <w:b/>
        <w:color w:val="57068C"/>
        <w:sz w:val="16"/>
      </w:rPr>
      <w:t>NYU SPS | MASY1-GC 1800 | EMERGING TECHNOLOGIES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02544149">
    <w:abstractNumId w:val="8"/>
  </w:num>
  <w:num w:numId="2" w16cid:durableId="1931616119">
    <w:abstractNumId w:val="6"/>
  </w:num>
  <w:num w:numId="3" w16cid:durableId="1238203996">
    <w:abstractNumId w:val="5"/>
  </w:num>
  <w:num w:numId="4" w16cid:durableId="1845591355">
    <w:abstractNumId w:val="4"/>
  </w:num>
  <w:num w:numId="5" w16cid:durableId="203055673">
    <w:abstractNumId w:val="7"/>
  </w:num>
  <w:num w:numId="6" w16cid:durableId="921061524">
    <w:abstractNumId w:val="3"/>
  </w:num>
  <w:num w:numId="7" w16cid:durableId="291711437">
    <w:abstractNumId w:val="2"/>
  </w:num>
  <w:num w:numId="8" w16cid:durableId="1521776730">
    <w:abstractNumId w:val="1"/>
  </w:num>
  <w:num w:numId="9" w16cid:durableId="144247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14B14"/>
    <w:rsid w:val="0029639D"/>
    <w:rsid w:val="00326F90"/>
    <w:rsid w:val="00630F3A"/>
    <w:rsid w:val="006E721C"/>
    <w:rsid w:val="00AA1D8D"/>
    <w:rsid w:val="00B47730"/>
    <w:rsid w:val="00CB0664"/>
    <w:rsid w:val="00F834F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DC0CD959-1D97-D94F-BA39-D34FFBA87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 w:line="252" w:lineRule="auto"/>
    </w:pPr>
    <w:rPr>
      <w:rFonts w:ascii="Liberation Sans" w:hAnsi="Liberation Sans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/>
      <w:outlineLvl w:val="0"/>
    </w:pPr>
    <w:rPr>
      <w:rFonts w:asciiTheme="majorHAnsi" w:eastAsiaTheme="majorEastAsia" w:hAnsiTheme="majorHAnsi" w:cstheme="majorBidi"/>
      <w:b/>
      <w:bCs/>
      <w:color w:val="57068C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/>
      <w:b/>
      <w:bCs/>
      <w:color w:val="57068C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40"/>
      <w:outlineLvl w:val="2"/>
    </w:pPr>
    <w:rPr>
      <w:rFonts w:asciiTheme="majorHAnsi" w:eastAsiaTheme="majorEastAsia" w:hAnsiTheme="majorHAnsi" w:cstheme="majorBidi"/>
      <w:b/>
      <w:bCs/>
      <w:color w:val="252525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57068C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 Note"/>
    <w:pPr>
      <w:spacing w:after="80"/>
    </w:pPr>
    <w:rPr>
      <w:rFonts w:ascii="Liberation Sans" w:hAnsi="Liberation Sans"/>
      <w:color w:val="666666"/>
      <w:sz w:val="18"/>
    </w:rPr>
  </w:style>
  <w:style w:type="paragraph" w:customStyle="1" w:styleId="Callout">
    <w:name w:val="Callout"/>
    <w:pPr>
      <w:spacing w:after="80"/>
    </w:pPr>
    <w:rPr>
      <w:rFonts w:ascii="Liberation Sans" w:hAnsi="Liberation Sans"/>
      <w:b/>
      <w:color w:val="57068C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19</Pages>
  <Words>7921</Words>
  <Characters>45155</Characters>
  <Application>Microsoft Office Word</Application>
  <DocSecurity>0</DocSecurity>
  <Lines>376</Lines>
  <Paragraphs>105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52971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Emerging Technologies - Specialist Agent Record Template</dc:title>
  <dc:subject>Student instructions for weekly individual assignments</dc:subject>
  <dc:creator>Andres Fortino</dc:creator>
  <cp:keywords>Advanced Business Informatics, weekly assignments, professional practice, AI, judgment, proof of concept</cp:keywords>
  <dc:description>generated by python-docx</dc:description>
  <cp:lastModifiedBy>Andres Fortino</cp:lastModifiedBy>
  <cp:revision>2</cp:revision>
  <dcterms:created xsi:type="dcterms:W3CDTF">2026-08-13T19:48:00Z</dcterms:created>
  <dcterms:modified xsi:type="dcterms:W3CDTF">2026-08-13T19:48:00Z</dcterms:modified>
  <cp:category/>
</cp:coreProperties>
</file>