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Diffusion Agent Record</w:t>
      </w:r>
    </w:p>
    <w:p>
      <w:pPr>
        <w:jc w:val="center"/>
      </w:pPr>
      <w:r>
        <w:t>MASY1-GC 1800 | Assignment 5 | Meilin Pan</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t>My judgment: Begin a protected, bounded evaluation. Preserve client trust while testing whether intake assistance improves service; broader adoption remains conditional on evidence.</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20"/>
            </w:pPr>
            <w:r>
              <w:rPr>
                <w:sz w:val="17"/>
              </w:rPr>
              <w:t>Meilin Pan</w:t>
            </w:r>
          </w:p>
        </w:tc>
      </w:tr>
      <w:tr>
        <w:trPr>
          <w:cantSplit/>
        </w:trP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20"/>
            </w:pPr>
            <w:r>
              <w:rPr>
                <w:sz w:val="17"/>
              </w:rPr>
              <w:t>Assignment 5 - Emerging Technology Diffusion Agent; 0.2-student</w:t>
            </w:r>
          </w:p>
        </w:tc>
      </w:tr>
      <w:tr>
        <w:trPr>
          <w:cantSplit/>
        </w:trP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20"/>
            </w:pPr>
            <w:r>
              <w:rPr>
                <w:sz w:val="17"/>
              </w:rPr>
              <w:t>October 20, 2026</w:t>
            </w:r>
          </w:p>
        </w:tc>
      </w:tr>
      <w:tr>
        <w:trPr>
          <w:cantSplit/>
        </w:trP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20"/>
            </w:pPr>
            <w:r>
              <w:rPr>
                <w:sz w:val="17"/>
              </w:rPr>
              <w:t>https://github.com/mp7240-sudo/MASY1800-Emerging-Technology-Diffusion-Agent (private)</w:t>
            </w:r>
          </w:p>
        </w:tc>
      </w:tr>
      <w:tr>
        <w:trPr>
          <w:cantSplit/>
        </w:trP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20"/>
            </w:pPr>
            <w:r>
              <w:rPr>
                <w:sz w:val="17"/>
              </w:rPr>
              <w:t>assignment-5-diffusion</w:t>
            </w:r>
          </w:p>
        </w:tc>
      </w:tr>
      <w:tr>
        <w:trPr>
          <w:cantSplit/>
        </w:trP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20"/>
            </w:pPr>
            <w:r>
              <w:rPr>
                <w:sz w:val="17"/>
              </w:rPr>
              <w:t>dba1760 (tested agent/evidence candidate). This Word record is saved in a subsequent documentation commit.</w:t>
            </w:r>
          </w:p>
        </w:tc>
      </w:tr>
      <w:tr>
        <w:trPr>
          <w:cantSplit/>
        </w:trP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sz w:val="17"/>
              </w:rPr>
              <w:t>MASY1800_ET_Agent_Scaffold_v1_0</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20"/>
            </w:pPr>
            <w:r>
              <w:rPr>
                <w:sz w:val="17"/>
              </w:rPr>
              <w:t>How far has this technology/application diffused, what helps or inhibits it, and what does that imply for this bank’s timing?</w:t>
            </w:r>
          </w:p>
        </w:tc>
      </w:tr>
      <w:tr>
        <w:trPr>
          <w:cantSplit/>
        </w:trP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20"/>
            </w:pPr>
            <w:r>
              <w:rPr>
                <w:sz w:val="17"/>
              </w:rPr>
              <w:t>LLM-based generative AI conversational assistants as deployed systems.</w:t>
            </w:r>
          </w:p>
        </w:tc>
      </w:tr>
      <w:tr>
        <w:trPr>
          <w:cantSplit/>
        </w:trP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20"/>
            </w:pPr>
            <w:r>
              <w:rPr>
                <w:sz w:val="17"/>
              </w:rPr>
              <w:t>Client wealth-management risk-tolerance intake, clarification, structuring, summarization and advisor routing.</w:t>
            </w:r>
          </w:p>
        </w:tc>
      </w:tr>
      <w:tr>
        <w:trPr>
          <w:cantSplit/>
        </w:trP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20"/>
            </w:pPr>
            <w:r>
              <w:rPr>
                <w:sz w:val="17"/>
              </w:rPr>
              <w:t>Hypothetical established regional bank with wealth management; geography unspecified.</w:t>
            </w:r>
          </w:p>
        </w:tc>
      </w:tr>
      <w:tr>
        <w:trPr>
          <w:cantSplit/>
        </w:trP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20"/>
            </w:pPr>
            <w:r>
              <w:rPr>
                <w:sz w:val="17"/>
              </w:rPr>
              <w:t>Conservative / risk-averse, by scenario assumption.</w:t>
            </w:r>
          </w:p>
        </w:tc>
      </w:tr>
      <w:tr>
        <w:trPr>
          <w:cantSplit/>
        </w:trP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20"/>
            </w:pPr>
            <w:r>
              <w:rPr>
                <w:sz w:val="17"/>
              </w:rPr>
              <w:t>Medium-high by assumption. Missing or distorted intake could affect later discussions; human advisors retain consequential interpretation and recommendations.</w:t>
            </w:r>
          </w:p>
        </w:tc>
      </w:tr>
      <w:tr>
        <w:trPr>
          <w:cantSplit/>
        </w:trP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20"/>
            </w:pPr>
            <w:r>
              <w:rPr>
                <w:sz w:val="17"/>
              </w:rPr>
              <w:t>How should diffusion inform evaluation timing and evidence requirements? Next 12–18 months from October 20, 2026.</w:t>
            </w:r>
          </w:p>
        </w:tc>
      </w:tr>
    </w:tbl>
    <w:p>
      <w:pPr>
        <w:pStyle w:val="Heading1"/>
        <w:pageBreakBefore/>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20"/>
            </w:pPr>
            <w:r>
              <w:rPr>
                <w:sz w:val="17"/>
              </w:rPr>
              <w:t>Broad generative-AI use and selected financial-sector AI activity have spread, but the sources do not establish a Rogers stage for deployed LLM conversational assistants. Person, firm and use-case measures differ.</w:t>
            </w:r>
          </w:p>
        </w:tc>
      </w:tr>
      <w:tr>
        <w:trPr>
          <w:cantSplit/>
        </w:trP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20"/>
            </w:pPr>
            <w:r>
              <w:rPr>
                <w:sz w:val="17"/>
              </w:rPr>
              <w:t>Application-specific prevalence and comparative timing among regional banks are unknown. Adjacent advisor-support deployments do not establish client-facing intake diffusion; withhold a firm stage.</w:t>
            </w:r>
          </w:p>
        </w:tc>
      </w:tr>
      <w:tr>
        <w:trPr>
          <w:cantSplit/>
        </w:trP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20"/>
            </w:pPr>
            <w:r>
              <w:rPr>
                <w:sz w:val="17"/>
              </w:rPr>
              <w:t>Compatibility is the principal plausible inhibitor: fit with sensitive data, legacy systems, traceability and advisor review. Local severity is unverified. Conservative posture changes evidence interpretation, not diffusion facts.</w:t>
            </w:r>
          </w:p>
        </w:tc>
      </w:tr>
      <w:tr>
        <w:trPr>
          <w:cantSplit/>
        </w:trP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20"/>
            </w:pPr>
            <w:r>
              <w:rPr>
                <w:sz w:val="17"/>
              </w:rPr>
              <w:t>I recommend a protected, bounded evaluation with informed user consent, information protection and retained advisor authority. Compare completeness, accuracy and total advisor effort with the current workflow before considering expansion.</w:t>
            </w:r>
          </w:p>
        </w:tc>
      </w:tr>
      <w:tr>
        <w:trPr>
          <w:cantSplit/>
        </w:trP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20"/>
            </w:pPr>
            <w:r>
              <w:rPr>
                <w:sz w:val="17"/>
              </w:rPr>
              <w:t>Moderate confidence in broad diffusion context; low confidence in application prevalence, stage and local benefit. No measured bank outcomes. Tests do not establish general reliability.</w:t>
            </w:r>
          </w:p>
        </w:tc>
      </w:tr>
      <w:tr>
        <w:trPr>
          <w:cantSplit/>
        </w:trP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20"/>
            </w:pPr>
            <w:r>
              <w:rPr>
                <w:sz w:val="17"/>
              </w:rPr>
              <w:t>Matched peer production evidence with dates/denominators; local fidelity, omissions, correction effort and workflow results; credible failures or inadequate safeguards would weaken the evaluation case.</w:t>
            </w:r>
          </w:p>
        </w:tc>
      </w:tr>
    </w:tbl>
    <w:p>
      <w:pPr>
        <w:pStyle w:val="Heading1"/>
        <w:pageBreakBefore/>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20"/>
            </w:pPr>
            <w:r>
              <w:rPr>
                <w:sz w:val="17"/>
              </w:rPr>
              <w:t>E1 St. Louis Fed, Nov 13, 2025 (Aug 2025 US use); E2 BoE/FCA, Nov 21, 2024 (UK broad AI); E3 Morgan Stanley, Jun 26, 2024 (adjacent support tools); E4 FCA, Aug 18, 2026 (data through Dec 2024; banking-led firms excluded); E5 Bank of Canada, May 28, 2026 (integration/skills). URLs and scope limits: records/evidence_brief.md.</w:t>
            </w:r>
          </w:p>
        </w:tc>
      </w:tr>
      <w:tr>
        <w:trPr>
          <w:cantSplit/>
        </w:trP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20"/>
            </w:pPr>
            <w:r>
              <w:rPr>
                <w:sz w:val="17"/>
              </w:rPr>
              <w:t>Primary v1 and v2 passed the basic validator. Both separate three analytical levels and withhold unsupported application-stage claims. V2 removes the qualified empirical adopter label. Raw outputs: responses/primary_response_v1.json and primary_response_v2.json.</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20"/>
            </w:pPr>
            <w:r>
              <w:rPr>
                <w:sz w:val="17"/>
              </w:rPr>
              <w:t>Same technology, application, evidence and consequence boundaries; only posture changes. Both versions withhold a firm intake stage and retain advisor authority. General evidence remains substantively stable.</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20"/>
            </w:pPr>
            <w:r>
              <w:rPr>
                <w:sz w:val="17"/>
              </w:rPr>
              <w:t>Leading-edge outputs emphasize willingness to learn despite unknown benefits and prevalence; conservative outputs emphasize protected evaluation conditions. Difference is modest: materially different timing or operational thresholds were not demonstrated.</w:t>
            </w:r>
          </w:p>
        </w:tc>
      </w:tr>
      <w:tr>
        <w:trPr>
          <w:cantSplit/>
        </w:trP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20"/>
            </w:pPr>
            <w:r>
              <w:rPr>
                <w:sz w:val="17"/>
              </w:rPr>
              <w:t>Primary v1 called an adjacent deployment consistent with early-adopter behavior despite unknown comparative timing. Similar timing advice across contexts limits demonstrated context sensitivity.</w:t>
            </w:r>
          </w:p>
        </w:tc>
      </w:tr>
      <w:tr>
        <w:trPr>
          <w:cantSplit/>
        </w:trP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20"/>
            </w:pPr>
            <w:r>
              <w:rPr>
                <w:sz w:val="17"/>
              </w:rPr>
              <w:t>V0.2 requires comparative timing/population evidence for adopter labels and asks for posture’s concrete decision consequence without forced differences. Both retests omit the label; general improvement and causal attribution remain unproven.</w:t>
            </w:r>
          </w:p>
        </w:tc>
      </w:tr>
      <w:tr>
        <w:trPr>
          <w:cantSplit/>
        </w:trP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20"/>
            </w:pPr>
            <w:r>
              <w:rPr>
                <w:sz w:val="17"/>
              </w:rPr>
              <w:t>Weak claim withheld: “This intake application has reached the early majority among comparable regional banks.” Matching data are missing. Fixed-source selection, unobserved run conditions and no local outcomes limit conclusions. See records/retest_review_v2.md.</w:t>
            </w:r>
          </w:p>
        </w:tc>
      </w:tr>
    </w:tbl>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20"/>
            </w:pPr>
            <w:r>
              <w:rPr>
                <w:sz w:val="17"/>
              </w:rPr>
              <w:t>Provisionally credible as a bounded discussion aid: four preserved outputs pass basic validation, distinguish evidence from inference, and cover all five Rogers factors. Material timing sensitivity and general reliability remain unproven.</w:t>
            </w:r>
          </w:p>
        </w:tc>
      </w:tr>
      <w:tr>
        <w:trPr>
          <w:cantSplit/>
        </w:trP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20"/>
            </w:pPr>
            <w:r>
              <w:rPr>
                <w:sz w:val="17"/>
              </w:rPr>
              <w:t>Begin protected learning rather than allow caution to become a service-development bottleneck. Consent, safeguards and advisor authority support evaluation; measured benefit and acceptable risk must govern expansion. Handoff: adjacent signal E3, compatibility inhibitor, and no proven intake diffusion stage.</w:t>
            </w:r>
          </w:p>
        </w:tc>
      </w:tr>
      <w:tr>
        <w:trPr>
          <w:cantSplit/>
        </w:trP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20"/>
            </w:pPr>
            <w:r>
              <w:rPr>
                <w:sz w:val="17"/>
              </w:rPr>
              <w:t>ChatGPT generated the four user-supplied responses. Codex specialized the scaffold, assembled fixed-source packets, preserved raw outputs, validated structure and compared tests. Selected original-source pages were inspected on Oct 20; no full-data audit. Runs used the brief, without independent browsing; fresh-conversation conditions were requested but not independently observed. I supplied the evaluation recommendation; AI helped express it.</w:t>
            </w:r>
          </w:p>
        </w:tc>
      </w:tr>
    </w:tbl>
    <w:p>
      <w:pPr>
        <w:pStyle w:val="Heading1"/>
      </w:pPr>
      <w:r>
        <w:t>F. Self Reflection</w:t>
      </w:r>
    </w:p>
    <w:p>
      <w:pPr>
        <w:pStyle w:val="Normal"/>
      </w:pPr>
      <w:r>
        <w:t>This assignment helped me see that widespread use of a technology does not prove that a specific application is ready for a bank. I still believe a conservative reputation builds trust, but excessive caution can become a bottleneck to service improvement. A protected evaluation with informed user consent can help the bank explore potential benefits while preserving advisor authority. Comparing the tests also reminded me that changing adoption posture does not always produce a different timetable when the consequences remain the same. I would focus on measured improvements and unresolved risks before supporting broader use.</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Diffusion Agent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