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Promethean Agent Record</w:t>
      </w:r>
    </w:p>
    <w:p>
      <w:pPr>
        <w:jc w:val="center"/>
      </w:pPr>
      <w:r>
        <w:t>MASY1-GC 1800 | Assignment 4 | Meilin Pan</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My judgment: Provisional Breakthrough. Evaluate the bank application on demonstrated value and effective human review; broader technological significance is not adoption approval.</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Meilin Pan</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Assignment 4 - Promethean Technology Classification Agent; version 0.2-student</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October 17,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t>https://github.com/mp7240-sudo/MASY1800-Emerging-Technology-Promethean-Agent (private)</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main</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57cc83c8d73d9c0fb4a1d8997010720f87232b87 (agent/evidence candidate); d8a1e6c records that candidate. This Word record is prepared afterward.</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Is this technology incremental, breakthrough, or potentially civilization-changing, and how much should that broader potential influence this organization’s present application decision?</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LLM-based generative AI conversational assistants as deployed systems; not all AI or hypothetical AGI.</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Client wealth-management risk-tolerance intake, clarification, structuring, summarization, and routing. Human advisors retain consequential interpretation and recommendations.</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Hypothetical established regional bank with a wealth-management division; banking and wealth management.</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Conservative / risk-averse.</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Medium-high by scenario assumption: distorted or missing intake information could affect later financial discussions. Sensitive data and effective advisor review matter. No actual bank outcomes are supplied.</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How much should broad technological significance influence evaluation of a bounded intake pilot? Next 12–18 months; analysis cutoff October 17, 2026.</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My classification is Provisional Breakthrough: flexible language assistance can substantially change how tasks are performed and improve efficiency. The reviewed evidence does not establish categorical barrier dissolution across multiple tiers. Existing alternatives remain viable in these cases; replacement alone is not the course test.</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Proposed incremental workflow improvement. Better completeness, accessibility, faithful summaries, and advisor preparation remain hypotheses, not measured benefits.</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Conservative posture and consequential client information call for evidence before changing authority. Assess intake fidelity, total review effort, and whether advisors detect material mistakes. Posture does not change general technological significance.</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Give broader significance weight in learning priorities, not automatic adoption. Compare bounded intake assistance with the existing workflow and simpler alternatives; retain advisor authority and obtain readiness/governance review.</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Moderate confidence in a bounded provisional interpretation; limited confidence in a firm technology-wide category or local benefit. Historical, selective sources leave current structural effects uncertain. The chapter’s Potential Promethean calibration is acknowledged rather than assumed.</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Independent evidence of emerging multi-tier barrier dissolution; stronger predecessor comparisons; measured improvements or persistent consequential errors in bank intake; changes to model, data handling, workflow, or advisor authority.</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Framework: Fortino, Chapter 11, August 2026 draft rev 0.1, §§11.2/11.7. Empirical: Noy &amp; Zhang (March 2023 working paper, 444 professionals); Brynjolfsson et al. (arXiv v2, November 2024, 5,172 agents/15%). Context: NIST AI 600-1 (2024); SEC/FINRA automated-tools alert (2015); BART (ACL 2020); dialogue-summary hallucination study (ACL 2024). Exact URLs and verification limits are preserved in responses/ and review notes.</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Primary v0.1 and v0.2 both passed the basic validator. V0.2 directly attributed the supplied chapter and explained its provisional Breakthrough conclusion, with a firm technology-wide category withheld. It kept the bank workflow provisionally incremental. Evidence: primary_response_v1.json and primary_response_v2.json.</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All three v0.2 responses withheld Potential Promethean on inspected evidence and separated significance from adoption. Exact category stability is not established: primary/fintech used provisional Breakthrough; meeting summaries withheld a firm category. Retrieved general evidence varied.</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Fintech recommendations with minimal review: application significance undetermined; comparative/shadow evaluation and specialist assessment emphasized. Same-bank meeting summaries: provisionally incremental; final fidelity, correction effort, confidentiality, and employee checking emphasized.</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V0.1 lacked the full chapter and correctly disclosed this. Its instructions also revealed named contrasts, weakening independence. Remaining v0.2 weakness: category/confidence reporting differed across runs; varying retrieval prevents attributing this solely to context.</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V0.2 appended the chapter text (captions, no images), removed named test scenarios, and strengthened comparator and provisional-label justification. Original output/configuration retained. Primary retest improved attribution and reasoning discipline; simultaneous changes prevent isolating the cause. Frozen-core check passed.</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Four saved outputs passed basic validation, not factual/reasoning certification. No fixed-source stability test, measured bank benefit, or general reliability proof. Withhold higher labels without credible emerging dissolution evidence. Source coverage is historical/selective; no comprehensive October 2026 review.</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Yes, provisionally, as a bounded discussion aid. Explicit criteria, preserved outputs, revision evidence, and qualified contrasts support team consideration. General classification consistency and broad reliability remain unproven. My independent choice is Provisional Breakthrough, based on substantial assistance rather than demonstrated civilizational dissolution.</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Never turn long-term technological importance into automatic near-term adoption advocacy. The strongest challenge to my view is the chapter’s claim that flexible machine-generated cognitive work is already an emerging barrier dissolution; stronger current multi-tier evidence could change my judgment.</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ChatGPT generated the supplied run outputs; Codex specialized files, built packets, preserved responses, validated structure, checked core integrity, and spot-checked original sources. Fresh conversations were requested; actual run conditions and model browsing were not independently observed. Source checks were limited, not full-paper audits. I chose Provisional Breakthrough and supplied the efficiency-versus-replacement view; AI helped refine my explanation and reflection.</w:t>
            </w:r>
          </w:p>
        </w:tc>
      </w:tr>
    </w:tbl>
    <w:p>
      <w:pPr>
        <w:pStyle w:val="Heading1"/>
      </w:pPr>
      <w:r>
        <w:t>F. Self Reflection</w:t>
      </w:r>
    </w:p>
    <w:p>
      <w:pPr>
        <w:spacing w:after="20"/>
      </w:pPr>
      <w:r>
        <w:rPr>
          <w:sz w:val="17"/>
        </w:rPr>
        <w:t>My first reaction was to classify this technology as a Provisional Breakthrough because I could see significant improvements in efficiency, but not clear replacement of existing methods. Working through the course framework helped me refine that view: replacement alone is not the deciding test. I need to ask which fundamental constraint has changed and what evidence supports that claim. Comparing the cases also helped me separate the technology’s broader importance from the value of a particular application. For my professional practice, I would focus on measurable improvements and the limits of the evidence before recommending adoption. I still favor Provisional Breakthrough, while remaining open to stronger evidence that could change my judgment.</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Promethean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