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Promethean Agent Record</w:t>
      </w:r>
    </w:p>
    <w:p>
      <w:pPr>
        <w:jc w:val="center"/>
      </w:pPr>
      <w:r>
        <w:t>MASY1-GC 1800 | Assignment 4 | Meilin Pan</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My judgment: Provisional Breakthrough. Evaluate the bank application on demonstrated value and effective human review; broader technological significance is not adoption approval.</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Meilin Pan</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Assignment 4 - Promethean Technology Classification Agent; version 0.2-student</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October 17,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t>https://github.com/mp7240-sudo/MASY1800-Emerging-Technology-Promethean-Agent (private)</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main</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57cc83c8d73d9c0fb4a1d8997010720f87232b87 (agent/evidence candidate); d8a1e6c records that candidate. This Word record is prepared afterward.</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Is this technology incremental, breakthrough, or potentially civilization-changing, and how much should that broader potential influence this organization’s present application decision?</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LLM-based generative AI conversational assistants as deployed systems; not all AI or hypothetical AGI.</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Client wealth-management risk-tolerance intake, clarification, structuring, summarization, and routing. Human advisors retain consequential interpretation and recommendations.</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Hypothetical established regional bank with a wealth-management division; banking and wealth management.</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Conservative / risk-averse.</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Medium-high by scenario assumption: distorted or missing intake information could affect later financial discussions. Sensitive data and effective advisor review matter. No actual bank outcomes are supplied.</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How much should broad technological significance influence evaluation of a bounded intake pilot? Next 12–18 months; analysis cutoff October 17, 2026.</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My classification is Provisional Breakthrough: flexible language assistance can substantially change how tasks are performed and improve efficiency. The reviewed evidence does not establish categorical barrier dissolution across multiple tiers. Existing alternatives remain viable in these cases; replacement alone is not the course test.</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Proposed incremental workflow improvement. Better completeness, accessibility, faithful summaries, and advisor preparation remain hypotheses, not measured benefits.</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Conservative posture and consequential client information call for evidence before changing authority. Assess intake fidelity, total review effort, and whether advisors detect material mistakes. Posture does not change general technological significance.</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Give broader significance weight in learning priorities, not automatic adoption. Compare bounded intake assistance with the existing workflow and simpler alternatives; retain advisor authority and obtain readiness/governance review.</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Moderate confidence in a bounded provisional interpretation; limited confidence in a firm technology-wide category or local benefit. Historical, selective sources leave current structural effects uncertain. The chapter’s Potential Promethean calibration is acknowledged rather than assumed.</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Independent evidence of emerging multi-tier barrier dissolution; stronger predecessor comparisons; measured improvements or persistent consequential errors in bank intake; changes to model, data handling, workflow, or advisor authority.</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Framework: Fortino, Chapter 11, August 2026 draft rev 0.1, §§11.2/11.7. Empirical: Noy &amp; Zhang (March 2023 working paper, 444 professionals); Brynjolfsson et al. (arXiv v2, November 2024, 5,172 agents/15%). Context: NIST AI 600-1 (2024); SEC/FINRA automated-tools alert (2015); BART (ACL 2020); dialogue-summary hallucination study (ACL 2024). Exact URLs and verification limits are preserved in responses/ and review notes.</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Primary v0.1 and v0.2 both passed the basic validator. V0.2 directly attributed the supplied chapter and explained its provisional Breakthrough conclusion, with a firm technology-wide category withheld. It kept the bank workflow provisionally incremental. Evidence: primary_response_v1.json and primary_response_v2.json.</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All three v0.2 responses withheld Potential Promethean on inspected evidence and separated significance from adoption. Exact category stability is not established: primary/fintech used provisional Breakthrough; meeting summaries withheld a firm category. Retrieved general evidence varied.</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Fintech recommendations with minimal review: application significance undetermined; comparative/shadow evaluation and specialist assessment emphasized. Same-bank meeting summaries: provisionally incremental; final fidelity, correction effort, confidentiality, and employee checking emphasized.</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V0.1 lacked the full chapter and correctly disclosed this. Its instructions also revealed named contrasts, weakening independence. Remaining v0.2 weakness: category/confidence reporting differed across runs; varying retrieval prevents attributing this solely to context.</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V0.2 appended the chapter text (captions, no images), removed named test scenarios, and strengthened comparator and provisional-label justification. Original output/configuration retained. Primary retest improved attribution and reasoning discipline; simultaneous changes prevent isolating the cause. Frozen-core check passed.</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Four saved outputs passed basic validation, not factual/reasoning certification. No fixed-source stability test, measured bank benefit, or general reliability proof. Withhold higher labels without credible emerging dissolution evidence. Source coverage is historical/selective; no comprehensive October 2026 review.</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Yes, provisionally, as a bounded discussion aid. Explicit criteria, preserved outputs, revision evidence, and qualified contrasts support team consideration. General classification consistency and broad reliability remain unproven. My independent choice is Provisional Breakthrough, based on substantial assistance rather than demonstrated civilizational dissolution.</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Never turn long-term technological importance into automatic near-term adoption advocacy. The strongest challenge to my view is the chapter’s claim that flexible machine-generated cognitive work is already an emerging barrier dissolution; stronger current multi-tier evidence could change my judgment.</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ChatGPT generated the supplied run outputs; Codex specialized files, built packets, preserved responses, validated structure, checked core integrity, and spot-checked original sources. Fresh conversations were requested; actual run conditions and model browsing were not independently observed. Source checks were limited, not full-paper audits. I chose Provisional Breakthrough; AI helped refine my explanation.</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Promethean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