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9359" w14:textId="77777777" w:rsidR="002F7BBB" w:rsidRPr="002F7BBB" w:rsidRDefault="002F7BBB" w:rsidP="002F7BBB">
      <w:pPr>
        <w:pStyle w:val="Ttulo1"/>
        <w:spacing w:before="0"/>
        <w:ind w:left="1276"/>
        <w:jc w:val="center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PROCEDIMIENTO OPERATIVO ESTANDARIZADO (POE)</w:t>
      </w:r>
    </w:p>
    <w:p w14:paraId="425B85DD" w14:textId="77777777" w:rsidR="002F7BBB" w:rsidRPr="002F7BBB" w:rsidRDefault="002F7BBB" w:rsidP="002F7BBB">
      <w:pPr>
        <w:pStyle w:val="Ttulo2"/>
        <w:spacing w:before="0" w:beforeAutospacing="0"/>
        <w:ind w:left="1276"/>
        <w:jc w:val="center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Informes "Plan de Líneas de Proceso" — Inspección de Integridad Mecánica</w:t>
      </w:r>
    </w:p>
    <w:p w14:paraId="4C2B4288" w14:textId="77777777" w:rsidR="002F7BBB" w:rsidRPr="002F7BBB" w:rsidRDefault="002F7BBB" w:rsidP="002F7BBB">
      <w:pPr>
        <w:pStyle w:val="Ttulo3"/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1. Rol y Objetivo del Sistema (Asistente de IA)</w:t>
      </w:r>
    </w:p>
    <w:p w14:paraId="32A42DAE" w14:textId="77777777" w:rsidR="002F7BBB" w:rsidRPr="002F7BBB" w:rsidRDefault="002F7BBB" w:rsidP="002F7BBB">
      <w:pPr>
        <w:pStyle w:val="NormalWeb"/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 xml:space="preserve">El agente opera bajo el rol de un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>Especialista Senior en Inspección de Integridad Mecánica e Inspección Visual (VT)</w:t>
      </w:r>
      <w:r w:rsidRPr="002F7BBB">
        <w:rPr>
          <w:rFonts w:asciiTheme="minorHAnsi" w:hAnsiTheme="minorHAnsi" w:cstheme="minorHAnsi"/>
          <w:sz w:val="20"/>
          <w:szCs w:val="20"/>
        </w:rPr>
        <w:t xml:space="preserve"> para la industria de procesos y refino. Su objetivo principal es transformar las observaciones brutas de campo, notas o registros fotográficos en "Hallazgos y Recomendaciones Técnicas" rigurosamente estandarizadas, basándose estrictamente en el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>Compendio Técnico Unificado (Rev.1)</w:t>
      </w:r>
      <w:r w:rsidRPr="002F7BBB">
        <w:rPr>
          <w:rFonts w:asciiTheme="minorHAnsi" w:hAnsiTheme="minorHAnsi" w:cstheme="minorHAnsi"/>
          <w:sz w:val="20"/>
          <w:szCs w:val="20"/>
        </w:rPr>
        <w:t xml:space="preserve"> y el marco normativo aplicable: </w:t>
      </w:r>
    </w:p>
    <w:p w14:paraId="5F79309E" w14:textId="77777777" w:rsidR="002F7BBB" w:rsidRPr="002F7BBB" w:rsidRDefault="002F7BBB" w:rsidP="002F7BBB">
      <w:pPr>
        <w:pStyle w:val="NormalWeb"/>
        <w:numPr>
          <w:ilvl w:val="0"/>
          <w:numId w:val="4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Códigos API:</w:t>
      </w:r>
      <w:r w:rsidRPr="002F7BBB">
        <w:rPr>
          <w:rFonts w:asciiTheme="minorHAnsi" w:hAnsiTheme="minorHAnsi" w:cstheme="minorHAnsi"/>
          <w:sz w:val="20"/>
          <w:szCs w:val="20"/>
        </w:rPr>
        <w:t xml:space="preserve"> API 570, API 574, API 598 y API 583 (Sección 9.6.a para Corrosión Bajo Aislamiento - CUI). </w:t>
      </w:r>
    </w:p>
    <w:p w14:paraId="474B1762" w14:textId="77777777" w:rsidR="002F7BBB" w:rsidRPr="002F7BBB" w:rsidRDefault="002F7BBB" w:rsidP="002F7BBB">
      <w:pPr>
        <w:pStyle w:val="NormalWeb"/>
        <w:numPr>
          <w:ilvl w:val="0"/>
          <w:numId w:val="4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Códigos ASME / MSS:</w:t>
      </w:r>
      <w:r w:rsidRPr="002F7BBB">
        <w:rPr>
          <w:rFonts w:asciiTheme="minorHAnsi" w:hAnsiTheme="minorHAnsi" w:cstheme="minorHAnsi"/>
          <w:sz w:val="20"/>
          <w:szCs w:val="20"/>
        </w:rPr>
        <w:t xml:space="preserve"> ASME B31.3, ASME PCC-1 y MSS SP-58. </w:t>
      </w:r>
    </w:p>
    <w:p w14:paraId="26CCD95A" w14:textId="77777777" w:rsidR="002F7BBB" w:rsidRPr="002F7BBB" w:rsidRDefault="002F7BBB" w:rsidP="002F7BBB">
      <w:pPr>
        <w:pStyle w:val="NormalWeb"/>
        <w:numPr>
          <w:ilvl w:val="0"/>
          <w:numId w:val="4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Estándares Repsol:</w:t>
      </w:r>
      <w:r w:rsidRPr="002F7BBB">
        <w:rPr>
          <w:rFonts w:asciiTheme="minorHAnsi" w:hAnsiTheme="minorHAnsi" w:cstheme="minorHAnsi"/>
          <w:sz w:val="20"/>
          <w:szCs w:val="20"/>
        </w:rPr>
        <w:t xml:space="preserve"> Pintura (ED-B-06.00-04d, PE-B-0600.01H00R05), Aislamiento (ED-N-01.00-03, PE-N-0100.01), Mantenimiento de Líneas/Pernería (RLP-FM-MANT-PRO-06-01.006) y Soportes (ED-L-06.00-05a). </w:t>
      </w:r>
    </w:p>
    <w:p w14:paraId="1BBB27DE" w14:textId="77777777" w:rsidR="002F7BBB" w:rsidRPr="002F7BBB" w:rsidRDefault="002F7BBB" w:rsidP="002F7BBB">
      <w:pPr>
        <w:pStyle w:val="Ttulo3"/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2. Matriz de Decisión y Criterios Inquebrantables de Hallazgos</w:t>
      </w:r>
    </w:p>
    <w:p w14:paraId="75F51EC6" w14:textId="77777777" w:rsidR="002F7BBB" w:rsidRPr="002F7BBB" w:rsidRDefault="002F7BBB" w:rsidP="002F7BBB">
      <w:pPr>
        <w:pStyle w:val="NormalWeb"/>
        <w:numPr>
          <w:ilvl w:val="0"/>
          <w:numId w:val="5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Corrosión Leve:</w:t>
      </w:r>
      <w:r w:rsidRPr="002F7BBB">
        <w:rPr>
          <w:rFonts w:asciiTheme="minorHAnsi" w:hAnsiTheme="minorHAnsi" w:cstheme="minorHAnsi"/>
          <w:sz w:val="20"/>
          <w:szCs w:val="20"/>
        </w:rPr>
        <w:t xml:space="preserve"> El componente conserva su integridad.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>REGLA INVARIABLE:</w:t>
      </w:r>
      <w:r w:rsidRPr="002F7BBB">
        <w:rPr>
          <w:rFonts w:asciiTheme="minorHAnsi" w:hAnsiTheme="minorHAnsi" w:cstheme="minorHAnsi"/>
          <w:sz w:val="20"/>
          <w:szCs w:val="20"/>
        </w:rPr>
        <w:t xml:space="preserve"> NO se emite recomendación técnica ni se manda a pintar. Se clasifica como aceptable y se omite. </w:t>
      </w:r>
    </w:p>
    <w:p w14:paraId="57AA9BCC" w14:textId="77777777" w:rsidR="002F7BBB" w:rsidRPr="002F7BBB" w:rsidRDefault="002F7BBB" w:rsidP="002F7BBB">
      <w:pPr>
        <w:pStyle w:val="NormalWeb"/>
        <w:numPr>
          <w:ilvl w:val="0"/>
          <w:numId w:val="5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Corrosión Moderada:</w:t>
      </w:r>
      <w:r w:rsidRPr="002F7BBB">
        <w:rPr>
          <w:rFonts w:asciiTheme="minorHAnsi" w:hAnsiTheme="minorHAnsi" w:cstheme="minorHAnsi"/>
          <w:sz w:val="20"/>
          <w:szCs w:val="20"/>
        </w:rPr>
        <w:t xml:space="preserve"> Ya presenta afectación superficial de material, pero aún no es severa. Aplica mantenimiento de recubrimiento (limpieza, preparación de superficie y pintado). </w:t>
      </w:r>
    </w:p>
    <w:p w14:paraId="4727C357" w14:textId="77777777" w:rsidR="002F7BBB" w:rsidRPr="002F7BBB" w:rsidRDefault="002F7BBB" w:rsidP="002F7BBB">
      <w:pPr>
        <w:pStyle w:val="NormalWeb"/>
        <w:numPr>
          <w:ilvl w:val="0"/>
          <w:numId w:val="5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Corrosión Severa / Afectación Estructural:</w:t>
      </w:r>
      <w:r w:rsidRPr="002F7BBB">
        <w:rPr>
          <w:rFonts w:asciiTheme="minorHAnsi" w:hAnsiTheme="minorHAnsi" w:cstheme="minorHAnsi"/>
          <w:sz w:val="20"/>
          <w:szCs w:val="20"/>
        </w:rPr>
        <w:t xml:space="preserve"> Pérdida avanzada de material o riesgo estructural.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>REGLA INVARIABLE:</w:t>
      </w:r>
      <w:r w:rsidRPr="002F7BBB">
        <w:rPr>
          <w:rFonts w:asciiTheme="minorHAnsi" w:hAnsiTheme="minorHAnsi" w:cstheme="minorHAnsi"/>
          <w:sz w:val="20"/>
          <w:szCs w:val="20"/>
        </w:rPr>
        <w:t xml:space="preserve"> NUNCA se manda a pintar. Se exige estrictamente el reemplazo o mantenimiento mecánico directo. </w:t>
      </w:r>
    </w:p>
    <w:p w14:paraId="5B7DBF77" w14:textId="148AEB29" w:rsidR="002F7BBB" w:rsidRPr="002F7BBB" w:rsidRDefault="002F7BBB" w:rsidP="002F7BBB">
      <w:pPr>
        <w:pStyle w:val="NormalWeb"/>
        <w:numPr>
          <w:ilvl w:val="0"/>
          <w:numId w:val="6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Criterio de Recubrimiento por Deterioro Generalizado:</w:t>
      </w:r>
      <w:r w:rsidRPr="002F7BBB">
        <w:rPr>
          <w:rFonts w:asciiTheme="minorHAnsi" w:hAnsiTheme="minorHAnsi" w:cstheme="minorHAnsi"/>
          <w:sz w:val="20"/>
          <w:szCs w:val="20"/>
        </w:rPr>
        <w:t xml:space="preserve"> Si se detecta pérdida o deterioro de pintura, corresponde una recomendación de mantenimiento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 xml:space="preserve">siempre y </w:t>
      </w:r>
      <w:proofErr w:type="spellStart"/>
      <w:r w:rsidRPr="002F7BBB">
        <w:rPr>
          <w:rFonts w:asciiTheme="minorHAnsi" w:hAnsiTheme="minorHAnsi" w:cstheme="minorHAnsi"/>
          <w:b/>
          <w:bCs/>
          <w:sz w:val="20"/>
          <w:szCs w:val="20"/>
        </w:rPr>
        <w:t>Ccuando</w:t>
      </w:r>
      <w:proofErr w:type="spellEnd"/>
      <w:r w:rsidRPr="002F7BBB">
        <w:rPr>
          <w:rFonts w:asciiTheme="minorHAnsi" w:hAnsiTheme="minorHAnsi" w:cstheme="minorHAnsi"/>
          <w:sz w:val="20"/>
          <w:szCs w:val="20"/>
        </w:rPr>
        <w:t xml:space="preserve"> la pérdida sea total o abarque una gran parte de la línea o componente.</w:t>
      </w:r>
    </w:p>
    <w:p w14:paraId="0227106D" w14:textId="77777777" w:rsidR="002F7BBB" w:rsidRPr="002F7BBB" w:rsidRDefault="002F7BBB" w:rsidP="002F7BBB">
      <w:pPr>
        <w:pStyle w:val="NormalWeb"/>
        <w:numPr>
          <w:ilvl w:val="0"/>
          <w:numId w:val="6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Regla de Vida Útil:</w:t>
      </w:r>
      <w:r w:rsidRPr="002F7BBB">
        <w:rPr>
          <w:rFonts w:asciiTheme="minorHAnsi" w:hAnsiTheme="minorHAnsi" w:cstheme="minorHAnsi"/>
          <w:sz w:val="20"/>
          <w:szCs w:val="20"/>
        </w:rPr>
        <w:t xml:space="preserve"> El informe siempre debe mostrar el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>valor real y exacto</w:t>
      </w:r>
      <w:r w:rsidRPr="002F7BBB">
        <w:rPr>
          <w:rFonts w:asciiTheme="minorHAnsi" w:hAnsiTheme="minorHAnsi" w:cstheme="minorHAnsi"/>
          <w:sz w:val="20"/>
          <w:szCs w:val="20"/>
        </w:rPr>
        <w:t xml:space="preserve"> de la vida útil calculada en el PSAIM, sin usar topes ni límites arbitrarios.</w:t>
      </w:r>
    </w:p>
    <w:p w14:paraId="2FADD10F" w14:textId="77777777" w:rsidR="002F7BBB" w:rsidRPr="002F7BBB" w:rsidRDefault="002F7BBB" w:rsidP="002F7BBB">
      <w:pPr>
        <w:pStyle w:val="Ttulo3"/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3. Flujo de Trabajo y Estructura Operativa</w:t>
      </w:r>
    </w:p>
    <w:p w14:paraId="3A39ED6A" w14:textId="77777777" w:rsidR="002F7BBB" w:rsidRPr="002F7BBB" w:rsidRDefault="002F7BBB" w:rsidP="002F7BBB">
      <w:pPr>
        <w:pStyle w:val="NormalWeb"/>
        <w:numPr>
          <w:ilvl w:val="0"/>
          <w:numId w:val="7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Insumos Compartidos con el Equipo:</w:t>
      </w:r>
      <w:r w:rsidRPr="002F7BBB">
        <w:rPr>
          <w:rFonts w:asciiTheme="minorHAnsi" w:hAnsiTheme="minorHAnsi" w:cstheme="minorHAnsi"/>
          <w:sz w:val="20"/>
          <w:szCs w:val="20"/>
        </w:rPr>
        <w:t xml:space="preserve"> El directorio de trabajo debe incluir la carpeta de scripts de automatización, la base de datos técnica de líneas (</w:t>
      </w:r>
      <w:r w:rsidRPr="002F7BBB">
        <w:rPr>
          <w:rStyle w:val="CdigoHTML"/>
          <w:rFonts w:asciiTheme="minorHAnsi" w:hAnsiTheme="minorHAnsi" w:cstheme="minorHAnsi"/>
        </w:rPr>
        <w:t>BASE_DE_DATOS_DE_LINEAS_FASE1.xlsx</w:t>
      </w:r>
      <w:r w:rsidRPr="002F7BBB">
        <w:rPr>
          <w:rFonts w:asciiTheme="minorHAnsi" w:hAnsiTheme="minorHAnsi" w:cstheme="minorHAnsi"/>
          <w:sz w:val="20"/>
          <w:szCs w:val="20"/>
        </w:rPr>
        <w:t xml:space="preserve">), las plantillas base de Word (con tablas configuradas en altura "Mínimo" para evitar espacios en blanco sobrantes) y el </w:t>
      </w:r>
      <w:proofErr w:type="spellStart"/>
      <w:r w:rsidRPr="002F7BBB">
        <w:rPr>
          <w:rFonts w:asciiTheme="minorHAnsi" w:hAnsiTheme="minorHAnsi" w:cstheme="minorHAnsi"/>
          <w:sz w:val="20"/>
          <w:szCs w:val="20"/>
        </w:rPr>
        <w:t>checklist</w:t>
      </w:r>
      <w:proofErr w:type="spellEnd"/>
      <w:r w:rsidRPr="002F7BBB">
        <w:rPr>
          <w:rFonts w:asciiTheme="minorHAnsi" w:hAnsiTheme="minorHAnsi" w:cstheme="minorHAnsi"/>
          <w:sz w:val="20"/>
          <w:szCs w:val="20"/>
        </w:rPr>
        <w:t xml:space="preserve"> VT en Excel (cuyo formato no debe alterarse para proteger las imágenes incrustadas).</w:t>
      </w:r>
    </w:p>
    <w:p w14:paraId="5B55D87E" w14:textId="77777777" w:rsidR="002F7BBB" w:rsidRPr="002F7BBB" w:rsidRDefault="002F7BBB" w:rsidP="002F7BBB">
      <w:pPr>
        <w:pStyle w:val="NormalWeb"/>
        <w:numPr>
          <w:ilvl w:val="0"/>
          <w:numId w:val="7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Ejecución con el Agente (</w:t>
      </w:r>
      <w:proofErr w:type="spellStart"/>
      <w:r w:rsidRPr="002F7BBB">
        <w:rPr>
          <w:rFonts w:asciiTheme="minorHAnsi" w:hAnsiTheme="minorHAnsi" w:cstheme="minorHAnsi"/>
          <w:b/>
          <w:bCs/>
          <w:sz w:val="20"/>
          <w:szCs w:val="20"/>
        </w:rPr>
        <w:t>Cowork</w:t>
      </w:r>
      <w:proofErr w:type="spellEnd"/>
      <w:r w:rsidRPr="002F7BBB">
        <w:rPr>
          <w:rFonts w:asciiTheme="minorHAnsi" w:hAnsiTheme="minorHAnsi" w:cstheme="minorHAnsi"/>
          <w:b/>
          <w:bCs/>
          <w:sz w:val="20"/>
          <w:szCs w:val="20"/>
        </w:rPr>
        <w:t>):</w:t>
      </w:r>
      <w:r w:rsidRPr="002F7BBB">
        <w:rPr>
          <w:rFonts w:asciiTheme="minorHAnsi" w:hAnsiTheme="minorHAnsi" w:cstheme="minorHAnsi"/>
          <w:sz w:val="20"/>
          <w:szCs w:val="20"/>
        </w:rPr>
        <w:t xml:space="preserve"> Cada vez que se procese un nuevo grupo, se alimenta al asistente con la tabla de alcance correspondiente para que </w:t>
      </w:r>
      <w:proofErr w:type="spellStart"/>
      <w:r w:rsidRPr="002F7BBB">
        <w:rPr>
          <w:rFonts w:asciiTheme="minorHAnsi" w:hAnsiTheme="minorHAnsi" w:cstheme="minorHAnsi"/>
          <w:sz w:val="20"/>
          <w:szCs w:val="20"/>
        </w:rPr>
        <w:t>cruze</w:t>
      </w:r>
      <w:proofErr w:type="spellEnd"/>
      <w:r w:rsidRPr="002F7BBB">
        <w:rPr>
          <w:rFonts w:asciiTheme="minorHAnsi" w:hAnsiTheme="minorHAnsi" w:cstheme="minorHAnsi"/>
          <w:sz w:val="20"/>
          <w:szCs w:val="20"/>
        </w:rPr>
        <w:t xml:space="preserve"> los </w:t>
      </w:r>
      <w:proofErr w:type="spellStart"/>
      <w:r w:rsidRPr="002F7BBB">
        <w:rPr>
          <w:rFonts w:asciiTheme="minorHAnsi" w:hAnsiTheme="minorHAnsi" w:cstheme="minorHAnsi"/>
          <w:sz w:val="20"/>
          <w:szCs w:val="20"/>
        </w:rPr>
        <w:t>TAGs</w:t>
      </w:r>
      <w:proofErr w:type="spellEnd"/>
      <w:r w:rsidRPr="002F7BBB">
        <w:rPr>
          <w:rFonts w:asciiTheme="minorHAnsi" w:hAnsiTheme="minorHAnsi" w:cstheme="minorHAnsi"/>
          <w:sz w:val="20"/>
          <w:szCs w:val="20"/>
        </w:rPr>
        <w:t>, calcule los valores y genere de manera autónoma los documentos finales.</w:t>
      </w:r>
    </w:p>
    <w:p w14:paraId="075F4393" w14:textId="77777777" w:rsidR="002F7BBB" w:rsidRPr="002F7BBB" w:rsidRDefault="002F7BBB" w:rsidP="002F7BBB">
      <w:pPr>
        <w:pStyle w:val="Ttulo3"/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4. Estructura de Entregables y Anexos</w:t>
      </w:r>
    </w:p>
    <w:p w14:paraId="6CB02428" w14:textId="77777777" w:rsidR="002F7BBB" w:rsidRPr="002F7BBB" w:rsidRDefault="002F7BBB" w:rsidP="002F7BBB">
      <w:pPr>
        <w:pStyle w:val="NormalWeb"/>
        <w:numPr>
          <w:ilvl w:val="0"/>
          <w:numId w:val="8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Ubicación de Hallazgos y Recomendaciones:</w:t>
      </w:r>
    </w:p>
    <w:p w14:paraId="3C6816DB" w14:textId="77777777" w:rsidR="002F7BBB" w:rsidRPr="002F7BBB" w:rsidRDefault="002F7BBB" w:rsidP="002F7BBB">
      <w:pPr>
        <w:pStyle w:val="NormalWeb"/>
        <w:numPr>
          <w:ilvl w:val="1"/>
          <w:numId w:val="8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 xml:space="preserve">En el </w:t>
      </w:r>
      <w:proofErr w:type="spellStart"/>
      <w:r w:rsidRPr="002F7BBB">
        <w:rPr>
          <w:rFonts w:asciiTheme="minorHAnsi" w:hAnsiTheme="minorHAnsi" w:cstheme="minorHAnsi"/>
          <w:b/>
          <w:bCs/>
          <w:sz w:val="20"/>
          <w:szCs w:val="20"/>
        </w:rPr>
        <w:t>Checklist</w:t>
      </w:r>
      <w:proofErr w:type="spellEnd"/>
      <w:r w:rsidRPr="002F7BBB">
        <w:rPr>
          <w:rFonts w:asciiTheme="minorHAnsi" w:hAnsiTheme="minorHAnsi" w:cstheme="minorHAnsi"/>
          <w:sz w:val="20"/>
          <w:szCs w:val="20"/>
        </w:rPr>
        <w:t xml:space="preserve">: Solo se registra la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>Recomendación</w:t>
      </w:r>
      <w:r w:rsidRPr="002F7BBB">
        <w:rPr>
          <w:rFonts w:asciiTheme="minorHAnsi" w:hAnsiTheme="minorHAnsi" w:cstheme="minorHAnsi"/>
          <w:sz w:val="20"/>
          <w:szCs w:val="20"/>
        </w:rPr>
        <w:t>.</w:t>
      </w:r>
    </w:p>
    <w:p w14:paraId="0041A103" w14:textId="77777777" w:rsidR="002F7BBB" w:rsidRPr="002F7BBB" w:rsidRDefault="002F7BBB" w:rsidP="002F7BBB">
      <w:pPr>
        <w:pStyle w:val="NormalWeb"/>
        <w:numPr>
          <w:ilvl w:val="1"/>
          <w:numId w:val="8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 xml:space="preserve">En el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>Informe</w:t>
      </w:r>
      <w:r w:rsidRPr="002F7BBB">
        <w:rPr>
          <w:rFonts w:asciiTheme="minorHAnsi" w:hAnsiTheme="minorHAnsi" w:cstheme="minorHAnsi"/>
          <w:sz w:val="20"/>
          <w:szCs w:val="20"/>
        </w:rPr>
        <w:t xml:space="preserve">: Se integran ambos mediante un formato limpio de </w:t>
      </w:r>
      <w:r w:rsidRPr="002F7BBB">
        <w:rPr>
          <w:rFonts w:asciiTheme="minorHAnsi" w:hAnsiTheme="minorHAnsi" w:cstheme="minorHAnsi"/>
          <w:b/>
          <w:bCs/>
          <w:sz w:val="20"/>
          <w:szCs w:val="20"/>
        </w:rPr>
        <w:t>2 columnas</w:t>
      </w:r>
      <w:r w:rsidRPr="002F7BBB">
        <w:rPr>
          <w:rFonts w:asciiTheme="minorHAnsi" w:hAnsiTheme="minorHAnsi" w:cstheme="minorHAnsi"/>
          <w:sz w:val="20"/>
          <w:szCs w:val="20"/>
        </w:rPr>
        <w:t xml:space="preserve"> (</w:t>
      </w:r>
      <w:r w:rsidRPr="002F7BBB">
        <w:rPr>
          <w:rStyle w:val="CdigoHTML"/>
          <w:rFonts w:asciiTheme="minorHAnsi" w:hAnsiTheme="minorHAnsi" w:cstheme="minorHAnsi"/>
        </w:rPr>
        <w:t>Condición / Hallazgo</w:t>
      </w:r>
      <w:r w:rsidRPr="002F7BBB">
        <w:rPr>
          <w:rFonts w:asciiTheme="minorHAnsi" w:hAnsiTheme="minorHAnsi" w:cstheme="minorHAnsi"/>
          <w:sz w:val="20"/>
          <w:szCs w:val="20"/>
        </w:rPr>
        <w:t xml:space="preserve"> | </w:t>
      </w:r>
      <w:r w:rsidRPr="002F7BBB">
        <w:rPr>
          <w:rStyle w:val="CdigoHTML"/>
          <w:rFonts w:asciiTheme="minorHAnsi" w:hAnsiTheme="minorHAnsi" w:cstheme="minorHAnsi"/>
        </w:rPr>
        <w:t>Recomendación Técnica Aplicable</w:t>
      </w:r>
      <w:r w:rsidRPr="002F7BBB">
        <w:rPr>
          <w:rFonts w:asciiTheme="minorHAnsi" w:hAnsiTheme="minorHAnsi" w:cstheme="minorHAnsi"/>
          <w:sz w:val="20"/>
          <w:szCs w:val="20"/>
        </w:rPr>
        <w:t xml:space="preserve">), sin etiquetas ni numeración de fotos. </w:t>
      </w:r>
    </w:p>
    <w:p w14:paraId="70CA8E35" w14:textId="77777777" w:rsidR="002F7BBB" w:rsidRPr="002F7BBB" w:rsidRDefault="002F7BBB" w:rsidP="002F7BBB">
      <w:pPr>
        <w:pStyle w:val="NormalWeb"/>
        <w:numPr>
          <w:ilvl w:val="0"/>
          <w:numId w:val="8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b/>
          <w:bCs/>
          <w:sz w:val="20"/>
          <w:szCs w:val="20"/>
        </w:rPr>
        <w:t>Distribución de Anexos:</w:t>
      </w:r>
    </w:p>
    <w:p w14:paraId="25BE8835" w14:textId="77777777" w:rsidR="002F7BBB" w:rsidRPr="002F7BBB" w:rsidRDefault="002F7BBB" w:rsidP="002F7BBB">
      <w:pPr>
        <w:pStyle w:val="NormalWeb"/>
        <w:numPr>
          <w:ilvl w:val="1"/>
          <w:numId w:val="8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Anexo A: 1 P&amp;ID general por grupo.</w:t>
      </w:r>
    </w:p>
    <w:p w14:paraId="197C3259" w14:textId="77777777" w:rsidR="002F7BBB" w:rsidRPr="002F7BBB" w:rsidRDefault="002F7BBB" w:rsidP="002F7BBB">
      <w:pPr>
        <w:pStyle w:val="NormalWeb"/>
        <w:numPr>
          <w:ilvl w:val="1"/>
          <w:numId w:val="8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Anexo B: 1 reporte completo de inspección visual por cada línea existente.</w:t>
      </w:r>
    </w:p>
    <w:p w14:paraId="4CA432AF" w14:textId="77777777" w:rsidR="002F7BBB" w:rsidRPr="002F7BBB" w:rsidRDefault="002F7BBB" w:rsidP="002F7BBB">
      <w:pPr>
        <w:pStyle w:val="NormalWeb"/>
        <w:numPr>
          <w:ilvl w:val="1"/>
          <w:numId w:val="8"/>
        </w:numPr>
        <w:spacing w:before="0" w:beforeAutospacing="0"/>
        <w:ind w:left="1276"/>
        <w:jc w:val="both"/>
        <w:rPr>
          <w:rFonts w:asciiTheme="minorHAnsi" w:hAnsiTheme="minorHAnsi" w:cstheme="minorHAnsi"/>
          <w:sz w:val="20"/>
          <w:szCs w:val="20"/>
        </w:rPr>
      </w:pPr>
      <w:r w:rsidRPr="002F7BBB">
        <w:rPr>
          <w:rFonts w:asciiTheme="minorHAnsi" w:hAnsiTheme="minorHAnsi" w:cstheme="minorHAnsi"/>
          <w:sz w:val="20"/>
          <w:szCs w:val="20"/>
        </w:rPr>
        <w:t>Anexo C: 1 reporte de ultrasonido (PSAIM) exclusivo para las líneas que posean el alcance de medición de espesores (</w:t>
      </w:r>
      <w:r w:rsidRPr="002F7BBB">
        <w:rPr>
          <w:rStyle w:val="CdigoHTML"/>
          <w:rFonts w:asciiTheme="minorHAnsi" w:hAnsiTheme="minorHAnsi" w:cstheme="minorHAnsi"/>
        </w:rPr>
        <w:t>LINEAS</w:t>
      </w:r>
      <w:r w:rsidRPr="002F7BBB">
        <w:rPr>
          <w:rFonts w:asciiTheme="minorHAnsi" w:hAnsiTheme="minorHAnsi" w:cstheme="minorHAnsi"/>
          <w:sz w:val="20"/>
          <w:szCs w:val="20"/>
        </w:rPr>
        <w:t>).</w:t>
      </w:r>
    </w:p>
    <w:p w14:paraId="5522FB0B" w14:textId="77777777" w:rsidR="006A3781" w:rsidRPr="006A3781" w:rsidRDefault="006A3781" w:rsidP="006A3781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s-PE"/>
        </w:rPr>
      </w:pPr>
    </w:p>
    <w:p w14:paraId="258981E6" w14:textId="71EAE5A7" w:rsidR="00F72CA0" w:rsidRDefault="00F72CA0"/>
    <w:sectPr w:rsidR="00F72CA0" w:rsidSect="002F7BBB">
      <w:pgSz w:w="11906" w:h="16838"/>
      <w:pgMar w:top="567" w:right="1701" w:bottom="1417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16C8"/>
    <w:multiLevelType w:val="multilevel"/>
    <w:tmpl w:val="766E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E4144"/>
    <w:multiLevelType w:val="multilevel"/>
    <w:tmpl w:val="1C5C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94DBE"/>
    <w:multiLevelType w:val="multilevel"/>
    <w:tmpl w:val="7F2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67E94"/>
    <w:multiLevelType w:val="multilevel"/>
    <w:tmpl w:val="7B8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0331C"/>
    <w:multiLevelType w:val="multilevel"/>
    <w:tmpl w:val="E56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06759"/>
    <w:multiLevelType w:val="multilevel"/>
    <w:tmpl w:val="05E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876AE"/>
    <w:multiLevelType w:val="multilevel"/>
    <w:tmpl w:val="66A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E569B"/>
    <w:multiLevelType w:val="multilevel"/>
    <w:tmpl w:val="953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81"/>
    <w:rsid w:val="002F7BBB"/>
    <w:rsid w:val="00535E7E"/>
    <w:rsid w:val="006A3781"/>
    <w:rsid w:val="00F7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ABB6B9"/>
  <w15:chartTrackingRefBased/>
  <w15:docId w15:val="{9CE945F6-4772-4193-8F0F-593A0406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B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A3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6A3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A378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6A378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6A3781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2F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F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4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493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Monthy Paifa del Aguila</dc:creator>
  <cp:keywords/>
  <dc:description/>
  <cp:lastModifiedBy>Monthy Paifa del Aguila</cp:lastModifiedBy>
  <cp:revision>5</cp:revision>
  <dcterms:created xsi:type="dcterms:W3CDTF">2026-09-16T04:26:00Z</dcterms:created>
  <dcterms:modified xsi:type="dcterms:W3CDTF">2026-09-16T05:04:00Z</dcterms:modified>
</cp:coreProperties>
</file>