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48EB4" w14:textId="77777777" w:rsidR="0000721B" w:rsidRDefault="0000721B">
      <w:pPr>
        <w:spacing w:before="1200"/>
      </w:pPr>
    </w:p>
    <w:p w14:paraId="31135D18" w14:textId="77777777" w:rsidR="0000721B" w:rsidRDefault="00A371BD">
      <w:pPr>
        <w:spacing w:after="200"/>
        <w:jc w:val="center"/>
      </w:pPr>
      <w:r>
        <w:rPr>
          <w:b/>
          <w:bCs/>
          <w:color w:val="1F4E79"/>
          <w:sz w:val="44"/>
          <w:szCs w:val="44"/>
        </w:rPr>
        <w:t>MANUAL DEL PROYECTO</w:t>
      </w:r>
    </w:p>
    <w:p w14:paraId="4EE7230E" w14:textId="77777777" w:rsidR="0000721B" w:rsidRDefault="00A371BD">
      <w:pPr>
        <w:spacing w:after="400"/>
        <w:jc w:val="center"/>
      </w:pPr>
      <w:r>
        <w:rPr>
          <w:b/>
          <w:bCs/>
          <w:sz w:val="28"/>
          <w:szCs w:val="28"/>
        </w:rPr>
        <w:t>“Plan de Líneas de Proceso” — Inspección de Integridad Mecánica</w:t>
      </w:r>
    </w:p>
    <w:p w14:paraId="1438B8EA" w14:textId="77777777" w:rsidR="0000721B" w:rsidRDefault="00A371BD">
      <w:pPr>
        <w:spacing w:after="800"/>
        <w:jc w:val="center"/>
      </w:pPr>
      <w:r>
        <w:rPr>
          <w:i/>
          <w:iCs/>
          <w:sz w:val="24"/>
          <w:szCs w:val="24"/>
        </w:rPr>
        <w:t xml:space="preserve">Guía de </w:t>
      </w:r>
      <w:proofErr w:type="spellStart"/>
      <w:r>
        <w:rPr>
          <w:i/>
          <w:iCs/>
          <w:sz w:val="24"/>
          <w:szCs w:val="24"/>
        </w:rPr>
        <w:t>handoff</w:t>
      </w:r>
      <w:proofErr w:type="spellEnd"/>
      <w:r>
        <w:rPr>
          <w:i/>
          <w:iCs/>
          <w:sz w:val="24"/>
          <w:szCs w:val="24"/>
        </w:rPr>
        <w:t xml:space="preserve"> para colaboradores y sus asistentes de IA</w:t>
      </w:r>
    </w:p>
    <w:p w14:paraId="5F1AA0E7" w14:textId="77777777" w:rsidR="0000721B" w:rsidRDefault="00A371BD">
      <w:pPr>
        <w:jc w:val="center"/>
      </w:pPr>
      <w:r>
        <w:t>Versión: 16/09/2026 (</w:t>
      </w:r>
      <w:proofErr w:type="spellStart"/>
      <w:r>
        <w:t>rev.</w:t>
      </w:r>
      <w:proofErr w:type="spellEnd"/>
      <w:r>
        <w:t xml:space="preserve"> 2)</w:t>
      </w:r>
    </w:p>
    <w:p w14:paraId="1B9BAB17" w14:textId="77777777" w:rsidR="0000721B" w:rsidRDefault="00A371BD">
      <w:pPr>
        <w:spacing w:after="1600"/>
        <w:jc w:val="center"/>
      </w:pPr>
      <w:r>
        <w:rPr>
          <w:i/>
          <w:iCs/>
          <w:color w:val="808080"/>
        </w:rPr>
        <w:t>Incluye modos de trabajo dual (5.14) y correcciones de Recomendación #1 (5.4) y numeración de Hallazgos (5.15)</w:t>
      </w:r>
    </w:p>
    <w:p w14:paraId="3DFF5DC8" w14:textId="77777777" w:rsidR="0000721B" w:rsidRDefault="00A371BD">
      <w:r>
        <w:br w:type="page"/>
      </w:r>
    </w:p>
    <w:p w14:paraId="08BDA5FD" w14:textId="77777777" w:rsidR="0000721B" w:rsidRDefault="00A371BD">
      <w:pPr>
        <w:pStyle w:val="Ttulo1"/>
        <w:spacing w:before="360" w:after="160"/>
      </w:pPr>
      <w:r>
        <w:lastRenderedPageBreak/>
        <w:t>0. Cómo usar este manual</w:t>
      </w:r>
    </w:p>
    <w:p w14:paraId="6E9596B3" w14:textId="77777777" w:rsidR="0000721B" w:rsidRDefault="00A371BD">
      <w:pPr>
        <w:spacing w:after="120"/>
      </w:pPr>
      <w:r>
        <w:t>Este documento existe para que cualquier persona —o cualquier asistente de IA, sea o no Claude— pueda tomar este proye</w:t>
      </w:r>
      <w:r>
        <w:t>cto y elaborar un informe “Plan de Líneas de Proceso” sin haber visto ninguna conversación previa. Es un resumen de referencia, organizado por tema, no por fecha.</w:t>
      </w:r>
    </w:p>
    <w:p w14:paraId="7BC34F47" w14:textId="77777777" w:rsidR="0000721B" w:rsidRDefault="00A371BD">
      <w:pPr>
        <w:spacing w:after="120"/>
      </w:pPr>
      <w:r>
        <w:t>Si necesitas el historial completo —cómo se llegó a cada regla, qué casos reales la confirmar</w:t>
      </w:r>
      <w:r>
        <w:t xml:space="preserve">on— ese detalle vive en </w:t>
      </w:r>
      <w:proofErr w:type="spellStart"/>
      <w:r>
        <w:rPr>
          <w:b/>
          <w:bCs/>
        </w:rPr>
        <w:t>claude</w:t>
      </w:r>
      <w:proofErr w:type="spellEnd"/>
      <w:r>
        <w:rPr>
          <w:b/>
          <w:bCs/>
        </w:rPr>
        <w:t>/analisis-estructura-informe-y-plan-automatizacion.md</w:t>
      </w:r>
      <w:r>
        <w:t>, dentro del Proyecto de Claude “INFORMES PLAN DE LÍNEAS”. Ese documento es la fuente de verdad cronológica; este manual es su resumen operativo.</w:t>
      </w:r>
    </w:p>
    <w:p w14:paraId="0EC5598C" w14:textId="77777777" w:rsidR="0000721B" w:rsidRDefault="00A371BD">
      <w:pPr>
        <w:spacing w:after="120"/>
      </w:pPr>
      <w:r>
        <w:t>Recomendación de lectura se</w:t>
      </w:r>
      <w:r>
        <w:t>gún tu rol:</w:t>
      </w:r>
    </w:p>
    <w:p w14:paraId="440901FD" w14:textId="77777777" w:rsidR="0000721B" w:rsidRDefault="00A371BD">
      <w:pPr>
        <w:pStyle w:val="Prrafodelista"/>
        <w:numPr>
          <w:ilvl w:val="0"/>
          <w:numId w:val="1"/>
        </w:numPr>
        <w:spacing w:after="80"/>
      </w:pPr>
      <w:r>
        <w:t>Si vas a correr el script tal cual: lee las secciones 1 a 4 y el apéndice 7.</w:t>
      </w:r>
    </w:p>
    <w:p w14:paraId="289E0E3E" w14:textId="77777777" w:rsidR="0000721B" w:rsidRDefault="00A371BD">
      <w:pPr>
        <w:pStyle w:val="Prrafodelista"/>
        <w:numPr>
          <w:ilvl w:val="0"/>
          <w:numId w:val="1"/>
        </w:numPr>
        <w:spacing w:after="80"/>
      </w:pPr>
      <w:r>
        <w:t>Si vas a redactar Hallazgos y Recomendaciones (con o sin IA): lee la sección 5.5 con atención —es la más importante del manual.</w:t>
      </w:r>
    </w:p>
    <w:p w14:paraId="5295375D" w14:textId="77777777" w:rsidR="0000721B" w:rsidRDefault="00A371BD">
      <w:pPr>
        <w:pStyle w:val="Prrafodelista"/>
        <w:numPr>
          <w:ilvl w:val="0"/>
          <w:numId w:val="1"/>
        </w:numPr>
        <w:spacing w:after="80"/>
      </w:pPr>
      <w:r>
        <w:t xml:space="preserve">Si algo no cuadra con lo que ves en un </w:t>
      </w:r>
      <w:r>
        <w:t>informe real ya entregado: revisa primero la sección 6 (limitaciones conocidas) y la 9 (estado de los documentos rectores).</w:t>
      </w:r>
    </w:p>
    <w:p w14:paraId="4179D8A1" w14:textId="77777777" w:rsidR="0000721B" w:rsidRDefault="00A371BD">
      <w:pPr>
        <w:pStyle w:val="Prrafodelista"/>
        <w:numPr>
          <w:ilvl w:val="0"/>
          <w:numId w:val="1"/>
        </w:numPr>
        <w:spacing w:after="80"/>
      </w:pPr>
      <w:r>
        <w:t>Si tu asistente de IA NO tiene un puente al computador del usuario (solo chat, sin poder leer/escribir carpetas): lee la sección 5.1</w:t>
      </w:r>
      <w:r>
        <w:t>4 antes de pedir o entregar ningún archivo.</w:t>
      </w:r>
    </w:p>
    <w:p w14:paraId="7A787D43" w14:textId="77777777" w:rsidR="0000721B" w:rsidRDefault="00A371BD">
      <w:pPr>
        <w:pStyle w:val="Ttulo1"/>
        <w:spacing w:before="360" w:after="160"/>
      </w:pPr>
      <w:r>
        <w:t>1. Organización de la carpeta del proyecto</w:t>
      </w:r>
    </w:p>
    <w:p w14:paraId="7B6A7F4D" w14:textId="77777777" w:rsidR="0000721B" w:rsidRDefault="00A371BD">
      <w:pPr>
        <w:spacing w:after="120"/>
      </w:pPr>
      <w:r>
        <w:t>Todo el proyecto vive en una carpeta raíz “POYECTO PLAN DE LINEAS” que normalmente se comparte en un USB físico (Windows la monta con letras distintas según la computado</w:t>
      </w:r>
      <w:r>
        <w:t>ra: F:\, D:\, etc. —nunca asumas la letra, verifica cada vez). Subcarpetas:</w:t>
      </w:r>
    </w:p>
    <w:p w14:paraId="3FA2B8DD" w14:textId="77777777" w:rsidR="0000721B" w:rsidRDefault="00A371BD">
      <w:pPr>
        <w:pStyle w:val="Prrafodelista"/>
        <w:numPr>
          <w:ilvl w:val="0"/>
          <w:numId w:val="1"/>
        </w:numPr>
        <w:spacing w:after="80"/>
      </w:pPr>
      <w:r>
        <w:rPr>
          <w:b/>
          <w:bCs/>
        </w:rPr>
        <w:t>_scripts\</w:t>
      </w:r>
      <w:proofErr w:type="spellStart"/>
      <w:r>
        <w:rPr>
          <w:b/>
          <w:bCs/>
        </w:rPr>
        <w:t>generar_informe</w:t>
      </w:r>
      <w:proofErr w:type="spellEnd"/>
      <w:r>
        <w:rPr>
          <w:b/>
          <w:bCs/>
        </w:rPr>
        <w:t>\</w:t>
      </w:r>
      <w:r>
        <w:t xml:space="preserve"> — el pipeline completo en Python (ver sección 2 y el apéndice 7). Incluye </w:t>
      </w:r>
      <w:proofErr w:type="spellStart"/>
      <w:r>
        <w:rPr>
          <w:b/>
          <w:bCs/>
        </w:rPr>
        <w:t>assets</w:t>
      </w:r>
      <w:proofErr w:type="spellEnd"/>
      <w:r>
        <w:rPr>
          <w:b/>
          <w:bCs/>
        </w:rPr>
        <w:t>\plantilla_base.docx</w:t>
      </w:r>
      <w:r>
        <w:t xml:space="preserve">, la plantilla Word que el script </w:t>
      </w:r>
      <w:proofErr w:type="spellStart"/>
      <w:r>
        <w:t>patchea</w:t>
      </w:r>
      <w:proofErr w:type="spellEnd"/>
      <w:r>
        <w:t>.</w:t>
      </w:r>
    </w:p>
    <w:p w14:paraId="609AD4EB" w14:textId="77777777" w:rsidR="0000721B" w:rsidRDefault="00A371BD">
      <w:pPr>
        <w:pStyle w:val="Prrafodelista"/>
        <w:numPr>
          <w:ilvl w:val="0"/>
          <w:numId w:val="1"/>
        </w:numPr>
        <w:spacing w:after="80"/>
      </w:pPr>
      <w:r>
        <w:rPr>
          <w:b/>
          <w:bCs/>
        </w:rPr>
        <w:t>COMPLEMENTO</w:t>
      </w:r>
      <w:r>
        <w:rPr>
          <w:b/>
          <w:bCs/>
        </w:rPr>
        <w:t>\</w:t>
      </w:r>
      <w:r>
        <w:t xml:space="preserve"> — los documentos rectores: el POE, </w:t>
      </w:r>
      <w:r>
        <w:rPr>
          <w:b/>
          <w:bCs/>
        </w:rPr>
        <w:t>ROL_Y_OBJETIVO.REV2.txt</w:t>
      </w:r>
      <w:r>
        <w:t xml:space="preserve"> (el </w:t>
      </w:r>
      <w:proofErr w:type="spellStart"/>
      <w:r>
        <w:t>prompt</w:t>
      </w:r>
      <w:proofErr w:type="spellEnd"/>
      <w:r>
        <w:t xml:space="preserve"> operativo vigente del motor de redacción), el COMPENDIO TÉCNICO UNIFICADO REV.1 (banco de frases por componente), un ejemplo real de “informe complementario”, y 2 imágenes de referenci</w:t>
      </w:r>
      <w:r>
        <w:t>a (mecanismos de daño, intervalos de inspección).</w:t>
      </w:r>
    </w:p>
    <w:p w14:paraId="2EE72505" w14:textId="77777777" w:rsidR="0000721B" w:rsidRDefault="00A371BD">
      <w:pPr>
        <w:pStyle w:val="Prrafodelista"/>
        <w:numPr>
          <w:ilvl w:val="0"/>
          <w:numId w:val="1"/>
        </w:numPr>
        <w:spacing w:after="80"/>
      </w:pPr>
      <w:r>
        <w:rPr>
          <w:b/>
          <w:bCs/>
        </w:rPr>
        <w:t>BASE_DE_DATOS_DE_LINEAS_FASE1.xlsx</w:t>
      </w:r>
      <w:r>
        <w:t xml:space="preserve"> (raíz) — inventario técnico completo de la refinería: ~14,500 líneas, compartido entre todos los grupos. No trae código SAP; el cruce es por TAG.</w:t>
      </w:r>
    </w:p>
    <w:p w14:paraId="74840F00" w14:textId="77777777" w:rsidR="0000721B" w:rsidRDefault="00A371BD">
      <w:pPr>
        <w:pStyle w:val="Prrafodelista"/>
        <w:numPr>
          <w:ilvl w:val="0"/>
          <w:numId w:val="1"/>
        </w:numPr>
        <w:spacing w:after="80"/>
      </w:pPr>
      <w:r>
        <w:t>Una carpeta por grupo/inf</w:t>
      </w:r>
      <w:r>
        <w:t xml:space="preserve">orme (ej. </w:t>
      </w:r>
      <w:r>
        <w:rPr>
          <w:b/>
          <w:bCs/>
        </w:rPr>
        <w:t>ADEMINSAC-FIAB-RLP-1018-2026\</w:t>
      </w:r>
      <w:r>
        <w:t xml:space="preserve">), cada una con subcarpetas </w:t>
      </w:r>
      <w:r>
        <w:rPr>
          <w:b/>
          <w:bCs/>
        </w:rPr>
        <w:t>EDITABLE\</w:t>
      </w:r>
      <w:r>
        <w:t xml:space="preserve"> (el .docx/.</w:t>
      </w:r>
      <w:proofErr w:type="spellStart"/>
      <w:r>
        <w:t>pdf</w:t>
      </w:r>
      <w:proofErr w:type="spellEnd"/>
      <w:r>
        <w:t xml:space="preserve"> del informe y el </w:t>
      </w:r>
      <w:proofErr w:type="spellStart"/>
      <w:r>
        <w:t>checklist</w:t>
      </w:r>
      <w:proofErr w:type="spellEnd"/>
      <w:r>
        <w:t xml:space="preserve"> .xlsx) y </w:t>
      </w:r>
      <w:r>
        <w:rPr>
          <w:b/>
          <w:bCs/>
        </w:rPr>
        <w:t>PDF\</w:t>
      </w:r>
      <w:r>
        <w:t xml:space="preserve"> (contenido de los anexos).</w:t>
      </w:r>
    </w:p>
    <w:p w14:paraId="09405935" w14:textId="77777777" w:rsidR="0000721B" w:rsidRDefault="00A371BD">
      <w:pPr>
        <w:spacing w:after="120"/>
      </w:pPr>
      <w:r>
        <w:t xml:space="preserve">Regla de entrega: todo el trabajo se guarda directamente sobre los archivos reales dentro de la </w:t>
      </w:r>
      <w:r>
        <w:t>carpeta del grupo correspondiente (EDITABLE\, PDF\) — nunca se crean subcarpetas nuevas de “entregables” salvo que no exista todavía una estructura EDITABLE\/PDF\ para ese grupo (ver sección 5.13).</w:t>
      </w:r>
    </w:p>
    <w:p w14:paraId="04AAF071" w14:textId="77777777" w:rsidR="0000721B" w:rsidRDefault="00A371BD">
      <w:pPr>
        <w:pStyle w:val="Ttulo1"/>
        <w:spacing w:before="360" w:after="160"/>
      </w:pPr>
      <w:r>
        <w:t>2. Qué hace el script generar_informe.py</w:t>
      </w:r>
    </w:p>
    <w:p w14:paraId="2CD6DCA5" w14:textId="77777777" w:rsidR="0000721B" w:rsidRDefault="00A371BD">
      <w:pPr>
        <w:spacing w:after="120"/>
      </w:pPr>
      <w:r>
        <w:t>Es un pipeline que, a partir de los insumos de un grupo (sección 3), genera de forma autónoma: el informe .docx/.</w:t>
      </w:r>
      <w:proofErr w:type="spellStart"/>
      <w:r>
        <w:t>pdf</w:t>
      </w:r>
      <w:proofErr w:type="spellEnd"/>
      <w:r>
        <w:t xml:space="preserve"> completo, el </w:t>
      </w:r>
      <w:proofErr w:type="spellStart"/>
      <w:r>
        <w:t>checklist</w:t>
      </w:r>
      <w:proofErr w:type="spellEnd"/>
      <w:r>
        <w:t xml:space="preserve"> .xlsx con las Recomendaciones ya insertadas, y los PDF separadores de cada anexo. Corre 3 pasos independientes entre</w:t>
      </w:r>
      <w:r>
        <w:t xml:space="preserve"> sí (si uno falla por falta de un insumo, los otros igual se intentan):</w:t>
      </w:r>
    </w:p>
    <w:p w14:paraId="49DB6541" w14:textId="77777777" w:rsidR="0000721B" w:rsidRDefault="00A371BD">
      <w:pPr>
        <w:pStyle w:val="Prrafodelista"/>
        <w:numPr>
          <w:ilvl w:val="0"/>
          <w:numId w:val="1"/>
        </w:numPr>
        <w:spacing w:after="80"/>
      </w:pPr>
      <w:r>
        <w:t>Informe: cruza cada línea contra el inventario técnico y el PSAIM, y llena las tablas SUMARIO, RECOMENDACIONES, CARACTERÍSTICAS DE LA LÍNEA (7.0), MECANISMO DE DAÑO (8.0) y CIRCUITO/LÍ</w:t>
      </w:r>
      <w:r>
        <w:t>NEA (9.0).</w:t>
      </w:r>
    </w:p>
    <w:p w14:paraId="00C85B1D" w14:textId="77777777" w:rsidR="0000721B" w:rsidRDefault="00A371BD">
      <w:pPr>
        <w:pStyle w:val="Prrafodelista"/>
        <w:numPr>
          <w:ilvl w:val="0"/>
          <w:numId w:val="1"/>
        </w:numPr>
        <w:spacing w:after="80"/>
      </w:pPr>
      <w:proofErr w:type="spellStart"/>
      <w:r>
        <w:t>Checklist</w:t>
      </w:r>
      <w:proofErr w:type="spellEnd"/>
      <w:r>
        <w:t>: reemplaza la celda “Comentario” de cada ítem observado/rechazado por la Recomendación final, sin tocar las fotos incrustadas.</w:t>
      </w:r>
    </w:p>
    <w:p w14:paraId="215C1B9D" w14:textId="77777777" w:rsidR="0000721B" w:rsidRDefault="00A371BD">
      <w:pPr>
        <w:pStyle w:val="Prrafodelista"/>
        <w:numPr>
          <w:ilvl w:val="0"/>
          <w:numId w:val="1"/>
        </w:numPr>
        <w:spacing w:after="80"/>
      </w:pPr>
      <w:r>
        <w:t>Anexos: arma la página separadora de cada Anexo (A/B/C) con el TAG correcto y la deja lista para fusionar co</w:t>
      </w:r>
      <w:r>
        <w:t xml:space="preserve">n el contenido real cuando llegue (P&amp;ID, isométricos, </w:t>
      </w:r>
      <w:proofErr w:type="spellStart"/>
      <w:r>
        <w:t>checklist</w:t>
      </w:r>
      <w:proofErr w:type="spellEnd"/>
      <w:r>
        <w:t xml:space="preserve"> en PDF, PSAIM en PDF).</w:t>
      </w:r>
    </w:p>
    <w:p w14:paraId="659C12BA" w14:textId="77777777" w:rsidR="0000721B" w:rsidRDefault="00A371BD">
      <w:pPr>
        <w:spacing w:after="120"/>
      </w:pPr>
      <w:r>
        <w:t xml:space="preserve">Uso básico: armar un </w:t>
      </w:r>
      <w:proofErr w:type="spellStart"/>
      <w:proofErr w:type="gramStart"/>
      <w:r>
        <w:t>config.json</w:t>
      </w:r>
      <w:proofErr w:type="spellEnd"/>
      <w:proofErr w:type="gramEnd"/>
      <w:r>
        <w:t xml:space="preserve"> por grupo (ver </w:t>
      </w:r>
      <w:proofErr w:type="spellStart"/>
      <w:r>
        <w:t>config_ejemplo.json</w:t>
      </w:r>
      <w:proofErr w:type="spellEnd"/>
      <w:r>
        <w:t xml:space="preserve"> y el apéndice 7) y correr “python3 generar_informe.py config_GT-0XX.json”. El README.md dentro de la </w:t>
      </w:r>
      <w:r>
        <w:t xml:space="preserve">carpeta del script documenta los </w:t>
      </w:r>
      <w:proofErr w:type="spellStart"/>
      <w:r>
        <w:t>flags</w:t>
      </w:r>
      <w:proofErr w:type="spellEnd"/>
      <w:r>
        <w:t xml:space="preserve"> disponibles (ej. --solo informe para reprocesar sin rehacer </w:t>
      </w:r>
      <w:proofErr w:type="spellStart"/>
      <w:r>
        <w:t>checklist</w:t>
      </w:r>
      <w:proofErr w:type="spellEnd"/>
      <w:r>
        <w:t>/anexos).</w:t>
      </w:r>
    </w:p>
    <w:p w14:paraId="2F8753DC" w14:textId="77777777" w:rsidR="0000721B" w:rsidRDefault="00A371BD">
      <w:pPr>
        <w:pStyle w:val="Ttulo1"/>
        <w:spacing w:before="360" w:after="160"/>
      </w:pPr>
      <w:r>
        <w:t>3. Insumos necesarios para un grupo nuevo</w:t>
      </w:r>
    </w:p>
    <w:p w14:paraId="75A8D877" w14:textId="77777777" w:rsidR="0000721B" w:rsidRDefault="00A371BD">
      <w:pPr>
        <w:spacing w:after="120"/>
      </w:pPr>
      <w:r>
        <w:lastRenderedPageBreak/>
        <w:t>Lo que el usuario/colaborador debe proporcionar por cada grupo nuevo:</w:t>
      </w:r>
    </w:p>
    <w:p w14:paraId="69853A40" w14:textId="77777777" w:rsidR="0000721B" w:rsidRDefault="00A371BD">
      <w:pPr>
        <w:pStyle w:val="Prrafodelista"/>
        <w:numPr>
          <w:ilvl w:val="0"/>
          <w:numId w:val="1"/>
        </w:numPr>
        <w:spacing w:after="80"/>
      </w:pPr>
      <w:r>
        <w:rPr>
          <w:b/>
          <w:bCs/>
        </w:rPr>
        <w:t>El alcance</w:t>
      </w:r>
      <w:r>
        <w:t xml:space="preserve">: tabla con </w:t>
      </w:r>
      <w:proofErr w:type="spellStart"/>
      <w:r>
        <w:t>Item</w:t>
      </w:r>
      <w:proofErr w:type="spellEnd"/>
      <w:r>
        <w:t>, Unidad, Líneas (TAG), Código de informe, Grupo de tuberías, SAP y Alcance (LINEAS = VT+UT —medición de espesores—, o VT-CIRCUITOS = solo inspección visual). El Alcance por línea determina cuántos Anexos C salen.</w:t>
      </w:r>
    </w:p>
    <w:p w14:paraId="37188E2E" w14:textId="77777777" w:rsidR="0000721B" w:rsidRDefault="00A371BD">
      <w:pPr>
        <w:pStyle w:val="Prrafodelista"/>
        <w:numPr>
          <w:ilvl w:val="0"/>
          <w:numId w:val="1"/>
        </w:numPr>
        <w:spacing w:after="80"/>
      </w:pPr>
      <w:proofErr w:type="spellStart"/>
      <w:r>
        <w:rPr>
          <w:b/>
          <w:bCs/>
        </w:rPr>
        <w:t>Checklist</w:t>
      </w:r>
      <w:proofErr w:type="spellEnd"/>
      <w:r>
        <w:rPr>
          <w:b/>
          <w:bCs/>
        </w:rPr>
        <w:t xml:space="preserve"> VT lleno</w:t>
      </w:r>
      <w:r>
        <w:t xml:space="preserve"> (.xlsx, formato AD-UN05</w:t>
      </w:r>
      <w:r>
        <w:t>-TL-TUB-VT): un ITEM observado/rechazado con foto pegada + descripción de campo. Puede llegar de 2 formas distintas —ver sección 5.6.</w:t>
      </w:r>
    </w:p>
    <w:p w14:paraId="441347E3" w14:textId="77777777" w:rsidR="0000721B" w:rsidRDefault="00A371BD">
      <w:pPr>
        <w:pStyle w:val="Prrafodelista"/>
        <w:numPr>
          <w:ilvl w:val="0"/>
          <w:numId w:val="1"/>
        </w:numPr>
        <w:spacing w:after="80"/>
      </w:pPr>
      <w:r>
        <w:rPr>
          <w:b/>
          <w:bCs/>
        </w:rPr>
        <w:t>PSAIM</w:t>
      </w:r>
      <w:r>
        <w:t xml:space="preserve"> (solo para líneas Alcance = LINEAS): usar SIEMPRE la versión con la tabla de detalle por TML (columna “TML Vida útil”), nunca la versión resumen tipo “... DATOS.xlsx” que solo trae el dato de cabecera.</w:t>
      </w:r>
    </w:p>
    <w:p w14:paraId="32B9ACC0" w14:textId="77777777" w:rsidR="0000721B" w:rsidRDefault="00A371BD">
      <w:pPr>
        <w:pStyle w:val="Prrafodelista"/>
        <w:numPr>
          <w:ilvl w:val="0"/>
          <w:numId w:val="1"/>
        </w:numPr>
        <w:spacing w:after="80"/>
      </w:pPr>
      <w:r>
        <w:rPr>
          <w:b/>
          <w:bCs/>
        </w:rPr>
        <w:t>Contenido de los anexos</w:t>
      </w:r>
      <w:r>
        <w:t xml:space="preserve"> (carpeta PDF\, sin los separa</w:t>
      </w:r>
      <w:r>
        <w:t>dores —esos los arma el script): P&amp;ID marcado del grupo (Anexo A), isométricos + reporte VT por línea (Anexo B), reporte de ultrasonido/PSAIM por línea con Alcance = LINEAS (Anexo C).</w:t>
      </w:r>
    </w:p>
    <w:p w14:paraId="18252110" w14:textId="77777777" w:rsidR="0000721B" w:rsidRDefault="00A371BD">
      <w:pPr>
        <w:pStyle w:val="Prrafodelista"/>
        <w:numPr>
          <w:ilvl w:val="0"/>
          <w:numId w:val="1"/>
        </w:numPr>
        <w:spacing w:after="80"/>
      </w:pPr>
      <w:r>
        <w:rPr>
          <w:b/>
          <w:bCs/>
        </w:rPr>
        <w:t>Fecha de inspección y examinadores</w:t>
      </w:r>
      <w:r>
        <w:t>: normalmente ya vienen en la cabecera</w:t>
      </w:r>
      <w:r>
        <w:t xml:space="preserve"> de cada hoja del </w:t>
      </w:r>
      <w:proofErr w:type="spellStart"/>
      <w:r>
        <w:t>checklist</w:t>
      </w:r>
      <w:proofErr w:type="spellEnd"/>
      <w:r>
        <w:t>, o en la columna correspondiente del listado de alcance —no hace falta pedirlos aparte, salvo quién elaboró el informe (ver 5.10).</w:t>
      </w:r>
    </w:p>
    <w:p w14:paraId="63721816" w14:textId="77777777" w:rsidR="0000721B" w:rsidRDefault="00A371BD">
      <w:pPr>
        <w:spacing w:after="120"/>
      </w:pPr>
      <w:r>
        <w:t>El script tolera insumos incompletos: si falta el PSAIM de una línea, esa línea queda con “PENDIE</w:t>
      </w:r>
      <w:r>
        <w:t>NTE (falta el reporte PSAIM de esta línea)” y el resto del informe se genera igual; si faltan P&amp;ID/isométricos, el paso de anexos simplemente se salta con un aviso.</w:t>
      </w:r>
    </w:p>
    <w:p w14:paraId="2B12E374" w14:textId="77777777" w:rsidR="0000721B" w:rsidRDefault="00A371BD">
      <w:pPr>
        <w:pStyle w:val="Ttulo1"/>
        <w:spacing w:before="360" w:after="160"/>
      </w:pPr>
      <w:r>
        <w:t>4. Flujo de trabajo paso a paso</w:t>
      </w:r>
    </w:p>
    <w:p w14:paraId="0EAC9C5B" w14:textId="77777777" w:rsidR="0000721B" w:rsidRDefault="00A371BD">
      <w:pPr>
        <w:pStyle w:val="Prrafodelista"/>
        <w:numPr>
          <w:ilvl w:val="0"/>
          <w:numId w:val="1"/>
        </w:numPr>
        <w:spacing w:after="80"/>
      </w:pPr>
      <w:r>
        <w:t xml:space="preserve">1. Recibir el alcance del grupo y armar/actualizar el </w:t>
      </w:r>
      <w:proofErr w:type="spellStart"/>
      <w:proofErr w:type="gramStart"/>
      <w:r>
        <w:t>confi</w:t>
      </w:r>
      <w:r>
        <w:t>g.json</w:t>
      </w:r>
      <w:proofErr w:type="spellEnd"/>
      <w:proofErr w:type="gramEnd"/>
      <w:r>
        <w:t>.</w:t>
      </w:r>
    </w:p>
    <w:p w14:paraId="0EF6FFEA" w14:textId="77777777" w:rsidR="0000721B" w:rsidRDefault="00A371BD">
      <w:pPr>
        <w:pStyle w:val="Prrafodelista"/>
        <w:numPr>
          <w:ilvl w:val="0"/>
          <w:numId w:val="1"/>
        </w:numPr>
        <w:spacing w:after="80"/>
      </w:pPr>
      <w:r>
        <w:t>2. Correr el script con los insumos disponibles (aunque falten PSAIM/anexos/</w:t>
      </w:r>
      <w:proofErr w:type="spellStart"/>
      <w:r>
        <w:t>checklists</w:t>
      </w:r>
      <w:proofErr w:type="spellEnd"/>
      <w:r>
        <w:t xml:space="preserve"> de algunas líneas —el resultado sale marcado “PENDIENTE” donde falte dato real, nunca inventado).</w:t>
      </w:r>
    </w:p>
    <w:p w14:paraId="34C477F8" w14:textId="77777777" w:rsidR="0000721B" w:rsidRDefault="00A371BD">
      <w:pPr>
        <w:pStyle w:val="Prrafodelista"/>
        <w:numPr>
          <w:ilvl w:val="0"/>
          <w:numId w:val="1"/>
        </w:numPr>
        <w:spacing w:after="80"/>
      </w:pPr>
      <w:r>
        <w:t xml:space="preserve">3. Redactar Hallazgo/Recomendación de cada línea con </w:t>
      </w:r>
      <w:proofErr w:type="spellStart"/>
      <w:r>
        <w:t>checklist</w:t>
      </w:r>
      <w:proofErr w:type="spellEnd"/>
      <w:r>
        <w:t xml:space="preserve"> </w:t>
      </w:r>
      <w:r>
        <w:t xml:space="preserve">disponible, siguiendo la sección 5.5 (o consolidando si el </w:t>
      </w:r>
      <w:proofErr w:type="spellStart"/>
      <w:r>
        <w:t>checklist</w:t>
      </w:r>
      <w:proofErr w:type="spellEnd"/>
      <w:r>
        <w:t xml:space="preserve"> ya trae el texto final, sección 5.6).</w:t>
      </w:r>
    </w:p>
    <w:p w14:paraId="703B3544" w14:textId="77777777" w:rsidR="0000721B" w:rsidRDefault="00A371BD">
      <w:pPr>
        <w:pStyle w:val="Prrafodelista"/>
        <w:numPr>
          <w:ilvl w:val="0"/>
          <w:numId w:val="1"/>
        </w:numPr>
        <w:spacing w:after="80"/>
      </w:pPr>
      <w:r>
        <w:t xml:space="preserve">4. Revisar visualmente el PDF resultante página por página antes de considerar el informe como entregable: numeración de Recomendaciones reiniciando </w:t>
      </w:r>
      <w:r>
        <w:t>por línea, sin texto cortado, sin residuos de la plantilla base (códigos de grupo/informe de otro caso).</w:t>
      </w:r>
    </w:p>
    <w:p w14:paraId="2A77592E" w14:textId="77777777" w:rsidR="0000721B" w:rsidRDefault="00A371BD">
      <w:pPr>
        <w:pStyle w:val="Prrafodelista"/>
        <w:numPr>
          <w:ilvl w:val="0"/>
          <w:numId w:val="1"/>
        </w:numPr>
        <w:spacing w:after="80"/>
      </w:pPr>
      <w:r>
        <w:t>5. Guardar directamente sobre los archivos reales del grupo (EDITABLE\, PDF\) —ver reglas de entrega en 5.13.</w:t>
      </w:r>
    </w:p>
    <w:p w14:paraId="3FA50DB5" w14:textId="77777777" w:rsidR="0000721B" w:rsidRDefault="00A371BD">
      <w:pPr>
        <w:pStyle w:val="Prrafodelista"/>
        <w:numPr>
          <w:ilvl w:val="0"/>
          <w:numId w:val="1"/>
        </w:numPr>
        <w:spacing w:after="80"/>
      </w:pPr>
      <w:r>
        <w:t>6. Cuando lleguen insumos que faltaban (</w:t>
      </w:r>
      <w:proofErr w:type="spellStart"/>
      <w:r>
        <w:t>c</w:t>
      </w:r>
      <w:r>
        <w:t>hecklist</w:t>
      </w:r>
      <w:proofErr w:type="spellEnd"/>
      <w:r>
        <w:t xml:space="preserve"> de una línea, PSAIM, P&amp;ID), volver a correr el paso correspondiente del script (--solo informe / --solo </w:t>
      </w:r>
      <w:proofErr w:type="spellStart"/>
      <w:r>
        <w:t>checklist</w:t>
      </w:r>
      <w:proofErr w:type="spellEnd"/>
      <w:r>
        <w:t xml:space="preserve"> / --solo anexos) sin rehacer lo que ya estaba completo.</w:t>
      </w:r>
    </w:p>
    <w:p w14:paraId="3A0BA3FC" w14:textId="77777777" w:rsidR="0000721B" w:rsidRDefault="00A371BD">
      <w:pPr>
        <w:pStyle w:val="Prrafodelista"/>
        <w:numPr>
          <w:ilvl w:val="0"/>
          <w:numId w:val="1"/>
        </w:numPr>
        <w:spacing w:after="80"/>
      </w:pPr>
      <w:r>
        <w:t xml:space="preserve">7. Antes de dar el informe por definitivo, pasar el </w:t>
      </w:r>
      <w:proofErr w:type="spellStart"/>
      <w:r>
        <w:t>checklist</w:t>
      </w:r>
      <w:proofErr w:type="spellEnd"/>
      <w:r>
        <w:t xml:space="preserve"> de la sección 8</w:t>
      </w:r>
      <w:r>
        <w:t>.</w:t>
      </w:r>
    </w:p>
    <w:p w14:paraId="6B9EBC1B" w14:textId="77777777" w:rsidR="0000721B" w:rsidRDefault="00A371BD">
      <w:pPr>
        <w:pStyle w:val="Ttulo1"/>
        <w:spacing w:before="360" w:after="160"/>
      </w:pPr>
      <w:r>
        <w:t>5. Reglas de negocio</w:t>
      </w:r>
    </w:p>
    <w:p w14:paraId="43A3558A" w14:textId="77777777" w:rsidR="0000721B" w:rsidRDefault="00A371BD">
      <w:pPr>
        <w:spacing w:after="120"/>
      </w:pPr>
      <w:r>
        <w:t>Esta es la sección más importante del manual. Son las reglas que un asistente de IA distinto de Claude necesita conocer para no reinventar el criterio desde cero.</w:t>
      </w:r>
    </w:p>
    <w:p w14:paraId="6C15612D" w14:textId="77777777" w:rsidR="0000721B" w:rsidRDefault="00A371BD">
      <w:pPr>
        <w:pStyle w:val="Ttulo2"/>
        <w:spacing w:before="240" w:after="120"/>
      </w:pPr>
      <w:r>
        <w:t xml:space="preserve">5.1 </w:t>
      </w:r>
      <w:proofErr w:type="spellStart"/>
      <w:r>
        <w:t>Patch</w:t>
      </w:r>
      <w:proofErr w:type="spellEnd"/>
      <w:r>
        <w:t xml:space="preserve"> directo sobre </w:t>
      </w:r>
      <w:proofErr w:type="spellStart"/>
      <w:r>
        <w:t>el</w:t>
      </w:r>
      <w:proofErr w:type="spellEnd"/>
      <w:r>
        <w:t xml:space="preserve"> .docx real — nunca reconstrucción desde cer</w:t>
      </w:r>
      <w:r>
        <w:t>o</w:t>
      </w:r>
    </w:p>
    <w:p w14:paraId="0B3DF795" w14:textId="77777777" w:rsidR="0000721B" w:rsidRDefault="00A371BD">
      <w:pPr>
        <w:spacing w:after="120"/>
      </w:pPr>
      <w:r>
        <w:t>El informe SIEMPRE se genera modificando (“</w:t>
      </w:r>
      <w:proofErr w:type="spellStart"/>
      <w:r>
        <w:t>patcheando</w:t>
      </w:r>
      <w:proofErr w:type="spellEnd"/>
      <w:r>
        <w:t>”) un .docx real existente —la plantilla base o un informe anterior ya entregado—, nunca reconstruyéndolo desde cero con una librería de generación de documentos. Reconstruir desde cero pierde estilos,</w:t>
      </w:r>
      <w:r>
        <w:t xml:space="preserve"> temas de color, numeración y el formato exacto que el cliente (Repsol) espera. La técnica de </w:t>
      </w:r>
      <w:proofErr w:type="spellStart"/>
      <w:r>
        <w:t>patch</w:t>
      </w:r>
      <w:proofErr w:type="spellEnd"/>
      <w:r>
        <w:t xml:space="preserve"> usa </w:t>
      </w:r>
      <w:proofErr w:type="spellStart"/>
      <w:r>
        <w:t>python</w:t>
      </w:r>
      <w:proofErr w:type="spellEnd"/>
      <w:r>
        <w:t xml:space="preserve">-docx + </w:t>
      </w:r>
      <w:proofErr w:type="spellStart"/>
      <w:r>
        <w:t>lxml</w:t>
      </w:r>
      <w:proofErr w:type="spellEnd"/>
      <w:r>
        <w:t xml:space="preserve"> sobre el árbol en memoria del documento (nunca edición de texto crudo con </w:t>
      </w:r>
      <w:proofErr w:type="spellStart"/>
      <w:r>
        <w:t>regex</w:t>
      </w:r>
      <w:proofErr w:type="spellEnd"/>
      <w:r>
        <w:t xml:space="preserve"> sobre document.xml).</w:t>
      </w:r>
    </w:p>
    <w:p w14:paraId="634FC8E6" w14:textId="77777777" w:rsidR="0000721B" w:rsidRDefault="00A371BD">
      <w:pPr>
        <w:spacing w:after="120"/>
      </w:pPr>
      <w:r>
        <w:t>Al clonar filas de tabla para pa</w:t>
      </w:r>
      <w:r>
        <w:t>sar de 1 línea de ejemplo a N líneas reales, hay que regenerar los identificadores únicos w</w:t>
      </w:r>
      <w:proofErr w:type="gramStart"/>
      <w:r>
        <w:t>14:paraId</w:t>
      </w:r>
      <w:proofErr w:type="gramEnd"/>
      <w:r>
        <w:t>/w14:textId de TODOS los elementos clonados —incluida la propia fila &lt;</w:t>
      </w:r>
      <w:proofErr w:type="spellStart"/>
      <w:r>
        <w:t>w:tr</w:t>
      </w:r>
      <w:proofErr w:type="spellEnd"/>
      <w:r>
        <w:t>&gt;, no solo los párrafos de sus celdas— o Word acumula duplicados.</w:t>
      </w:r>
    </w:p>
    <w:p w14:paraId="06DAFB1F" w14:textId="77777777" w:rsidR="0000721B" w:rsidRDefault="00A371BD">
      <w:pPr>
        <w:pStyle w:val="Ttulo2"/>
        <w:spacing w:before="240" w:after="120"/>
      </w:pPr>
      <w:r>
        <w:t xml:space="preserve">5.2 El </w:t>
      </w:r>
      <w:proofErr w:type="spellStart"/>
      <w:r>
        <w:t>checklist</w:t>
      </w:r>
      <w:proofErr w:type="spellEnd"/>
      <w:r>
        <w:t xml:space="preserve"> real nunca se reabre con </w:t>
      </w:r>
      <w:proofErr w:type="spellStart"/>
      <w:r>
        <w:t>openpyxl</w:t>
      </w:r>
      <w:proofErr w:type="spellEnd"/>
    </w:p>
    <w:p w14:paraId="19E08664" w14:textId="77777777" w:rsidR="0000721B" w:rsidRDefault="00A371BD">
      <w:pPr>
        <w:spacing w:after="120"/>
      </w:pPr>
      <w:r>
        <w:t xml:space="preserve">Reabrir y volver a guardar el </w:t>
      </w:r>
      <w:proofErr w:type="spellStart"/>
      <w:r>
        <w:t>checklist</w:t>
      </w:r>
      <w:proofErr w:type="spellEnd"/>
      <w:r>
        <w:t xml:space="preserve"> .xlsx del usuario con </w:t>
      </w:r>
      <w:proofErr w:type="spellStart"/>
      <w:r>
        <w:t>openpyxl</w:t>
      </w:r>
      <w:proofErr w:type="spellEnd"/>
      <w:r>
        <w:t xml:space="preserve"> corrompe las fotos incrustadas (se ha visto pérdida de hasta el 70% de las fotos). La única forma segura de editar una celda puntual (típicamente para reemplazar el Comentario por la Re</w:t>
      </w:r>
      <w:r>
        <w:t>comendación final) es editar el XML de la hoja directamente (</w:t>
      </w:r>
      <w:proofErr w:type="spellStart"/>
      <w:r>
        <w:t>xl</w:t>
      </w:r>
      <w:proofErr w:type="spellEnd"/>
      <w:r>
        <w:t>/</w:t>
      </w:r>
      <w:proofErr w:type="spellStart"/>
      <w:r>
        <w:t>worksheets</w:t>
      </w:r>
      <w:proofErr w:type="spellEnd"/>
      <w:r>
        <w:t>/sheetN.xml), convirtiendo la celda objetivo a t="</w:t>
      </w:r>
      <w:proofErr w:type="spellStart"/>
      <w:r>
        <w:t>inlineStr</w:t>
      </w:r>
      <w:proofErr w:type="spellEnd"/>
      <w:r>
        <w:t xml:space="preserve">", sin tocar sharedStrings.xml, </w:t>
      </w:r>
      <w:proofErr w:type="spellStart"/>
      <w:r>
        <w:t>xl</w:t>
      </w:r>
      <w:proofErr w:type="spellEnd"/>
      <w:r>
        <w:t xml:space="preserve">/media/ ni </w:t>
      </w:r>
      <w:proofErr w:type="spellStart"/>
      <w:r>
        <w:t>xl</w:t>
      </w:r>
      <w:proofErr w:type="spellEnd"/>
      <w:r>
        <w:t>/</w:t>
      </w:r>
      <w:proofErr w:type="spellStart"/>
      <w:r>
        <w:t>drawings</w:t>
      </w:r>
      <w:proofErr w:type="spellEnd"/>
      <w:r>
        <w:t>/.</w:t>
      </w:r>
    </w:p>
    <w:p w14:paraId="559071A9" w14:textId="77777777" w:rsidR="0000721B" w:rsidRDefault="00A371BD">
      <w:pPr>
        <w:pStyle w:val="Ttulo2"/>
        <w:spacing w:before="240" w:after="120"/>
      </w:pPr>
      <w:r>
        <w:lastRenderedPageBreak/>
        <w:t>5.3 PSAIM: fórmulas de Rate de Corrosión y Vida útil</w:t>
      </w:r>
    </w:p>
    <w:p w14:paraId="2165373D" w14:textId="77777777" w:rsidR="0000721B" w:rsidRDefault="00A371BD">
      <w:pPr>
        <w:pStyle w:val="Prrafodelista"/>
        <w:numPr>
          <w:ilvl w:val="0"/>
          <w:numId w:val="1"/>
        </w:numPr>
        <w:spacing w:after="80"/>
      </w:pPr>
      <w:r>
        <w:rPr>
          <w:b/>
          <w:bCs/>
        </w:rPr>
        <w:t>Rate de cor</w:t>
      </w:r>
      <w:r>
        <w:rPr>
          <w:b/>
          <w:bCs/>
        </w:rPr>
        <w:t>rosión (mm/año) = RCR (MPY, dato de cabecera del PSAIM) × 0.0254</w:t>
      </w:r>
      <w:r>
        <w:t>, redondeado a 3 decimales en el informe (no a precisión completa, aunque el PSAIM tenga más decimales).</w:t>
      </w:r>
    </w:p>
    <w:p w14:paraId="4304E6A4" w14:textId="77777777" w:rsidR="0000721B" w:rsidRDefault="00A371BD">
      <w:pPr>
        <w:pStyle w:val="Prrafodelista"/>
        <w:numPr>
          <w:ilvl w:val="0"/>
          <w:numId w:val="1"/>
        </w:numPr>
        <w:spacing w:after="80"/>
      </w:pPr>
      <w:r>
        <w:rPr>
          <w:b/>
          <w:bCs/>
        </w:rPr>
        <w:t>Vida remanente (años) = el MÍNIMO de la columna “TML Vida útil”</w:t>
      </w:r>
      <w:r>
        <w:t xml:space="preserve"> de la tabla de detalle </w:t>
      </w:r>
      <w:r>
        <w:t>por punto de medición —NUNCA el valor “</w:t>
      </w:r>
      <w:proofErr w:type="spellStart"/>
      <w:r>
        <w:t>Rest</w:t>
      </w:r>
      <w:proofErr w:type="spellEnd"/>
      <w:r>
        <w:t>. Vida útil” del resumen de cabecera del PSAIM, que puede ser más optimista que el peor punto real.</w:t>
      </w:r>
    </w:p>
    <w:p w14:paraId="2E11065C" w14:textId="77777777" w:rsidR="0000721B" w:rsidRDefault="00A371BD">
      <w:pPr>
        <w:pStyle w:val="Prrafodelista"/>
        <w:numPr>
          <w:ilvl w:val="0"/>
          <w:numId w:val="1"/>
        </w:numPr>
        <w:spacing w:after="80"/>
      </w:pPr>
      <w:r>
        <w:rPr>
          <w:b/>
          <w:bCs/>
        </w:rPr>
        <w:t>Criterio de visualización en la tabla SUMARIO (por umbral según Clase API 570):</w:t>
      </w:r>
      <w:r>
        <w:t xml:space="preserve"> si la vida útil calculada es MENO</w:t>
      </w:r>
      <w:r>
        <w:t xml:space="preserve">R al umbral de su clase (Clase 1 → 10 años; resto de clases → 20 años), se muestra el valor exacto (ej. “8.3”). Si es igual o mayor, se muestra “&gt;umbral” (ej. “&gt;20”), nunca el valor preciso. Esta regla se </w:t>
      </w:r>
      <w:proofErr w:type="gramStart"/>
      <w:r>
        <w:t>mantiene</w:t>
      </w:r>
      <w:proofErr w:type="gramEnd"/>
      <w:r>
        <w:t xml:space="preserve"> aunque algún informe de referencia antiguo</w:t>
      </w:r>
      <w:r>
        <w:t xml:space="preserve"> muestre un valor exacto por encima del umbral —fue confirmada explícitamente por el usuario como el criterio a seguir, sin excepción.</w:t>
      </w:r>
    </w:p>
    <w:p w14:paraId="5E2DB6A9" w14:textId="77777777" w:rsidR="0000721B" w:rsidRDefault="00A371BD">
      <w:pPr>
        <w:pStyle w:val="Ttulo2"/>
        <w:spacing w:before="240" w:after="120"/>
      </w:pPr>
      <w:r>
        <w:t>5.4 Recomendación #1: texto oficial API 570 por Clase</w:t>
      </w:r>
    </w:p>
    <w:p w14:paraId="1AC556ED" w14:textId="77777777" w:rsidR="0000721B" w:rsidRDefault="00A371BD">
      <w:pPr>
        <w:spacing w:after="120"/>
      </w:pPr>
      <w:r>
        <w:t>La primera Recomendación de todo informe (programación de la próxim</w:t>
      </w:r>
      <w:r>
        <w:t>a inspección) usa un texto oficial fijo según la Clase API 570 de la línea: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800"/>
      </w:tblGrid>
      <w:tr w:rsidR="0000721B" w14:paraId="53C37367" w14:textId="77777777">
        <w:tblPrEx>
          <w:tblCellMar>
            <w:top w:w="0" w:type="dxa"/>
            <w:bottom w:w="0" w:type="dxa"/>
          </w:tblCellMar>
        </w:tblPrEx>
        <w:tc>
          <w:tcPr>
            <w:tcW w:w="1400" w:type="dxa"/>
            <w:shd w:val="clear" w:color="auto" w:fill="D9D9D9"/>
            <w:tcMar>
              <w:top w:w="60" w:type="dxa"/>
              <w:left w:w="80" w:type="dxa"/>
              <w:bottom w:w="60" w:type="dxa"/>
              <w:right w:w="80" w:type="dxa"/>
            </w:tcMar>
          </w:tcPr>
          <w:p w14:paraId="1FA47A4C" w14:textId="77777777" w:rsidR="0000721B" w:rsidRDefault="00A371BD">
            <w:r>
              <w:rPr>
                <w:b/>
                <w:bCs/>
                <w:sz w:val="18"/>
                <w:szCs w:val="18"/>
              </w:rPr>
              <w:t>Clase</w:t>
            </w:r>
          </w:p>
        </w:tc>
        <w:tc>
          <w:tcPr>
            <w:tcW w:w="7800" w:type="dxa"/>
            <w:shd w:val="clear" w:color="auto" w:fill="D9D9D9"/>
            <w:tcMar>
              <w:top w:w="60" w:type="dxa"/>
              <w:left w:w="80" w:type="dxa"/>
              <w:bottom w:w="60" w:type="dxa"/>
              <w:right w:w="80" w:type="dxa"/>
            </w:tcMar>
          </w:tcPr>
          <w:p w14:paraId="03F471EE" w14:textId="77777777" w:rsidR="0000721B" w:rsidRDefault="00A371BD">
            <w:r>
              <w:rPr>
                <w:b/>
                <w:bCs/>
                <w:sz w:val="18"/>
                <w:szCs w:val="18"/>
              </w:rPr>
              <w:t>Texto oficial</w:t>
            </w:r>
          </w:p>
        </w:tc>
      </w:tr>
      <w:tr w:rsidR="0000721B" w14:paraId="7D093932" w14:textId="77777777">
        <w:tblPrEx>
          <w:tblCellMar>
            <w:top w:w="0" w:type="dxa"/>
            <w:bottom w:w="0" w:type="dxa"/>
          </w:tblCellMar>
        </w:tblPrEx>
        <w:tc>
          <w:tcPr>
            <w:tcW w:w="1400" w:type="dxa"/>
            <w:tcMar>
              <w:top w:w="60" w:type="dxa"/>
              <w:left w:w="80" w:type="dxa"/>
              <w:bottom w:w="60" w:type="dxa"/>
              <w:right w:w="80" w:type="dxa"/>
            </w:tcMar>
          </w:tcPr>
          <w:p w14:paraId="0C2F1C40" w14:textId="77777777" w:rsidR="0000721B" w:rsidRDefault="00A371BD">
            <w:r>
              <w:rPr>
                <w:sz w:val="18"/>
                <w:szCs w:val="18"/>
              </w:rPr>
              <w:t>Clase 1</w:t>
            </w:r>
          </w:p>
        </w:tc>
        <w:tc>
          <w:tcPr>
            <w:tcW w:w="7800" w:type="dxa"/>
            <w:tcMar>
              <w:top w:w="60" w:type="dxa"/>
              <w:left w:w="80" w:type="dxa"/>
              <w:bottom w:w="60" w:type="dxa"/>
              <w:right w:w="80" w:type="dxa"/>
            </w:tcMar>
          </w:tcPr>
          <w:p w14:paraId="065B70F6" w14:textId="77777777" w:rsidR="0000721B" w:rsidRDefault="00A371BD">
            <w:r>
              <w:rPr>
                <w:sz w:val="18"/>
                <w:szCs w:val="18"/>
              </w:rPr>
              <w:t>Próxima inspección visual y medición de espesores {</w:t>
            </w:r>
            <w:proofErr w:type="spellStart"/>
            <w:r>
              <w:rPr>
                <w:sz w:val="18"/>
                <w:szCs w:val="18"/>
              </w:rPr>
              <w:t>obj</w:t>
            </w:r>
            <w:proofErr w:type="spellEnd"/>
            <w:r>
              <w:rPr>
                <w:sz w:val="18"/>
                <w:szCs w:val="18"/>
              </w:rPr>
              <w:t>} en un periodo no mayor a 5 años (API 570, tabla 1).</w:t>
            </w:r>
          </w:p>
        </w:tc>
      </w:tr>
      <w:tr w:rsidR="0000721B" w14:paraId="43A44B23" w14:textId="77777777">
        <w:tblPrEx>
          <w:tblCellMar>
            <w:top w:w="0" w:type="dxa"/>
            <w:bottom w:w="0" w:type="dxa"/>
          </w:tblCellMar>
        </w:tblPrEx>
        <w:tc>
          <w:tcPr>
            <w:tcW w:w="1400" w:type="dxa"/>
            <w:tcMar>
              <w:top w:w="60" w:type="dxa"/>
              <w:left w:w="80" w:type="dxa"/>
              <w:bottom w:w="60" w:type="dxa"/>
              <w:right w:w="80" w:type="dxa"/>
            </w:tcMar>
          </w:tcPr>
          <w:p w14:paraId="65E43D54" w14:textId="77777777" w:rsidR="0000721B" w:rsidRDefault="00A371BD">
            <w:r>
              <w:rPr>
                <w:sz w:val="18"/>
                <w:szCs w:val="18"/>
              </w:rPr>
              <w:t>Clase 2</w:t>
            </w:r>
          </w:p>
        </w:tc>
        <w:tc>
          <w:tcPr>
            <w:tcW w:w="7800" w:type="dxa"/>
            <w:tcMar>
              <w:top w:w="60" w:type="dxa"/>
              <w:left w:w="80" w:type="dxa"/>
              <w:bottom w:w="60" w:type="dxa"/>
              <w:right w:w="80" w:type="dxa"/>
            </w:tcMar>
          </w:tcPr>
          <w:p w14:paraId="0011BDA0" w14:textId="77777777" w:rsidR="0000721B" w:rsidRDefault="00A371BD">
            <w:r>
              <w:rPr>
                <w:sz w:val="18"/>
                <w:szCs w:val="18"/>
              </w:rPr>
              <w:t>Próxima inspección visual en no más de 5 años y medición de espesores {</w:t>
            </w:r>
            <w:proofErr w:type="spellStart"/>
            <w:r>
              <w:rPr>
                <w:sz w:val="18"/>
                <w:szCs w:val="18"/>
              </w:rPr>
              <w:t>obj</w:t>
            </w:r>
            <w:proofErr w:type="spellEnd"/>
            <w:r>
              <w:rPr>
                <w:sz w:val="18"/>
                <w:szCs w:val="18"/>
              </w:rPr>
              <w:t>} en un intervalo máximo de 10 años (API 570, tabla 1).</w:t>
            </w:r>
          </w:p>
        </w:tc>
      </w:tr>
      <w:tr w:rsidR="0000721B" w14:paraId="2E68760C" w14:textId="77777777">
        <w:tblPrEx>
          <w:tblCellMar>
            <w:top w:w="0" w:type="dxa"/>
            <w:bottom w:w="0" w:type="dxa"/>
          </w:tblCellMar>
        </w:tblPrEx>
        <w:tc>
          <w:tcPr>
            <w:tcW w:w="1400" w:type="dxa"/>
            <w:tcMar>
              <w:top w:w="60" w:type="dxa"/>
              <w:left w:w="80" w:type="dxa"/>
              <w:bottom w:w="60" w:type="dxa"/>
              <w:right w:w="80" w:type="dxa"/>
            </w:tcMar>
          </w:tcPr>
          <w:p w14:paraId="10E35769" w14:textId="77777777" w:rsidR="0000721B" w:rsidRDefault="00A371BD">
            <w:r>
              <w:rPr>
                <w:sz w:val="18"/>
                <w:szCs w:val="18"/>
              </w:rPr>
              <w:t>Clase 3</w:t>
            </w:r>
          </w:p>
        </w:tc>
        <w:tc>
          <w:tcPr>
            <w:tcW w:w="7800" w:type="dxa"/>
            <w:tcMar>
              <w:top w:w="60" w:type="dxa"/>
              <w:left w:w="80" w:type="dxa"/>
              <w:bottom w:w="60" w:type="dxa"/>
              <w:right w:w="80" w:type="dxa"/>
            </w:tcMar>
          </w:tcPr>
          <w:p w14:paraId="7C9D0226" w14:textId="77777777" w:rsidR="0000721B" w:rsidRDefault="00A371BD">
            <w:r>
              <w:rPr>
                <w:sz w:val="18"/>
                <w:szCs w:val="18"/>
              </w:rPr>
              <w:t>Próxima inspección visual y medición de espesores {</w:t>
            </w:r>
            <w:proofErr w:type="spellStart"/>
            <w:r>
              <w:rPr>
                <w:sz w:val="18"/>
                <w:szCs w:val="18"/>
              </w:rPr>
              <w:t>obj</w:t>
            </w:r>
            <w:proofErr w:type="spellEnd"/>
            <w:r>
              <w:rPr>
                <w:sz w:val="18"/>
                <w:szCs w:val="18"/>
              </w:rPr>
              <w:t>} en un periodo no mayor a 10 años (API 570, tabla 1).</w:t>
            </w:r>
          </w:p>
        </w:tc>
      </w:tr>
      <w:tr w:rsidR="0000721B" w14:paraId="18774CB4" w14:textId="77777777">
        <w:tblPrEx>
          <w:tblCellMar>
            <w:top w:w="0" w:type="dxa"/>
            <w:bottom w:w="0" w:type="dxa"/>
          </w:tblCellMar>
        </w:tblPrEx>
        <w:tc>
          <w:tcPr>
            <w:tcW w:w="1400" w:type="dxa"/>
            <w:tcMar>
              <w:top w:w="60" w:type="dxa"/>
              <w:left w:w="80" w:type="dxa"/>
              <w:bottom w:w="60" w:type="dxa"/>
              <w:right w:w="80" w:type="dxa"/>
            </w:tcMar>
          </w:tcPr>
          <w:p w14:paraId="78858924" w14:textId="77777777" w:rsidR="0000721B" w:rsidRDefault="00A371BD">
            <w:r>
              <w:rPr>
                <w:sz w:val="18"/>
                <w:szCs w:val="18"/>
              </w:rPr>
              <w:t>Clase 4</w:t>
            </w:r>
          </w:p>
        </w:tc>
        <w:tc>
          <w:tcPr>
            <w:tcW w:w="7800" w:type="dxa"/>
            <w:tcMar>
              <w:top w:w="60" w:type="dxa"/>
              <w:left w:w="80" w:type="dxa"/>
              <w:bottom w:w="60" w:type="dxa"/>
              <w:right w:w="80" w:type="dxa"/>
            </w:tcMar>
          </w:tcPr>
          <w:p w14:paraId="35EB21AA" w14:textId="77777777" w:rsidR="0000721B" w:rsidRDefault="00A371BD">
            <w:r>
              <w:rPr>
                <w:sz w:val="18"/>
                <w:szCs w:val="18"/>
              </w:rPr>
              <w:t>Próxima medición de espesores {</w:t>
            </w:r>
            <w:proofErr w:type="spellStart"/>
            <w:r>
              <w:rPr>
                <w:sz w:val="18"/>
                <w:szCs w:val="18"/>
              </w:rPr>
              <w:t>obj</w:t>
            </w:r>
            <w:proofErr w:type="spellEnd"/>
            <w:r>
              <w:rPr>
                <w:sz w:val="18"/>
                <w:szCs w:val="18"/>
              </w:rPr>
              <w:t>} en no más de 10 años y próxima inspección externa en no más de 5 años (API 570, tabla 1; opcional por ser clase 04).</w:t>
            </w:r>
          </w:p>
        </w:tc>
      </w:tr>
      <w:tr w:rsidR="0000721B" w14:paraId="76140C0B" w14:textId="77777777">
        <w:tblPrEx>
          <w:tblCellMar>
            <w:top w:w="0" w:type="dxa"/>
            <w:bottom w:w="0" w:type="dxa"/>
          </w:tblCellMar>
        </w:tblPrEx>
        <w:tc>
          <w:tcPr>
            <w:tcW w:w="1400" w:type="dxa"/>
            <w:tcMar>
              <w:top w:w="60" w:type="dxa"/>
              <w:left w:w="80" w:type="dxa"/>
              <w:bottom w:w="60" w:type="dxa"/>
              <w:right w:w="80" w:type="dxa"/>
            </w:tcMar>
          </w:tcPr>
          <w:p w14:paraId="33C655FB" w14:textId="77777777" w:rsidR="0000721B" w:rsidRDefault="00A371BD">
            <w:r>
              <w:rPr>
                <w:sz w:val="18"/>
                <w:szCs w:val="18"/>
              </w:rPr>
              <w:t>Punto de inyección</w:t>
            </w:r>
          </w:p>
        </w:tc>
        <w:tc>
          <w:tcPr>
            <w:tcW w:w="7800" w:type="dxa"/>
            <w:tcMar>
              <w:top w:w="60" w:type="dxa"/>
              <w:left w:w="80" w:type="dxa"/>
              <w:bottom w:w="60" w:type="dxa"/>
              <w:right w:w="80" w:type="dxa"/>
            </w:tcMar>
          </w:tcPr>
          <w:p w14:paraId="5ADD47B0" w14:textId="77777777" w:rsidR="0000721B" w:rsidRDefault="00A371BD">
            <w:r>
              <w:rPr>
                <w:sz w:val="18"/>
                <w:szCs w:val="18"/>
              </w:rPr>
              <w:t>Próxima inspección visual y medición de espesores {</w:t>
            </w:r>
            <w:proofErr w:type="spellStart"/>
            <w:r>
              <w:rPr>
                <w:sz w:val="18"/>
                <w:szCs w:val="18"/>
              </w:rPr>
              <w:t>obj</w:t>
            </w:r>
            <w:proofErr w:type="spellEnd"/>
            <w:r>
              <w:rPr>
                <w:sz w:val="18"/>
                <w:szCs w:val="18"/>
              </w:rPr>
              <w:t>} en no más de 3 años, ampli</w:t>
            </w:r>
            <w:r>
              <w:rPr>
                <w:sz w:val="18"/>
                <w:szCs w:val="18"/>
              </w:rPr>
              <w:t>ando la zona de examinación corriente arriba/abajo (API 570, párr. 5.10).</w:t>
            </w:r>
          </w:p>
        </w:tc>
      </w:tr>
    </w:tbl>
    <w:p w14:paraId="7A1EEB6B" w14:textId="77777777" w:rsidR="0000721B" w:rsidRDefault="0000721B">
      <w:pPr>
        <w:spacing w:after="120"/>
      </w:pPr>
    </w:p>
    <w:p w14:paraId="0F3A5798" w14:textId="77777777" w:rsidR="0000721B" w:rsidRDefault="00A371BD">
      <w:pPr>
        <w:spacing w:after="120"/>
      </w:pPr>
      <w:r>
        <w:t>“{</w:t>
      </w:r>
      <w:proofErr w:type="spellStart"/>
      <w:r>
        <w:t>obj</w:t>
      </w:r>
      <w:proofErr w:type="spellEnd"/>
      <w:r>
        <w:t xml:space="preserve">}” se reemplaza por </w:t>
      </w:r>
      <w:r>
        <w:rPr>
          <w:b/>
          <w:bCs/>
        </w:rPr>
        <w:t>“del grupo de tuberías &lt;GRUPO&gt;”</w:t>
      </w:r>
      <w:r>
        <w:t xml:space="preserve"> si TODAS las líneas del grupo comparten la misma Clase (un solo párrafo). Si el grupo mezcla más de una Clase, se genera un</w:t>
      </w:r>
      <w:r>
        <w:t xml:space="preserve"> párrafo por Clase, y “{</w:t>
      </w:r>
      <w:proofErr w:type="spellStart"/>
      <w:r>
        <w:t>obj</w:t>
      </w:r>
      <w:proofErr w:type="spellEnd"/>
      <w:r>
        <w:t xml:space="preserve">}” se reemplaza por </w:t>
      </w:r>
      <w:r>
        <w:rPr>
          <w:b/>
          <w:bCs/>
        </w:rPr>
        <w:t>“de la(s) N línea(s) correspondiente(s) a Clase X del grupo de tuberías &lt;GRUPO&gt;”</w:t>
      </w:r>
      <w:r>
        <w:t xml:space="preserve"> —se indica la CANTIDAD de líneas de esa Clase, nunca el listado completo de </w:t>
      </w:r>
      <w:proofErr w:type="spellStart"/>
      <w:r>
        <w:t>TAGs</w:t>
      </w:r>
      <w:proofErr w:type="spellEnd"/>
      <w:r>
        <w:t xml:space="preserve"> (se vuelve inmanejable con grupos grandes, ej. </w:t>
      </w:r>
      <w:r>
        <w:t>6+6 líneas). Esta regla no tiene excepción en cuanto a generar un párrafo por Clase: un informe de referencia que mezclaba Clase 1 y 2 pero solo trajo un párrafo “del grupo de tuberías” fue confirmado como un error puntual de ese documento, no como precede</w:t>
      </w:r>
      <w:r>
        <w:t>nte.</w:t>
      </w:r>
    </w:p>
    <w:p w14:paraId="4C3F0F1A" w14:textId="77777777" w:rsidR="0000721B" w:rsidRDefault="00A371BD">
      <w:pPr>
        <w:spacing w:after="120"/>
      </w:pPr>
      <w:r>
        <w:rPr>
          <w:b/>
          <w:bCs/>
        </w:rPr>
        <w:t xml:space="preserve">Corrección confirmada el 16/09/2026: </w:t>
      </w:r>
      <w:r>
        <w:t>la versión anterior de esta regla (listar cada TAG por Clase, ej. “de las líneas 4"-22-71-11, 1 1/2"-22-18-11, 3"-22-72-11, ...”) quedó SUPERADA tras verse en un caso real con 6 líneas por Clase —el párrafo resulta</w:t>
      </w:r>
      <w:r>
        <w:t xml:space="preserve">ba enorme e ilegible. No volver a listar </w:t>
      </w:r>
      <w:proofErr w:type="spellStart"/>
      <w:r>
        <w:t>TAGs</w:t>
      </w:r>
      <w:proofErr w:type="spellEnd"/>
      <w:r>
        <w:t xml:space="preserve"> individuales en la Recomendación #1; usar siempre el conteo (“6 líneas”) + la Clase.</w:t>
      </w:r>
    </w:p>
    <w:p w14:paraId="2A332AB8" w14:textId="77777777" w:rsidR="0000721B" w:rsidRDefault="00A371BD">
      <w:pPr>
        <w:spacing w:after="120"/>
      </w:pPr>
      <w:r>
        <w:t>Antecedente de error real: un informe (grupo GT-010) fue entregado con el texto de Clase 1 en un grupo que era enteramente Cl</w:t>
      </w:r>
      <w:r>
        <w:t>ase 2. Verificar SIEMPRE la Clase real antes de elegir el texto.</w:t>
      </w:r>
    </w:p>
    <w:p w14:paraId="07FA9942" w14:textId="77777777" w:rsidR="0000721B" w:rsidRDefault="00A371BD">
      <w:pPr>
        <w:pStyle w:val="Ttulo2"/>
        <w:spacing w:before="240" w:after="120"/>
      </w:pPr>
      <w:r>
        <w:t>5.5 Motor Hallazgo → Recomendación: matriz de decisión</w:t>
      </w:r>
    </w:p>
    <w:p w14:paraId="33D6263C" w14:textId="77777777" w:rsidR="0000721B" w:rsidRDefault="00A371BD">
      <w:pPr>
        <w:spacing w:after="120"/>
      </w:pPr>
      <w:r>
        <w:t xml:space="preserve">Fuente primaria: ROL_Y_OBJETIVO.REV2.txt (el </w:t>
      </w:r>
      <w:proofErr w:type="spellStart"/>
      <w:r>
        <w:t>prompt</w:t>
      </w:r>
      <w:proofErr w:type="spellEnd"/>
      <w:r>
        <w:t xml:space="preserve"> operativo vigente). El COMPENDIO TÉCNICO UNIFICADO REV.1 es el banco de frases/plantillas por tipo de componente — ante un hallazgo nuevo, primero verificar si encaja en un caso típico del Compendio y red</w:t>
      </w:r>
      <w:r>
        <w:t>actar con el mismo estilo; si no hay caso equivalente, redactar uno nuevo aplicando estas reglas y marcarlo como borrador para que el usuario lo confirme.</w:t>
      </w:r>
    </w:p>
    <w:p w14:paraId="39859A8C" w14:textId="77777777" w:rsidR="0000721B" w:rsidRDefault="00A371BD">
      <w:pPr>
        <w:spacing w:before="200" w:after="60"/>
      </w:pPr>
      <w:r>
        <w:rPr>
          <w:b/>
          <w:bCs/>
        </w:rPr>
        <w:t>Corrosión / deterioro (regla central, la más propensa a error):</w:t>
      </w:r>
    </w:p>
    <w:p w14:paraId="5586C307" w14:textId="77777777" w:rsidR="0000721B" w:rsidRDefault="00A371BD">
      <w:pPr>
        <w:pStyle w:val="Prrafodelista"/>
        <w:numPr>
          <w:ilvl w:val="0"/>
          <w:numId w:val="1"/>
        </w:numPr>
        <w:spacing w:after="80"/>
      </w:pPr>
      <w:r>
        <w:rPr>
          <w:b/>
          <w:bCs/>
        </w:rPr>
        <w:t>Leve puntual/localizada (sin falla de</w:t>
      </w:r>
      <w:r>
        <w:rPr>
          <w:b/>
          <w:bCs/>
        </w:rPr>
        <w:t xml:space="preserve"> recubrimiento):</w:t>
      </w:r>
      <w:r>
        <w:t xml:space="preserve"> NO se emite recomendación. Aceptable, se omite.</w:t>
      </w:r>
    </w:p>
    <w:p w14:paraId="2DF4B90A" w14:textId="77777777" w:rsidR="0000721B" w:rsidRDefault="00A371BD">
      <w:pPr>
        <w:pStyle w:val="Prrafodelista"/>
        <w:numPr>
          <w:ilvl w:val="0"/>
          <w:numId w:val="1"/>
        </w:numPr>
        <w:spacing w:after="80"/>
      </w:pPr>
      <w:r>
        <w:rPr>
          <w:b/>
          <w:bCs/>
        </w:rPr>
        <w:t>Deterioro generalizado del recubrimiento</w:t>
      </w:r>
      <w:r>
        <w:t xml:space="preserve"> (pérdida/deterioro de pintura total o en gran parte del componente, aunque el metal base solo tenga corrosión leve): SÍ corresponde Mantenimiento de R</w:t>
      </w:r>
      <w:r>
        <w:t xml:space="preserve">ecubrimiento. </w:t>
      </w:r>
      <w:r>
        <w:rPr>
          <w:b/>
          <w:bCs/>
        </w:rPr>
        <w:t>Este es el error más común: no basta con leer la palabra “leve” para omitir la recomendación —hay que revisar primero si el hallazgo es sobre pérdida de pintura/recubrimiento.</w:t>
      </w:r>
    </w:p>
    <w:p w14:paraId="206B71C7" w14:textId="77777777" w:rsidR="0000721B" w:rsidRDefault="00A371BD">
      <w:pPr>
        <w:pStyle w:val="Prrafodelista"/>
        <w:numPr>
          <w:ilvl w:val="0"/>
          <w:numId w:val="1"/>
        </w:numPr>
        <w:spacing w:after="80"/>
      </w:pPr>
      <w:r>
        <w:rPr>
          <w:b/>
          <w:bCs/>
        </w:rPr>
        <w:t>Moderada (sustrato):</w:t>
      </w:r>
      <w:r>
        <w:t xml:space="preserve"> SÍ aplica Mantenimiento de Recubrimiento + ma</w:t>
      </w:r>
      <w:r>
        <w:t>ntenimiento de elementos de ajuste si aplica.</w:t>
      </w:r>
    </w:p>
    <w:p w14:paraId="54F89B29" w14:textId="77777777" w:rsidR="0000721B" w:rsidRDefault="00A371BD">
      <w:pPr>
        <w:pStyle w:val="Prrafodelista"/>
        <w:numPr>
          <w:ilvl w:val="0"/>
          <w:numId w:val="1"/>
        </w:numPr>
        <w:spacing w:after="80"/>
      </w:pPr>
      <w:r>
        <w:rPr>
          <w:b/>
          <w:bCs/>
        </w:rPr>
        <w:lastRenderedPageBreak/>
        <w:t>Severa / afectación estructural:</w:t>
      </w:r>
      <w:r>
        <w:t xml:space="preserve"> NUNCA se manda a pintar. Reemplazo o mantenimiento correctivo mecánico directo del componente o sus elementos de ajuste.</w:t>
      </w:r>
    </w:p>
    <w:p w14:paraId="606552C1" w14:textId="77777777" w:rsidR="0000721B" w:rsidRDefault="00A371BD">
      <w:pPr>
        <w:pStyle w:val="Prrafodelista"/>
        <w:numPr>
          <w:ilvl w:val="0"/>
          <w:numId w:val="1"/>
        </w:numPr>
        <w:spacing w:after="80"/>
      </w:pPr>
      <w:r>
        <w:rPr>
          <w:b/>
          <w:bCs/>
        </w:rPr>
        <w:t>Severidad mixta por elemento</w:t>
      </w:r>
      <w:r>
        <w:t xml:space="preserve"> (ej. cuerpo de brida modera</w:t>
      </w:r>
      <w:r>
        <w:t>do + espárragos severos, o soporte leve + abrazadera severa): la acción se determina POR ELEMENTO y ambas pueden convivir en la misma Recomendación —nunca “contaminar” la acción de un elemento con la prohibición de pintura que solo aplica al otro.</w:t>
      </w:r>
    </w:p>
    <w:p w14:paraId="2A248E4E" w14:textId="77777777" w:rsidR="0000721B" w:rsidRDefault="00A371BD">
      <w:pPr>
        <w:spacing w:before="200" w:after="60"/>
      </w:pPr>
      <w:r>
        <w:rPr>
          <w:b/>
          <w:bCs/>
        </w:rPr>
        <w:t>Casos no</w:t>
      </w:r>
      <w:r>
        <w:rPr>
          <w:b/>
          <w:bCs/>
        </w:rPr>
        <w:t xml:space="preserve"> clasificables por corrosión (defectos mecánicos/funcionales/de cumplimiento):</w:t>
      </w:r>
    </w:p>
    <w:p w14:paraId="57741828" w14:textId="77777777" w:rsidR="0000721B" w:rsidRDefault="00A371BD">
      <w:pPr>
        <w:pStyle w:val="Prrafodelista"/>
        <w:numPr>
          <w:ilvl w:val="0"/>
          <w:numId w:val="1"/>
        </w:numPr>
        <w:spacing w:after="80"/>
      </w:pPr>
      <w:r>
        <w:t>Pandeo/deformación de tubería → Evaluación de Integridad Mecánica (API 570), nunca reemplazo directo.</w:t>
      </w:r>
    </w:p>
    <w:p w14:paraId="1BCF9DDC" w14:textId="77777777" w:rsidR="0000721B" w:rsidRDefault="00A371BD">
      <w:pPr>
        <w:pStyle w:val="Prrafodelista"/>
        <w:numPr>
          <w:ilvl w:val="0"/>
          <w:numId w:val="1"/>
        </w:numPr>
        <w:spacing w:after="80"/>
      </w:pPr>
      <w:r>
        <w:t>Código de color no reglamentario → repintado al color de identificación del</w:t>
      </w:r>
      <w:r>
        <w:t xml:space="preserve"> fluido (ED-B-06.00-04d / PE-B-0600.01H00R05).</w:t>
      </w:r>
    </w:p>
    <w:p w14:paraId="06E7C6E9" w14:textId="77777777" w:rsidR="0000721B" w:rsidRDefault="00A371BD">
      <w:pPr>
        <w:pStyle w:val="Prrafodelista"/>
        <w:numPr>
          <w:ilvl w:val="0"/>
          <w:numId w:val="1"/>
        </w:numPr>
        <w:spacing w:after="80"/>
      </w:pPr>
      <w:r>
        <w:t>Falta de soldadura de sello (niples de toma en bridas de orificio) → soldadura de sello con WPS/PQR calificados.</w:t>
      </w:r>
    </w:p>
    <w:p w14:paraId="04C67EC9" w14:textId="77777777" w:rsidR="0000721B" w:rsidRDefault="00A371BD">
      <w:pPr>
        <w:pStyle w:val="Prrafodelista"/>
        <w:numPr>
          <w:ilvl w:val="0"/>
          <w:numId w:val="1"/>
        </w:numPr>
        <w:spacing w:after="80"/>
      </w:pPr>
      <w:r>
        <w:t>Volante desprendido/suelto, pérdida de manivela → mantenimiento correctivo o reemplazo (API 598)</w:t>
      </w:r>
      <w:r>
        <w:t>.</w:t>
      </w:r>
    </w:p>
    <w:p w14:paraId="4DFAA9F4" w14:textId="77777777" w:rsidR="0000721B" w:rsidRDefault="00A371BD">
      <w:pPr>
        <w:pStyle w:val="Prrafodelista"/>
        <w:numPr>
          <w:ilvl w:val="0"/>
          <w:numId w:val="1"/>
        </w:numPr>
        <w:spacing w:after="80"/>
      </w:pPr>
      <w:r>
        <w:t>Elementos de ajuste faltantes/incorrectos (pernos en vez de espárragos, tuerca faltante) → reemplazo/instalación, mínimo 2 hilos de rosca sobresalientes (ASME B31.3, RLP-FM-MANT-PRO-06-01.006).</w:t>
      </w:r>
    </w:p>
    <w:p w14:paraId="2456D3AD" w14:textId="77777777" w:rsidR="0000721B" w:rsidRDefault="00A371BD">
      <w:pPr>
        <w:pStyle w:val="Prrafodelista"/>
        <w:numPr>
          <w:ilvl w:val="0"/>
          <w:numId w:val="1"/>
        </w:numPr>
        <w:spacing w:after="80"/>
      </w:pPr>
      <w:r>
        <w:t>Prensaestopas con residuos de producto → mantenimiento corre</w:t>
      </w:r>
      <w:r>
        <w:t>ctivo con limpieza integral (API 598).</w:t>
      </w:r>
    </w:p>
    <w:p w14:paraId="32036C1D" w14:textId="77777777" w:rsidR="0000721B" w:rsidRDefault="00A371BD">
      <w:pPr>
        <w:pStyle w:val="Prrafodelista"/>
        <w:numPr>
          <w:ilvl w:val="0"/>
          <w:numId w:val="1"/>
        </w:numPr>
        <w:spacing w:after="80"/>
      </w:pPr>
      <w:r>
        <w:t>Manómetro con deterioro/aguja desprendida/glicerina contaminada → reemplazo del instrumento.</w:t>
      </w:r>
    </w:p>
    <w:p w14:paraId="48576D53" w14:textId="77777777" w:rsidR="0000721B" w:rsidRDefault="00A371BD">
      <w:pPr>
        <w:pStyle w:val="Prrafodelista"/>
        <w:numPr>
          <w:ilvl w:val="0"/>
          <w:numId w:val="1"/>
        </w:numPr>
        <w:spacing w:after="80"/>
      </w:pPr>
      <w:r>
        <w:t>Protección ignífuga agrietada → reparación/resane.</w:t>
      </w:r>
    </w:p>
    <w:p w14:paraId="5D09EC5B" w14:textId="77777777" w:rsidR="0000721B" w:rsidRDefault="00A371BD">
      <w:pPr>
        <w:spacing w:before="200" w:after="60"/>
      </w:pPr>
      <w:r>
        <w:rPr>
          <w:b/>
          <w:bCs/>
        </w:rPr>
        <w:t>Tramos elevados / no accesibles:</w:t>
      </w:r>
    </w:p>
    <w:p w14:paraId="60BD4BC7" w14:textId="77777777" w:rsidR="0000721B" w:rsidRDefault="00A371BD">
      <w:pPr>
        <w:spacing w:after="120"/>
      </w:pPr>
      <w:r>
        <w:t xml:space="preserve">Prohibido calificar severidad (no decir </w:t>
      </w:r>
      <w:r>
        <w:t>leve/moderada/severa). Describir como “presencia de corrosión (otros) en tramo no accesible” y recomendar exclusivamente instalar facilidades de acceso (andamios). Excepción: si el hallazgo es completamente visible pese a la altura (fuga en bridas/válvulas</w:t>
      </w:r>
      <w:r>
        <w:t>, pandeo), se describe y recomienda de forma directa.</w:t>
      </w:r>
    </w:p>
    <w:p w14:paraId="591100A3" w14:textId="77777777" w:rsidR="0000721B" w:rsidRDefault="00A371BD">
      <w:pPr>
        <w:spacing w:before="200" w:after="60"/>
      </w:pPr>
      <w:r>
        <w:rPr>
          <w:b/>
          <w:bCs/>
        </w:rPr>
        <w:t>Soportes y soportes de resorte (</w:t>
      </w:r>
      <w:proofErr w:type="spellStart"/>
      <w:r>
        <w:rPr>
          <w:b/>
          <w:bCs/>
        </w:rPr>
        <w:t>spring</w:t>
      </w:r>
      <w:proofErr w:type="spellEnd"/>
      <w:r>
        <w:rPr>
          <w:b/>
          <w:bCs/>
        </w:rPr>
        <w:t xml:space="preserve"> </w:t>
      </w:r>
      <w:proofErr w:type="spellStart"/>
      <w:r>
        <w:rPr>
          <w:b/>
          <w:bCs/>
        </w:rPr>
        <w:t>hangers</w:t>
      </w:r>
      <w:proofErr w:type="spellEnd"/>
      <w:r>
        <w:rPr>
          <w:b/>
          <w:bCs/>
        </w:rPr>
        <w:t>):</w:t>
      </w:r>
    </w:p>
    <w:p w14:paraId="7C5243E7" w14:textId="77777777" w:rsidR="0000721B" w:rsidRDefault="00A371BD">
      <w:pPr>
        <w:pStyle w:val="Prrafodelista"/>
        <w:numPr>
          <w:ilvl w:val="0"/>
          <w:numId w:val="1"/>
        </w:numPr>
        <w:spacing w:after="80"/>
      </w:pPr>
      <w:r>
        <w:t>Soportes metálicos estándar: al recomendar recubrimiento, SÍ referenciar el color de acabado reglamentario (verde RAL 6001, PE-B-0600.01-I).</w:t>
      </w:r>
    </w:p>
    <w:p w14:paraId="7B03FB30" w14:textId="77777777" w:rsidR="0000721B" w:rsidRDefault="00A371BD">
      <w:pPr>
        <w:pStyle w:val="Prrafodelista"/>
        <w:numPr>
          <w:ilvl w:val="0"/>
          <w:numId w:val="1"/>
        </w:numPr>
        <w:spacing w:after="80"/>
      </w:pPr>
      <w:r>
        <w:t xml:space="preserve">Spring </w:t>
      </w:r>
      <w:proofErr w:type="spellStart"/>
      <w:r>
        <w:t>hange</w:t>
      </w:r>
      <w:r>
        <w:t>rs</w:t>
      </w:r>
      <w:proofErr w:type="spellEnd"/>
      <w:r>
        <w:t>: PROHIBIDO citar código de color (tienen elementos móviles/escalas calibradas) — solo referencia general a ED-B-06.00-04d, PE-B-0600.01H00R05 o MSS SP-58.</w:t>
      </w:r>
    </w:p>
    <w:p w14:paraId="62C84D75" w14:textId="77777777" w:rsidR="0000721B" w:rsidRDefault="00A371BD">
      <w:pPr>
        <w:pStyle w:val="Prrafodelista"/>
        <w:numPr>
          <w:ilvl w:val="0"/>
          <w:numId w:val="1"/>
        </w:numPr>
        <w:spacing w:after="80"/>
      </w:pPr>
      <w:r>
        <w:t>Componente mixto (soporte + abrazadera/pernos): si la abrazadera es severa, exigir SOLO su reempla</w:t>
      </w:r>
      <w:r>
        <w:t>zo, omitiendo recomendación del soporte si este es leve.</w:t>
      </w:r>
    </w:p>
    <w:p w14:paraId="3950666F" w14:textId="77777777" w:rsidR="0000721B" w:rsidRDefault="00A371BD">
      <w:pPr>
        <w:pStyle w:val="Prrafodelista"/>
        <w:numPr>
          <w:ilvl w:val="0"/>
          <w:numId w:val="1"/>
        </w:numPr>
        <w:spacing w:after="80"/>
      </w:pPr>
      <w:r>
        <w:t>Reemplazo total del soporte y abrazadera → NO incluir mantenimiento de recubrimiento.</w:t>
      </w:r>
    </w:p>
    <w:p w14:paraId="5C767D80" w14:textId="77777777" w:rsidR="0000721B" w:rsidRDefault="00A371BD">
      <w:pPr>
        <w:pStyle w:val="Prrafodelista"/>
        <w:numPr>
          <w:ilvl w:val="0"/>
          <w:numId w:val="1"/>
        </w:numPr>
        <w:spacing w:after="80"/>
      </w:pPr>
      <w:r>
        <w:t>U-bolt con corrosión moderada y contacto metálico → mantenimiento de recubrimiento + instalar aislamiento de prot</w:t>
      </w:r>
      <w:r>
        <w:t>ección (teflón/elastómero/neopreno), MSS SP-58 y ED-L-06.00-05a Secc. 5.5.</w:t>
      </w:r>
    </w:p>
    <w:p w14:paraId="48B974C9" w14:textId="77777777" w:rsidR="0000721B" w:rsidRDefault="00A371BD">
      <w:pPr>
        <w:spacing w:before="200" w:after="60"/>
      </w:pPr>
      <w:r>
        <w:rPr>
          <w:b/>
          <w:bCs/>
        </w:rPr>
        <w:t>Válvulas:</w:t>
      </w:r>
    </w:p>
    <w:p w14:paraId="0DC22255" w14:textId="77777777" w:rsidR="0000721B" w:rsidRDefault="00A371BD">
      <w:pPr>
        <w:pStyle w:val="Prrafodelista"/>
        <w:numPr>
          <w:ilvl w:val="0"/>
          <w:numId w:val="1"/>
        </w:numPr>
        <w:spacing w:after="80"/>
      </w:pPr>
      <w:r>
        <w:t>Manuales, corrosión moderada → mantenimiento de recubrimiento + mecanismos (volante/bonete/prensaestopas) con lubricación.</w:t>
      </w:r>
    </w:p>
    <w:p w14:paraId="6BABCC27" w14:textId="77777777" w:rsidR="0000721B" w:rsidRDefault="00A371BD">
      <w:pPr>
        <w:pStyle w:val="Prrafodelista"/>
        <w:numPr>
          <w:ilvl w:val="0"/>
          <w:numId w:val="1"/>
        </w:numPr>
        <w:spacing w:after="80"/>
      </w:pPr>
      <w:r>
        <w:t>Manuales, corrosión severa en pernos → reemplazo de pernos + mantenimiento correctivo de mecanismos; EXCLUIR mantenimiento rutinario de recubrimiento.</w:t>
      </w:r>
    </w:p>
    <w:p w14:paraId="38C3D3A1" w14:textId="77777777" w:rsidR="0000721B" w:rsidRDefault="00A371BD">
      <w:pPr>
        <w:pStyle w:val="Prrafodelista"/>
        <w:numPr>
          <w:ilvl w:val="0"/>
          <w:numId w:val="1"/>
        </w:numPr>
        <w:spacing w:after="80"/>
      </w:pPr>
      <w:r>
        <w:t xml:space="preserve">En líneas aisladas sin aislamiento propio → limpieza + mantenimiento de elementos de ajuste; si la línea </w:t>
      </w:r>
      <w:r>
        <w:t>supera 200°C, no aplica pintura (ver aislamiento térmico abajo).</w:t>
      </w:r>
    </w:p>
    <w:p w14:paraId="4B9A8AD9" w14:textId="77777777" w:rsidR="0000721B" w:rsidRDefault="00A371BD">
      <w:pPr>
        <w:pStyle w:val="Prrafodelista"/>
        <w:numPr>
          <w:ilvl w:val="0"/>
          <w:numId w:val="1"/>
        </w:numPr>
        <w:spacing w:after="80"/>
      </w:pPr>
      <w:r>
        <w:t>De control, fuga cuerpo-bonete → API 570 (componente activo) + reemplazo de empaque + limpieza.</w:t>
      </w:r>
    </w:p>
    <w:p w14:paraId="02CD8BFD" w14:textId="77777777" w:rsidR="0000721B" w:rsidRDefault="00A371BD">
      <w:pPr>
        <w:pStyle w:val="Prrafodelista"/>
        <w:numPr>
          <w:ilvl w:val="0"/>
          <w:numId w:val="1"/>
        </w:numPr>
        <w:spacing w:after="80"/>
      </w:pPr>
      <w:r>
        <w:t>De control, suciedad externa en instrumentación → limpieza, según estándares de instrumentación</w:t>
      </w:r>
      <w:r>
        <w:t>.</w:t>
      </w:r>
    </w:p>
    <w:p w14:paraId="228024A1" w14:textId="77777777" w:rsidR="0000721B" w:rsidRDefault="00A371BD">
      <w:pPr>
        <w:spacing w:before="200" w:after="60"/>
      </w:pPr>
      <w:r>
        <w:rPr>
          <w:b/>
          <w:bCs/>
        </w:rPr>
        <w:t>Aislamiento térmico y líneas térmicas:</w:t>
      </w:r>
    </w:p>
    <w:p w14:paraId="290A056A" w14:textId="77777777" w:rsidR="0000721B" w:rsidRDefault="00A371BD">
      <w:pPr>
        <w:pStyle w:val="Prrafodelista"/>
        <w:numPr>
          <w:ilvl w:val="0"/>
          <w:numId w:val="1"/>
        </w:numPr>
        <w:spacing w:after="80"/>
      </w:pPr>
      <w:r>
        <w:t>Tuberías/válvulas aisladas &gt; 200°C: NO aplica pintura, aunque haya corrosión superficial al retirar el aislamiento.</w:t>
      </w:r>
    </w:p>
    <w:p w14:paraId="007E8496" w14:textId="77777777" w:rsidR="0000721B" w:rsidRDefault="00A371BD">
      <w:pPr>
        <w:pStyle w:val="Prrafodelista"/>
        <w:numPr>
          <w:ilvl w:val="0"/>
          <w:numId w:val="1"/>
        </w:numPr>
        <w:spacing w:after="80"/>
      </w:pPr>
      <w:r>
        <w:t xml:space="preserve">Contaminación/corrosión en ventanas de inspección → retirar aislamiento, limpiar, evaluar; solo si </w:t>
      </w:r>
      <w:r>
        <w:t>es superficial y ≤200°C, aplicar pintura.</w:t>
      </w:r>
    </w:p>
    <w:p w14:paraId="10B11023" w14:textId="77777777" w:rsidR="0000721B" w:rsidRDefault="00A371BD">
      <w:pPr>
        <w:pStyle w:val="Prrafodelista"/>
        <w:numPr>
          <w:ilvl w:val="0"/>
          <w:numId w:val="1"/>
        </w:numPr>
        <w:spacing w:after="80"/>
      </w:pPr>
      <w:r>
        <w:t>Aberturas/abolladuras/exposición/ausencia de aislamiento → reparación/instalación (API 583 Sec. 9.6.a, ED-N-01.00-03, PE-N-0100.01).</w:t>
      </w:r>
    </w:p>
    <w:p w14:paraId="73C4D78B" w14:textId="77777777" w:rsidR="0000721B" w:rsidRDefault="00A371BD">
      <w:pPr>
        <w:spacing w:before="200" w:after="60"/>
      </w:pPr>
      <w:r>
        <w:rPr>
          <w:b/>
          <w:bCs/>
        </w:rPr>
        <w:t>Bridas y elementos de ajuste:</w:t>
      </w:r>
    </w:p>
    <w:p w14:paraId="618DEA1D" w14:textId="77777777" w:rsidR="0000721B" w:rsidRDefault="00A371BD">
      <w:pPr>
        <w:pStyle w:val="Prrafodelista"/>
        <w:numPr>
          <w:ilvl w:val="0"/>
          <w:numId w:val="1"/>
        </w:numPr>
        <w:spacing w:after="80"/>
      </w:pPr>
      <w:r>
        <w:lastRenderedPageBreak/>
        <w:t>Término estándar: siempre "elementos de ajuste (esp</w:t>
      </w:r>
      <w:r>
        <w:t>árragos y tuercas)".</w:t>
      </w:r>
    </w:p>
    <w:p w14:paraId="1C5B5173" w14:textId="77777777" w:rsidR="0000721B" w:rsidRDefault="00A371BD">
      <w:pPr>
        <w:pStyle w:val="Prrafodelista"/>
        <w:numPr>
          <w:ilvl w:val="0"/>
          <w:numId w:val="1"/>
        </w:numPr>
        <w:spacing w:after="80"/>
      </w:pPr>
      <w:r>
        <w:t>Espárragos cortos / pernos en vez de espárragos → reemplazo, mínimo 2 hilos de rosca sobresalientes.</w:t>
      </w:r>
    </w:p>
    <w:p w14:paraId="7650665E" w14:textId="77777777" w:rsidR="0000721B" w:rsidRDefault="00A371BD">
      <w:pPr>
        <w:pStyle w:val="Prrafodelista"/>
        <w:numPr>
          <w:ilvl w:val="0"/>
          <w:numId w:val="1"/>
        </w:numPr>
        <w:spacing w:after="80"/>
      </w:pPr>
      <w:r>
        <w:t>Tuerca faltante → instalar + torque verificado.</w:t>
      </w:r>
    </w:p>
    <w:p w14:paraId="057409D4" w14:textId="77777777" w:rsidR="0000721B" w:rsidRDefault="00A371BD">
      <w:pPr>
        <w:pStyle w:val="Prrafodelista"/>
        <w:numPr>
          <w:ilvl w:val="0"/>
          <w:numId w:val="1"/>
        </w:numPr>
        <w:spacing w:after="80"/>
      </w:pPr>
      <w:r>
        <w:t>Par galvánico → reemplazo total por acero inoxidable de grado compatible.</w:t>
      </w:r>
    </w:p>
    <w:p w14:paraId="4FA9D039" w14:textId="77777777" w:rsidR="0000721B" w:rsidRDefault="00A371BD">
      <w:pPr>
        <w:pStyle w:val="Prrafodelista"/>
        <w:numPr>
          <w:ilvl w:val="0"/>
          <w:numId w:val="1"/>
        </w:numPr>
        <w:spacing w:after="80"/>
      </w:pPr>
      <w:r>
        <w:t>Corrosión le</w:t>
      </w:r>
      <w:r>
        <w:t>ve-moderada en espárragos/bridas → limpieza mecánica + recubrimiento + lubricante Molykote 1000 (RLP-FM-MANT-PRO-06-01.006 Secc. 3.4.2).</w:t>
      </w:r>
    </w:p>
    <w:p w14:paraId="40A5FC1D" w14:textId="77777777" w:rsidR="0000721B" w:rsidRDefault="00A371BD">
      <w:pPr>
        <w:pStyle w:val="Prrafodelista"/>
        <w:numPr>
          <w:ilvl w:val="0"/>
          <w:numId w:val="1"/>
        </w:numPr>
        <w:spacing w:after="80"/>
      </w:pPr>
      <w:r>
        <w:t xml:space="preserve">Fuga/falla de empaque → limpieza de caras + cambio de empaque + </w:t>
      </w:r>
      <w:proofErr w:type="spellStart"/>
      <w:r>
        <w:t>torqueado</w:t>
      </w:r>
      <w:proofErr w:type="spellEnd"/>
      <w:r>
        <w:t xml:space="preserve"> controlado.</w:t>
      </w:r>
    </w:p>
    <w:p w14:paraId="3AC5C378" w14:textId="77777777" w:rsidR="0000721B" w:rsidRDefault="00A371BD">
      <w:pPr>
        <w:spacing w:after="120"/>
      </w:pPr>
      <w:r>
        <w:t>Nota sobre el COMPENDIO REV.1: al</w:t>
      </w:r>
      <w:r>
        <w:t xml:space="preserve"> 16/09/2026 tiene 2 inconsistencias sin resolver —ver sección 9 de este manual. No afectan las reglas de arriba (que vienen del ROL_Y_OBJETIVO.REV2), pero sí al banco de frases si se usa el Compendio como referencia textual.</w:t>
      </w:r>
    </w:p>
    <w:p w14:paraId="4FE8B1C1" w14:textId="77777777" w:rsidR="0000721B" w:rsidRDefault="00A371BD">
      <w:pPr>
        <w:pStyle w:val="Ttulo2"/>
        <w:spacing w:before="240" w:after="120"/>
      </w:pPr>
      <w:r>
        <w:t>5.6 Consolidación vs. redacción</w:t>
      </w:r>
      <w:r>
        <w:t xml:space="preserve"> desde cero</w:t>
      </w:r>
    </w:p>
    <w:p w14:paraId="2CF806D1" w14:textId="77777777" w:rsidR="0000721B" w:rsidRDefault="00A371BD">
      <w:pPr>
        <w:spacing w:after="120"/>
      </w:pPr>
      <w:r>
        <w:t xml:space="preserve">El </w:t>
      </w:r>
      <w:proofErr w:type="spellStart"/>
      <w:r>
        <w:t>checklist</w:t>
      </w:r>
      <w:proofErr w:type="spellEnd"/>
      <w:r>
        <w:t xml:space="preserve"> puede llegar de 2 formas distintas —revisar cuál es el caso ANTES de empezar a redactar:</w:t>
      </w:r>
    </w:p>
    <w:p w14:paraId="422A4143" w14:textId="77777777" w:rsidR="0000721B" w:rsidRDefault="00A371BD">
      <w:pPr>
        <w:pStyle w:val="Prrafodelista"/>
        <w:numPr>
          <w:ilvl w:val="0"/>
          <w:numId w:val="1"/>
        </w:numPr>
        <w:spacing w:after="80"/>
      </w:pPr>
      <w:proofErr w:type="spellStart"/>
      <w:r>
        <w:rPr>
          <w:b/>
          <w:bCs/>
        </w:rPr>
        <w:t>Checklist</w:t>
      </w:r>
      <w:proofErr w:type="spellEnd"/>
      <w:r>
        <w:rPr>
          <w:b/>
          <w:bCs/>
        </w:rPr>
        <w:t xml:space="preserve"> “crudo” (el caso normal):</w:t>
      </w:r>
      <w:r>
        <w:t xml:space="preserve"> la columna Comentario solo trae la descripción de campo (qué se vio). Hay que redactar Hallazgo y Recomend</w:t>
      </w:r>
      <w:r>
        <w:t>ación desde cero contra la matriz de la sección 5.5.</w:t>
      </w:r>
    </w:p>
    <w:p w14:paraId="6A16902A" w14:textId="77777777" w:rsidR="0000721B" w:rsidRDefault="00A371BD">
      <w:pPr>
        <w:pStyle w:val="Prrafodelista"/>
        <w:numPr>
          <w:ilvl w:val="0"/>
          <w:numId w:val="1"/>
        </w:numPr>
        <w:spacing w:after="80"/>
      </w:pPr>
      <w:proofErr w:type="spellStart"/>
      <w:r>
        <w:rPr>
          <w:b/>
          <w:bCs/>
        </w:rPr>
        <w:t>Checklist</w:t>
      </w:r>
      <w:proofErr w:type="spellEnd"/>
      <w:r>
        <w:rPr>
          <w:b/>
          <w:bCs/>
        </w:rPr>
        <w:t xml:space="preserve"> “ya redactado en campo”:</w:t>
      </w:r>
      <w:r>
        <w:t xml:space="preserve"> si además de la columna Comentario (K) existe una columna con el texto “Hallazgo: ...” ya escrito (típicamente columna AG) y el Comentario ya trae la Recomendación final con normas citadas, el trabajo es de </w:t>
      </w:r>
      <w:r>
        <w:rPr>
          <w:b/>
          <w:bCs/>
        </w:rPr>
        <w:t>consolidación</w:t>
      </w:r>
      <w:r>
        <w:t>, no de redacción: tomar cada Comen</w:t>
      </w:r>
      <w:r>
        <w:t>tario de ítem O/R como un punto de la Recomendación de esa línea, y cada texto de la columna de Hallazgo (sin el prefijo redundante) como una viñeta de la tabla 9.0. Es más rápido y respeta el criterio real del examinador de campo.</w:t>
      </w:r>
    </w:p>
    <w:p w14:paraId="7EA57984" w14:textId="77777777" w:rsidR="0000721B" w:rsidRDefault="00A371BD">
      <w:pPr>
        <w:spacing w:after="120"/>
      </w:pPr>
      <w:r>
        <w:t>En ambos casos: los ítem</w:t>
      </w:r>
      <w:r>
        <w:t>s marcados como limitación de alcance (ej. “Se limita la inspección por presencia de aislamiento”, sin describir un defecto) NO generan fila de recomendación —no son un hallazgo técnico.</w:t>
      </w:r>
    </w:p>
    <w:p w14:paraId="2D33AA20" w14:textId="77777777" w:rsidR="0000721B" w:rsidRDefault="00A371BD">
      <w:pPr>
        <w:pStyle w:val="Ttulo2"/>
        <w:spacing w:before="240" w:after="120"/>
      </w:pPr>
      <w:r>
        <w:t>5.7 TAG de exhibición vs. TAG de cruce técnico</w:t>
      </w:r>
    </w:p>
    <w:p w14:paraId="32125A21" w14:textId="77777777" w:rsidR="0000721B" w:rsidRDefault="00A371BD">
      <w:pPr>
        <w:spacing w:after="120"/>
      </w:pPr>
      <w:r>
        <w:t>La base de datos maest</w:t>
      </w:r>
      <w:r>
        <w:t xml:space="preserve">ra (BASE_DE_DATOS_DE_LINEAS_FASE1.xlsx) a veces trae el TAG incompleto o combinado con otra línea (dato “sucio”). Regla: el informe SIEMPRE muestra el TAG tal como aparece en el </w:t>
      </w:r>
      <w:proofErr w:type="spellStart"/>
      <w:r>
        <w:t>checklist</w:t>
      </w:r>
      <w:proofErr w:type="spellEnd"/>
      <w:r>
        <w:t xml:space="preserve"> real ya llenado en campo (fuente más confiable) — la base de datos s</w:t>
      </w:r>
      <w:r>
        <w:t xml:space="preserve">e usa únicamente como fuente de los datos técnicos de la tabla 7.0, buscándolos con la clave que sí exista ahí. Ante cualquier discrepancia entre el listado de alcance/imagen que da el usuario y el propio </w:t>
      </w:r>
      <w:proofErr w:type="spellStart"/>
      <w:r>
        <w:t>checklist</w:t>
      </w:r>
      <w:proofErr w:type="spellEnd"/>
      <w:r>
        <w:t xml:space="preserve"> de campo, el </w:t>
      </w:r>
      <w:proofErr w:type="spellStart"/>
      <w:r>
        <w:t>checklist</w:t>
      </w:r>
      <w:proofErr w:type="spellEnd"/>
      <w:r>
        <w:t xml:space="preserve"> manda —el listado </w:t>
      </w:r>
      <w:r>
        <w:t xml:space="preserve">de alcance es solo un resumen previo a la inspección real. Excepción: si el encabezado del </w:t>
      </w:r>
      <w:proofErr w:type="spellStart"/>
      <w:r>
        <w:t>checklist</w:t>
      </w:r>
      <w:proofErr w:type="spellEnd"/>
      <w:r>
        <w:t xml:space="preserve"> apunta a un GRUPO o LÍNEA de un proyecto completamente distinto (no una variante del mismo TAG), es un error de captura/copia —usar el dato del listado de </w:t>
      </w:r>
      <w:r>
        <w:t>alcance y avisar explícitamente al usuario.</w:t>
      </w:r>
    </w:p>
    <w:p w14:paraId="051868ED" w14:textId="77777777" w:rsidR="0000721B" w:rsidRDefault="00A371BD">
      <w:pPr>
        <w:pStyle w:val="Ttulo2"/>
        <w:spacing w:before="240" w:after="120"/>
      </w:pPr>
      <w:r>
        <w:t>5.8 Tabla 7.0 “Características de la línea”</w:t>
      </w:r>
    </w:p>
    <w:p w14:paraId="147E03C6" w14:textId="77777777" w:rsidR="0000721B" w:rsidRDefault="00A371BD">
      <w:pPr>
        <w:pStyle w:val="Prrafodelista"/>
        <w:numPr>
          <w:ilvl w:val="0"/>
          <w:numId w:val="1"/>
        </w:numPr>
        <w:spacing w:after="80"/>
      </w:pPr>
      <w:r>
        <w:t>Toda celda sin dato real o sin referencia disponible: texto plano “SIN DATO” — nunca “PENDIENTE” ni anotaciones entre paréntesis dentro de la tabla (esas aclaraciones v</w:t>
      </w:r>
      <w:r>
        <w:t>an solo en la lista de pendientes fuera del informe).</w:t>
      </w:r>
    </w:p>
    <w:p w14:paraId="416374D5" w14:textId="77777777" w:rsidR="0000721B" w:rsidRDefault="00A371BD">
      <w:pPr>
        <w:pStyle w:val="Prrafodelista"/>
        <w:numPr>
          <w:ilvl w:val="0"/>
          <w:numId w:val="1"/>
        </w:numPr>
        <w:spacing w:after="80"/>
      </w:pPr>
      <w:r>
        <w:t>Fuente estándar confirmada: Calibri heredada del tema (sin fijar fuente explícita), 7pt en filas de datos, 6pt en subtítulos del encabezado. No modificar sin pedido explícito del usuario —ya se probó en</w:t>
      </w:r>
      <w:r>
        <w:t>sanchar columnas/agrandar fuente y el resultado fue peor (texto cortado en otras columnas).</w:t>
      </w:r>
    </w:p>
    <w:p w14:paraId="1F85E82C" w14:textId="77777777" w:rsidR="0000721B" w:rsidRDefault="00A371BD">
      <w:pPr>
        <w:pStyle w:val="Ttulo2"/>
        <w:spacing w:before="240" w:after="120"/>
      </w:pPr>
      <w:r>
        <w:t>5.9 Tabla 8.0 “Mecanismo de daño” — formato vigente</w:t>
      </w:r>
    </w:p>
    <w:p w14:paraId="6F289CD3" w14:textId="77777777" w:rsidR="0000721B" w:rsidRDefault="00A371BD">
      <w:pPr>
        <w:spacing w:after="120"/>
      </w:pPr>
      <w:r>
        <w:t xml:space="preserve">Formato estándar desde el 15/09/2026 (aplica a TODOS los informes, normales y complementarios): 3 columnas — Ítem / Mecanismo de daño / Aplica —, listando SOLO los mecanismos que aplican a ese grupo (no los 20 de la lista maestra), con un </w:t>
      </w:r>
      <w:proofErr w:type="spellStart"/>
      <w:r>
        <w:t>checkmark</w:t>
      </w:r>
      <w:proofErr w:type="spellEnd"/>
      <w:r>
        <w:t xml:space="preserve"> real (s</w:t>
      </w:r>
      <w:r>
        <w:t>ímbolo Wingdings carácter F0FC, NO la letra “X”) en la columna Aplica.</w:t>
      </w:r>
    </w:p>
    <w:p w14:paraId="04153761" w14:textId="77777777" w:rsidR="0000721B" w:rsidRDefault="00A371BD">
      <w:pPr>
        <w:spacing w:after="120"/>
      </w:pPr>
      <w:r>
        <w:t>Lista maestra de los 20 mecanismos de daño válidos: Corrosión Atmosférica, Corrosión Galvánica, Corrosión por Suelo, Corrosión de la célula de concentración, Punto de contacto, Fatiga M</w:t>
      </w:r>
      <w:r>
        <w:t>ecánica, Erosión/Corrosión, Corrosión por H2S, Corrosión Inducida por Microorganismos (Mic), Corrosión por CO2, Corrosión Bajo Aislamiento (CUI), Corrosión Bajo Ignifugado (CUF), Corrosión por Agua de Condensado de Caldera, Corrosión Cáustica, Sulfuración,</w:t>
      </w:r>
      <w:r>
        <w:t xml:space="preserve"> SCC por Cloruro, SCC por Cáusticos, SCC por Amina, Corrosión por Ácido Clorhídrico (HCl), Corrosión por Agua Amarga (Ácida).</w:t>
      </w:r>
    </w:p>
    <w:p w14:paraId="3CFA26EE" w14:textId="77777777" w:rsidR="0000721B" w:rsidRDefault="00A371BD">
      <w:pPr>
        <w:pStyle w:val="Ttulo2"/>
        <w:spacing w:before="240" w:after="120"/>
      </w:pPr>
      <w:r>
        <w:t>5.10 Fecha de inspección y examinadores</w:t>
      </w:r>
    </w:p>
    <w:p w14:paraId="63B4561F" w14:textId="77777777" w:rsidR="0000721B" w:rsidRDefault="00A371BD">
      <w:pPr>
        <w:pStyle w:val="Prrafodelista"/>
        <w:numPr>
          <w:ilvl w:val="0"/>
          <w:numId w:val="1"/>
        </w:numPr>
        <w:spacing w:after="80"/>
      </w:pPr>
      <w:r>
        <w:t xml:space="preserve">El rango de fechas del informe (portada + sección 5.0) es siempre el MÍNIMO y MÁXIMO real </w:t>
      </w:r>
      <w:r>
        <w:t xml:space="preserve">de la fecha de inspección de TODAS las líneas ya inspeccionadas (excluyendo solo las genuinamente “PENDIENTE </w:t>
      </w:r>
      <w:r>
        <w:lastRenderedPageBreak/>
        <w:t>INSPECCIÓN”) — nunca excluir una fecha real por parecer atípica; no todas las líneas de un grupo se inspeccionan en el mismo periodo.</w:t>
      </w:r>
    </w:p>
    <w:p w14:paraId="1858BF0D" w14:textId="77777777" w:rsidR="0000721B" w:rsidRDefault="00A371BD">
      <w:pPr>
        <w:pStyle w:val="Prrafodelista"/>
        <w:numPr>
          <w:ilvl w:val="0"/>
          <w:numId w:val="1"/>
        </w:numPr>
        <w:spacing w:after="80"/>
      </w:pPr>
      <w:r>
        <w:t xml:space="preserve">Los primeros </w:t>
      </w:r>
      <w:r>
        <w:t>3 examinadores de la sección 5.0 (Jefe de Proyecto, Inspector API 570, Supervisor de Equipos Estáticos) son siempre fijos, no se tocan.</w:t>
      </w:r>
    </w:p>
    <w:p w14:paraId="1FA61CC2" w14:textId="77777777" w:rsidR="0000721B" w:rsidRDefault="00A371BD">
      <w:pPr>
        <w:pStyle w:val="Prrafodelista"/>
        <w:numPr>
          <w:ilvl w:val="0"/>
          <w:numId w:val="1"/>
        </w:numPr>
        <w:spacing w:after="80"/>
      </w:pPr>
      <w:r>
        <w:t xml:space="preserve">Después de esos 3 va la lista de examinadores reales del grupo, cada uno como “(Examinador Nivel II)”, salvo la persona </w:t>
      </w:r>
      <w:r>
        <w:t>que elaboró el informe —SIEMPRE preguntar al usuario quién fue, nunca asumirlo por frecuencia u orden de aparición—, que va PRIMERO en la lista como “(Examinador Nivel II - Elaboración de Informe)”.</w:t>
      </w:r>
    </w:p>
    <w:p w14:paraId="42A9F972" w14:textId="77777777" w:rsidR="0000721B" w:rsidRDefault="00A371BD">
      <w:pPr>
        <w:pStyle w:val="Prrafodelista"/>
        <w:numPr>
          <w:ilvl w:val="0"/>
          <w:numId w:val="1"/>
        </w:numPr>
        <w:spacing w:after="80"/>
      </w:pPr>
      <w:r>
        <w:t>Solo el ÚLTIMO nombre de la lista completa lleva punto fi</w:t>
      </w:r>
      <w:r>
        <w:t>nal; los anteriores no.</w:t>
      </w:r>
    </w:p>
    <w:p w14:paraId="0DD36262" w14:textId="77777777" w:rsidR="0000721B" w:rsidRDefault="00A371BD">
      <w:pPr>
        <w:pStyle w:val="Ttulo2"/>
        <w:spacing w:before="240" w:after="120"/>
      </w:pPr>
      <w:r>
        <w:t>5.11 Anexos A/B/C</w:t>
      </w:r>
    </w:p>
    <w:p w14:paraId="01720686" w14:textId="77777777" w:rsidR="0000721B" w:rsidRDefault="00A371BD">
      <w:pPr>
        <w:spacing w:after="120"/>
      </w:pPr>
      <w:r>
        <w:t>Fórmula de conteo: total de anexos = 1 (Anexo A) + N líneas (Anexo B, una por cada línea del grupo, sin excepción) + M líneas con Alcance = LINEAS (Anexo C, subconjunto de B).</w:t>
      </w:r>
    </w:p>
    <w:p w14:paraId="0E70E9A5" w14:textId="77777777" w:rsidR="0000721B" w:rsidRDefault="00A371BD">
      <w:pPr>
        <w:spacing w:after="120"/>
      </w:pPr>
      <w:r>
        <w:t>Formato exacto de la página separadora</w:t>
      </w:r>
      <w:r>
        <w:t xml:space="preserve"> (verificado contra PDF reales, nunca diseñar de cero): página A4 con un solo borde vía tabla de 1 celda con margen ~0.85cm, sin color/encabezado/logos, fuente Cambria regular (no </w:t>
      </w:r>
      <w:proofErr w:type="spellStart"/>
      <w:r>
        <w:t>bold</w:t>
      </w:r>
      <w:proofErr w:type="spellEnd"/>
      <w:r>
        <w:t>), primera línea a 24pt y siguientes a 18pt. Anexo A: “Anexo A.” / “Ubic</w:t>
      </w:r>
      <w:r>
        <w:t xml:space="preserve">ación de Zona de Examinación.” / “(P&amp;ID).”. Anexo </w:t>
      </w:r>
      <w:proofErr w:type="spellStart"/>
      <w:r>
        <w:t>B.x</w:t>
      </w:r>
      <w:proofErr w:type="spellEnd"/>
      <w:r>
        <w:t xml:space="preserve">: “Anexo B.{i}” / “Reporte de Inspección Visual.” / &lt;TAG&gt;. Anexo </w:t>
      </w:r>
      <w:proofErr w:type="spellStart"/>
      <w:r>
        <w:t>C.x</w:t>
      </w:r>
      <w:proofErr w:type="spellEnd"/>
      <w:r>
        <w:t>: “Anexo C.{i}” / “Reporte de Ultrasonido.” / “Línea &lt;TAG&gt;” / “(PSAIM)”.</w:t>
      </w:r>
    </w:p>
    <w:p w14:paraId="1CC023CE" w14:textId="77777777" w:rsidR="0000721B" w:rsidRDefault="00A371BD">
      <w:pPr>
        <w:spacing w:after="120"/>
      </w:pPr>
      <w:r>
        <w:t>Los separadores se generan primero (sin contenido real) y lueg</w:t>
      </w:r>
      <w:r>
        <w:t>o se fusionan (</w:t>
      </w:r>
      <w:proofErr w:type="spellStart"/>
      <w:r>
        <w:t>merge</w:t>
      </w:r>
      <w:proofErr w:type="spellEnd"/>
      <w:r>
        <w:t xml:space="preserve">, con </w:t>
      </w:r>
      <w:proofErr w:type="spellStart"/>
      <w:r>
        <w:t>pypdf</w:t>
      </w:r>
      <w:proofErr w:type="spellEnd"/>
      <w:r>
        <w:t>) con el contenido real del grupo cuando llega.</w:t>
      </w:r>
    </w:p>
    <w:p w14:paraId="122A520B" w14:textId="77777777" w:rsidR="0000721B" w:rsidRDefault="00A371BD">
      <w:pPr>
        <w:spacing w:after="120"/>
      </w:pPr>
      <w:r>
        <w:rPr>
          <w:b/>
          <w:bCs/>
        </w:rPr>
        <w:t xml:space="preserve">Nombres de archivo: </w:t>
      </w:r>
      <w:r>
        <w:t>sanear siempre “/” y “"” (símbolo de pulgada) antes de escribir un archivo cuyo nombre incluye el TAG —Windows, el sistema operativo real de entrega, no perm</w:t>
      </w:r>
      <w:r>
        <w:t>ite ninguno de los dos caracteres, aunque Linux (el entorno de generación) sí. El texto dibujado DENTRO del PDF sigue mostrando el TAG real sin sanear; el saneo es solo para el nombre del archivo.</w:t>
      </w:r>
    </w:p>
    <w:p w14:paraId="7C9A34AA" w14:textId="77777777" w:rsidR="0000721B" w:rsidRDefault="00A371BD">
      <w:pPr>
        <w:pStyle w:val="Ttulo2"/>
        <w:spacing w:before="240" w:after="120"/>
      </w:pPr>
      <w:r>
        <w:t>5.12 Informes complementarios</w:t>
      </w:r>
    </w:p>
    <w:p w14:paraId="42E35CF3" w14:textId="77777777" w:rsidR="0000721B" w:rsidRDefault="00A371BD">
      <w:pPr>
        <w:spacing w:after="120"/>
      </w:pPr>
      <w:r>
        <w:t>Un informe complementario cub</w:t>
      </w:r>
      <w:r>
        <w:t>re líneas que quedaron pendientes de un grupo ya cerrado/entregado, y se entrega aparte.</w:t>
      </w:r>
    </w:p>
    <w:p w14:paraId="2771A9D3" w14:textId="77777777" w:rsidR="0000721B" w:rsidRDefault="00A371BD">
      <w:pPr>
        <w:pStyle w:val="Prrafodelista"/>
        <w:numPr>
          <w:ilvl w:val="0"/>
          <w:numId w:val="1"/>
        </w:numPr>
        <w:spacing w:after="80"/>
      </w:pPr>
      <w:r>
        <w:rPr>
          <w:b/>
          <w:bCs/>
        </w:rPr>
        <w:t>Código:</w:t>
      </w:r>
      <w:r>
        <w:t xml:space="preserve"> el del informe principal con un consecutivo “-N-” insertado antes del año (N=1 para el primero, N=2 si hiciera falta un segundo).</w:t>
      </w:r>
    </w:p>
    <w:p w14:paraId="4E8CCB6F" w14:textId="77777777" w:rsidR="0000721B" w:rsidRDefault="00A371BD">
      <w:pPr>
        <w:pStyle w:val="Prrafodelista"/>
        <w:numPr>
          <w:ilvl w:val="0"/>
          <w:numId w:val="1"/>
        </w:numPr>
        <w:spacing w:after="80"/>
      </w:pPr>
      <w:r>
        <w:rPr>
          <w:b/>
          <w:bCs/>
        </w:rPr>
        <w:t>Contenido:</w:t>
      </w:r>
      <w:r>
        <w:t xml:space="preserve"> SOLO las líneas qu</w:t>
      </w:r>
      <w:r>
        <w:t>e se están completando (no todas las del grupo). Debe incluir una nota obligatoria con este patrón exacto: “El presente documento es un anexo complementario al informe principal &lt;CÓDIGO PRINCIPAL SIN EL -N-&gt;, referente a la inspección de la Línea N° &lt;lista</w:t>
      </w:r>
      <w:r>
        <w:t xml:space="preserve"> de ítems&gt;.”</w:t>
      </w:r>
    </w:p>
    <w:p w14:paraId="0A653B9E" w14:textId="77777777" w:rsidR="0000721B" w:rsidRDefault="00A371BD">
      <w:pPr>
        <w:pStyle w:val="Prrafodelista"/>
        <w:numPr>
          <w:ilvl w:val="0"/>
          <w:numId w:val="1"/>
        </w:numPr>
        <w:spacing w:after="80"/>
      </w:pPr>
      <w:r>
        <w:rPr>
          <w:b/>
          <w:bCs/>
        </w:rPr>
        <w:t>Resto de tablas y secciones:</w:t>
      </w:r>
      <w:r>
        <w:t xml:space="preserve"> mismo formato que un informe normal, con filas solo para el subconjunto de líneas del complementario. Anexos: solo los que aplican a ese subconjunto (misma fórmula de la sección 5.11).</w:t>
      </w:r>
    </w:p>
    <w:p w14:paraId="68ACCB27" w14:textId="77777777" w:rsidR="0000721B" w:rsidRDefault="00A371BD">
      <w:pPr>
        <w:spacing w:after="120"/>
      </w:pPr>
      <w:r>
        <w:t>Plantilla de referencia: “Eje</w:t>
      </w:r>
      <w:r>
        <w:t>mplo Informe Complementario - 02-CRUDO-GT-043 (RLP-1820-1-2025).docx”, en COMPLEMENTO\.</w:t>
      </w:r>
    </w:p>
    <w:p w14:paraId="47FA7E32" w14:textId="77777777" w:rsidR="0000721B" w:rsidRDefault="00A371BD">
      <w:pPr>
        <w:pStyle w:val="Ttulo2"/>
        <w:spacing w:before="240" w:after="120"/>
      </w:pPr>
      <w:r>
        <w:t>5.13 Reglas de entrega y límites técnicos</w:t>
      </w:r>
    </w:p>
    <w:p w14:paraId="6FC814A2" w14:textId="77777777" w:rsidR="0000721B" w:rsidRDefault="00A371BD">
      <w:pPr>
        <w:pStyle w:val="Prrafodelista"/>
        <w:numPr>
          <w:ilvl w:val="0"/>
          <w:numId w:val="1"/>
        </w:numPr>
        <w:spacing w:after="80"/>
      </w:pPr>
      <w:r>
        <w:t>Todo entregable se guarda directamente sobre los archivos reales, en su ruta original (EDITABLE\, PDF\) —nunca se crean subcar</w:t>
      </w:r>
      <w:r>
        <w:t>petas nuevas salvo que ese grupo aún no tenga una estructura EDITABLE\/PDF\ propia.</w:t>
      </w:r>
    </w:p>
    <w:p w14:paraId="69CC8E33" w14:textId="77777777" w:rsidR="0000721B" w:rsidRDefault="00A371BD">
      <w:pPr>
        <w:pStyle w:val="Prrafodelista"/>
        <w:numPr>
          <w:ilvl w:val="0"/>
          <w:numId w:val="1"/>
        </w:numPr>
        <w:spacing w:after="80"/>
      </w:pPr>
      <w:r>
        <w:t>Si el archivo destino está abierto en Word/Excel al momento de guardar, el guardado se rechaza —hay que cerrarlo y reintentar.</w:t>
      </w:r>
    </w:p>
    <w:p w14:paraId="67782466" w14:textId="77777777" w:rsidR="0000721B" w:rsidRDefault="00A371BD">
      <w:pPr>
        <w:pStyle w:val="Prrafodelista"/>
        <w:numPr>
          <w:ilvl w:val="0"/>
          <w:numId w:val="1"/>
        </w:numPr>
        <w:spacing w:after="80"/>
      </w:pPr>
      <w:r>
        <w:t xml:space="preserve">Un </w:t>
      </w:r>
      <w:proofErr w:type="spellStart"/>
      <w:r>
        <w:t>checklist</w:t>
      </w:r>
      <w:proofErr w:type="spellEnd"/>
      <w:r>
        <w:t xml:space="preserve"> con fotos incrustadas que supera</w:t>
      </w:r>
      <w:r>
        <w:t xml:space="preserve"> ~20MB no se puede escribir de vuelta por el puente al equipo del usuario; si supera ~30MB, tampoco se puede enviar por chat. En ese caso extremo, la única opción es comunicar al usuario los valores exactos para que los escriba a mano en su propio archivo.</w:t>
      </w:r>
    </w:p>
    <w:p w14:paraId="07195026" w14:textId="77777777" w:rsidR="0000721B" w:rsidRDefault="00A371BD">
      <w:pPr>
        <w:pStyle w:val="Prrafodelista"/>
        <w:numPr>
          <w:ilvl w:val="0"/>
          <w:numId w:val="1"/>
        </w:numPr>
        <w:spacing w:after="80"/>
      </w:pPr>
      <w:r>
        <w:t xml:space="preserve">El archivo original del usuario nunca se reabre con </w:t>
      </w:r>
      <w:proofErr w:type="spellStart"/>
      <w:r>
        <w:t>openpyxl</w:t>
      </w:r>
      <w:proofErr w:type="spellEnd"/>
      <w:r>
        <w:t xml:space="preserve"> (ver 5.2).</w:t>
      </w:r>
    </w:p>
    <w:p w14:paraId="71247547" w14:textId="77777777" w:rsidR="0000721B" w:rsidRDefault="00A371BD">
      <w:pPr>
        <w:pStyle w:val="Ttulo2"/>
        <w:spacing w:before="240" w:after="120"/>
      </w:pPr>
      <w:r>
        <w:t>5.14 Dos escenarios de trabajo: con acceso al equipo del usuario, o solo por chat</w:t>
      </w:r>
    </w:p>
    <w:p w14:paraId="1EB41CD5" w14:textId="77777777" w:rsidR="0000721B" w:rsidRDefault="00A371BD">
      <w:pPr>
        <w:spacing w:after="120"/>
      </w:pPr>
      <w:r>
        <w:t xml:space="preserve">Este proyecto se ha trabajado hasta ahora con un asistente que tiene un puente directo al computador </w:t>
      </w:r>
      <w:r>
        <w:t>del usuario (puede leer y escribir archivos en el USB o carpeta local sin que el usuario suba/baje nada a mano). Pero el mismo proceso debe poder correr igual de bien con un asistente que SOLO tiene chat —por ejemplo, un colaborador usando una app de IA si</w:t>
      </w:r>
      <w:r>
        <w:t>n función de conectar carpetas de su equipo. El criterio técnico (PSAIM, motor de hallazgos, formato de tablas, reglas de negocio de las secciones 5.1 a 5.13) es IDÉNTICO en ambos escenarios —lo único que cambia es el mecanismo de entrada/salida de archivo</w:t>
      </w:r>
      <w:r>
        <w:t>s:</w:t>
      </w:r>
    </w:p>
    <w:p w14:paraId="7EC2CA8D" w14:textId="77777777" w:rsidR="0000721B" w:rsidRDefault="00A371BD">
      <w:pPr>
        <w:pStyle w:val="Prrafodelista"/>
        <w:numPr>
          <w:ilvl w:val="0"/>
          <w:numId w:val="1"/>
        </w:numPr>
        <w:spacing w:after="80"/>
      </w:pPr>
      <w:r>
        <w:rPr>
          <w:b/>
          <w:bCs/>
        </w:rPr>
        <w:lastRenderedPageBreak/>
        <w:t xml:space="preserve">Insumos: </w:t>
      </w:r>
      <w:r>
        <w:t>con acceso al equipo, los archivos de entrada (</w:t>
      </w:r>
      <w:proofErr w:type="spellStart"/>
      <w:r>
        <w:t>checklist</w:t>
      </w:r>
      <w:proofErr w:type="spellEnd"/>
      <w:r>
        <w:t>, PSAIM, listado de alcance, plantilla) se leen directamente de la carpeta conectada. En modo solo chat, el usuario debe ADJUNTAR cada archivo de entrada directamente en la conversación —e</w:t>
      </w:r>
      <w:r>
        <w:t>l asistente los procesa desde ahí, sin poder navegar ninguna carpeta por su cuenta.</w:t>
      </w:r>
    </w:p>
    <w:p w14:paraId="11E185C0" w14:textId="77777777" w:rsidR="0000721B" w:rsidRDefault="00A371BD">
      <w:pPr>
        <w:pStyle w:val="Prrafodelista"/>
        <w:numPr>
          <w:ilvl w:val="0"/>
          <w:numId w:val="1"/>
        </w:numPr>
        <w:spacing w:after="80"/>
      </w:pPr>
      <w:r>
        <w:rPr>
          <w:b/>
          <w:bCs/>
        </w:rPr>
        <w:t xml:space="preserve">Entregables: </w:t>
      </w:r>
      <w:r>
        <w:t>con acceso al equipo, todo se escribe directamente sobre los archivos reales en la carpeta del usuario (regla 5.13) —nunca se usa una descarga de chat salvo ex</w:t>
      </w:r>
      <w:r>
        <w:t>cepción documentada (archivo que supera el límite de tamaño). En modo solo chat es al revés: la única vía posible es entregar cada archivo generado/parcheado como descarga en la conversación, porque no hay ninguna carpeta a la que escribir —el usuario debe</w:t>
      </w:r>
      <w:r>
        <w:t xml:space="preserve"> reemplazar manualmente el archivo original en su computador con la versión descargada.</w:t>
      </w:r>
    </w:p>
    <w:p w14:paraId="13D4DA6A" w14:textId="77777777" w:rsidR="0000721B" w:rsidRDefault="00A371BD">
      <w:pPr>
        <w:pStyle w:val="Prrafodelista"/>
        <w:numPr>
          <w:ilvl w:val="0"/>
          <w:numId w:val="1"/>
        </w:numPr>
        <w:spacing w:after="80"/>
      </w:pPr>
      <w:r>
        <w:rPr>
          <w:b/>
          <w:bCs/>
        </w:rPr>
        <w:t xml:space="preserve">Límites de tamaño: </w:t>
      </w:r>
      <w:r>
        <w:t xml:space="preserve">en modo solo chat, el único límite a vigilar es el de envío de un archivo por chat (~30MB); no aplica el límite de escritura al disco (~20MB) porque no se escribe a ningún disco. Si un </w:t>
      </w:r>
      <w:proofErr w:type="spellStart"/>
      <w:r>
        <w:t>checklist</w:t>
      </w:r>
      <w:proofErr w:type="spellEnd"/>
      <w:r>
        <w:t xml:space="preserve"> con fotos incrustadas supera ese límite, la única opción sigu</w:t>
      </w:r>
      <w:r>
        <w:t>e siendo comunicar al usuario los valores exactos para que los transcriba a mano (regla 5.13).</w:t>
      </w:r>
    </w:p>
    <w:p w14:paraId="67CBC8CE" w14:textId="77777777" w:rsidR="0000721B" w:rsidRDefault="00A371BD">
      <w:pPr>
        <w:spacing w:after="120"/>
      </w:pPr>
      <w:r>
        <w:t>Antes de empezar a trabajar un grupo, confirmar cuál de los dos escenarios aplica —no asumirlo—, porque decide cómo se reciben los insumos y cómo se entrega cada</w:t>
      </w:r>
      <w:r>
        <w:t xml:space="preserve"> archivo.</w:t>
      </w:r>
    </w:p>
    <w:p w14:paraId="0FE37ECD" w14:textId="77777777" w:rsidR="0000721B" w:rsidRDefault="00A371BD">
      <w:pPr>
        <w:pStyle w:val="Ttulo2"/>
        <w:spacing w:before="240" w:after="120"/>
      </w:pPr>
      <w:r>
        <w:t>5.15 Numeración de la tabla 9.0 (Hallazgos): el dato de PSAIM NUNCA se numera</w:t>
      </w:r>
    </w:p>
    <w:p w14:paraId="25842A88" w14:textId="77777777" w:rsidR="0000721B" w:rsidRDefault="00A371BD">
      <w:pPr>
        <w:spacing w:after="120"/>
      </w:pPr>
      <w:r>
        <w:t>En la línea con Alcance = LINEAS (la que tiene PSAIM), la celda de la tabla 9.0 CIRCUITO/LÍNEA empieza con un párrafo informativo de Rate de Corrosión y Vida útil (o su</w:t>
      </w:r>
      <w:r>
        <w:t xml:space="preserve"> </w:t>
      </w:r>
      <w:proofErr w:type="spellStart"/>
      <w:r>
        <w:t>placeholder</w:t>
      </w:r>
      <w:proofErr w:type="spellEnd"/>
      <w:r>
        <w:t xml:space="preserve"> “PENDIENTE (falta el reporte PSAIM de esta línea)” si aún no llega el archivo, ver 5.3) — este párrafo NUNCA lleva numeración (ni viñeta ni “1)”): se deja como texto aparte, sin numerar. Solo los HALLAZGOS reales de la inspección (defectos enc</w:t>
      </w:r>
      <w:r>
        <w:t>ontrados en campo) se numeran “1)”, “2)”, “3</w:t>
      </w:r>
      <w:proofErr w:type="gramStart"/>
      <w:r>
        <w:t>)”...</w:t>
      </w:r>
      <w:proofErr w:type="gramEnd"/>
    </w:p>
    <w:p w14:paraId="5A6075C0" w14:textId="77777777" w:rsidR="0000721B" w:rsidRDefault="00A371BD">
      <w:pPr>
        <w:spacing w:after="120"/>
      </w:pPr>
      <w:r>
        <w:t>Motivo: el número de cada Hallazgo en la tabla 9.0 debe corresponder exactamente con el número de su Recomendación en la tabla 2.0 (Hallazgo “1)” ↔ Recomendación “1)”, etc.). Si el párrafo de PSAIM se numer</w:t>
      </w:r>
      <w:r>
        <w:t>ara como “1)”, desplazaría esa correspondencia para el resto de hallazgos de la línea —confirmado como error real por el usuario el 16/09/2026.</w:t>
      </w:r>
    </w:p>
    <w:p w14:paraId="4192387E" w14:textId="77777777" w:rsidR="0000721B" w:rsidRDefault="00A371BD">
      <w:pPr>
        <w:pStyle w:val="Ttulo1"/>
        <w:spacing w:before="360" w:after="160"/>
      </w:pPr>
      <w:r>
        <w:t>6. Limitaciones conocidas</w:t>
      </w:r>
    </w:p>
    <w:p w14:paraId="218E0946" w14:textId="77777777" w:rsidR="0000721B" w:rsidRDefault="00A371BD">
      <w:pPr>
        <w:pStyle w:val="Prrafodelista"/>
        <w:numPr>
          <w:ilvl w:val="0"/>
          <w:numId w:val="1"/>
        </w:numPr>
        <w:spacing w:after="80"/>
      </w:pPr>
      <w:r>
        <w:t>En grupos con más de 2 líneas, las filas clonadas de las tablas pueden heredar detalle</w:t>
      </w:r>
      <w:r>
        <w:t>s de formato menores de la fila molde (fuente por tema en vez de explícita en alguna celda) —sin efecto en el contenido, pero conviene abrir el .docx resultante en Word antes de entregar para confirmar que los saltos de página y alturas de fila se ven bien</w:t>
      </w:r>
      <w:r>
        <w:t>.</w:t>
      </w:r>
    </w:p>
    <w:p w14:paraId="6106918D" w14:textId="77777777" w:rsidR="0000721B" w:rsidRDefault="00A371BD">
      <w:pPr>
        <w:pStyle w:val="Prrafodelista"/>
        <w:numPr>
          <w:ilvl w:val="0"/>
          <w:numId w:val="1"/>
        </w:numPr>
        <w:spacing w:after="80"/>
      </w:pPr>
      <w:r>
        <w:t xml:space="preserve">El </w:t>
      </w:r>
      <w:proofErr w:type="spellStart"/>
      <w:r>
        <w:t>parser</w:t>
      </w:r>
      <w:proofErr w:type="spellEnd"/>
      <w:r>
        <w:t xml:space="preserve"> del </w:t>
      </w:r>
      <w:proofErr w:type="spellStart"/>
      <w:r>
        <w:t>checklist</w:t>
      </w:r>
      <w:proofErr w:type="spellEnd"/>
      <w:r>
        <w:t xml:space="preserve"> (que detecta A/O/R/NA y arma el comentario) no ha sido probado aún contra todos los formatos de </w:t>
      </w:r>
      <w:proofErr w:type="spellStart"/>
      <w:r>
        <w:t>checklist</w:t>
      </w:r>
      <w:proofErr w:type="spellEnd"/>
      <w:r>
        <w:t xml:space="preserve"> reales que puedan existir —revisar el resultado antes de confiar ciegamente en él con un formato nunca visto.</w:t>
      </w:r>
    </w:p>
    <w:p w14:paraId="540AC73B" w14:textId="77777777" w:rsidR="0000721B" w:rsidRDefault="00A371BD">
      <w:pPr>
        <w:pStyle w:val="Prrafodelista"/>
        <w:numPr>
          <w:ilvl w:val="0"/>
          <w:numId w:val="1"/>
        </w:numPr>
        <w:spacing w:after="80"/>
      </w:pPr>
      <w:r>
        <w:t>La selección d</w:t>
      </w:r>
      <w:r>
        <w:t>el mecanismo de daño (tabla 8.0) sigue siendo una elección manual por grupo, según los hallazgos reales —no está automatizada.</w:t>
      </w:r>
    </w:p>
    <w:p w14:paraId="3C8A09AF" w14:textId="77777777" w:rsidR="0000721B" w:rsidRDefault="00A371BD">
      <w:pPr>
        <w:pStyle w:val="Prrafodelista"/>
        <w:numPr>
          <w:ilvl w:val="0"/>
          <w:numId w:val="1"/>
        </w:numPr>
        <w:spacing w:after="80"/>
      </w:pPr>
      <w:r>
        <w:t>El código de barra/letra de unidad del USB cambia según la computadora —nunca asumir F:\ o D:\, siempre verificar.</w:t>
      </w:r>
    </w:p>
    <w:p w14:paraId="16A263F4" w14:textId="77777777" w:rsidR="0000721B" w:rsidRDefault="00A371BD">
      <w:pPr>
        <w:pStyle w:val="Ttulo1"/>
        <w:spacing w:before="360" w:after="160"/>
      </w:pPr>
      <w:r>
        <w:t>7. Apéndice técnico</w:t>
      </w:r>
    </w:p>
    <w:p w14:paraId="6EE15843" w14:textId="77777777" w:rsidR="0000721B" w:rsidRDefault="00A371BD">
      <w:pPr>
        <w:pStyle w:val="Ttulo2"/>
        <w:spacing w:before="240" w:after="120"/>
      </w:pPr>
      <w:r>
        <w:t>7.1 Arquitectura de _scripts\</w:t>
      </w:r>
      <w:proofErr w:type="spellStart"/>
      <w:r>
        <w:t>generar_informe</w:t>
      </w:r>
      <w:proofErr w:type="spellEnd"/>
      <w:r>
        <w:t>\</w:t>
      </w:r>
    </w:p>
    <w:p w14:paraId="5603ED43" w14:textId="77777777" w:rsidR="0000721B" w:rsidRDefault="00A371BD">
      <w:pPr>
        <w:pStyle w:val="Prrafodelista"/>
        <w:numPr>
          <w:ilvl w:val="0"/>
          <w:numId w:val="1"/>
        </w:numPr>
        <w:spacing w:after="80"/>
      </w:pPr>
      <w:r>
        <w:t xml:space="preserve">docxlib.py — </w:t>
      </w:r>
      <w:proofErr w:type="spellStart"/>
      <w:r>
        <w:t>helpers</w:t>
      </w:r>
      <w:proofErr w:type="spellEnd"/>
      <w:r>
        <w:t xml:space="preserve"> de bajo nivel sobre el árbol XML del .docx (clonado de filas/párrafos, regeneración de </w:t>
      </w:r>
      <w:proofErr w:type="spellStart"/>
      <w:r>
        <w:t>IDs</w:t>
      </w:r>
      <w:proofErr w:type="spellEnd"/>
      <w:r>
        <w:t xml:space="preserve">, reemplazo de imagen de portada, </w:t>
      </w:r>
      <w:proofErr w:type="spellStart"/>
      <w:r>
        <w:t>checkmarks</w:t>
      </w:r>
      <w:proofErr w:type="spellEnd"/>
      <w:r>
        <w:t xml:space="preserve"> Wingdings).</w:t>
      </w:r>
    </w:p>
    <w:p w14:paraId="6FB204F8" w14:textId="77777777" w:rsidR="0000721B" w:rsidRDefault="00A371BD">
      <w:pPr>
        <w:pStyle w:val="Prrafodelista"/>
        <w:numPr>
          <w:ilvl w:val="0"/>
          <w:numId w:val="1"/>
        </w:numPr>
        <w:spacing w:after="80"/>
      </w:pPr>
      <w:r>
        <w:t xml:space="preserve">informe.py — </w:t>
      </w:r>
      <w:proofErr w:type="spellStart"/>
      <w:r>
        <w:t>patchea</w:t>
      </w:r>
      <w:proofErr w:type="spellEnd"/>
      <w:r>
        <w:t xml:space="preserve"> l</w:t>
      </w:r>
      <w:r>
        <w:t>as tablas del informe (SUMARIO, RECOMENDACIONES, 7.0, 8.0, 9.0), arma la Recomendación #1 según Clase, la nota "solo VT", fecha/examinadores.</w:t>
      </w:r>
    </w:p>
    <w:p w14:paraId="1B7591EF" w14:textId="77777777" w:rsidR="0000721B" w:rsidRDefault="00A371BD">
      <w:pPr>
        <w:pStyle w:val="Prrafodelista"/>
        <w:numPr>
          <w:ilvl w:val="0"/>
          <w:numId w:val="1"/>
        </w:numPr>
        <w:spacing w:after="80"/>
      </w:pPr>
      <w:r>
        <w:t>inventario.py — cruce por TAG contra BASE_DE_DATOS_DE_LINEAS_FASE1.xlsx.</w:t>
      </w:r>
    </w:p>
    <w:p w14:paraId="086C50C6" w14:textId="77777777" w:rsidR="0000721B" w:rsidRDefault="00A371BD">
      <w:pPr>
        <w:pStyle w:val="Prrafodelista"/>
        <w:numPr>
          <w:ilvl w:val="0"/>
          <w:numId w:val="1"/>
        </w:numPr>
        <w:spacing w:after="80"/>
      </w:pPr>
      <w:r>
        <w:t>psaim.py — cálculo de Rate de Corrosión y</w:t>
      </w:r>
      <w:r>
        <w:t xml:space="preserve"> Vida Útil (sección 5.3).</w:t>
      </w:r>
    </w:p>
    <w:p w14:paraId="3E637254" w14:textId="77777777" w:rsidR="0000721B" w:rsidRDefault="00A371BD">
      <w:pPr>
        <w:pStyle w:val="Prrafodelista"/>
        <w:numPr>
          <w:ilvl w:val="0"/>
          <w:numId w:val="1"/>
        </w:numPr>
        <w:spacing w:after="80"/>
      </w:pPr>
      <w:r>
        <w:t xml:space="preserve">checklist.py — </w:t>
      </w:r>
      <w:proofErr w:type="spellStart"/>
      <w:r>
        <w:t>parser</w:t>
      </w:r>
      <w:proofErr w:type="spellEnd"/>
      <w:r>
        <w:t xml:space="preserve"> (lee A/O/R/NA + comentario) y </w:t>
      </w:r>
      <w:proofErr w:type="spellStart"/>
      <w:r>
        <w:t>patch</w:t>
      </w:r>
      <w:proofErr w:type="spellEnd"/>
      <w:r>
        <w:t xml:space="preserve"> (reemplaza Comentario por Recomendación sin dañar fotos).</w:t>
      </w:r>
    </w:p>
    <w:p w14:paraId="0825D56A" w14:textId="77777777" w:rsidR="0000721B" w:rsidRDefault="00A371BD">
      <w:pPr>
        <w:pStyle w:val="Prrafodelista"/>
        <w:numPr>
          <w:ilvl w:val="0"/>
          <w:numId w:val="1"/>
        </w:numPr>
        <w:spacing w:after="80"/>
      </w:pPr>
      <w:r>
        <w:t>anexos.py — genera los separadores y fusiona con contenido real.</w:t>
      </w:r>
    </w:p>
    <w:p w14:paraId="2E78EF44" w14:textId="77777777" w:rsidR="0000721B" w:rsidRDefault="00A371BD">
      <w:pPr>
        <w:pStyle w:val="Prrafodelista"/>
        <w:numPr>
          <w:ilvl w:val="0"/>
          <w:numId w:val="1"/>
        </w:numPr>
        <w:spacing w:after="80"/>
      </w:pPr>
      <w:r>
        <w:t xml:space="preserve">generar_informe.py — CLI orquestador; lee </w:t>
      </w:r>
      <w:proofErr w:type="spellStart"/>
      <w:proofErr w:type="gramStart"/>
      <w:r>
        <w:t>config.</w:t>
      </w:r>
      <w:r>
        <w:t>json</w:t>
      </w:r>
      <w:proofErr w:type="spellEnd"/>
      <w:proofErr w:type="gramEnd"/>
      <w:r>
        <w:t xml:space="preserve"> y corre los 3 pasos.</w:t>
      </w:r>
    </w:p>
    <w:p w14:paraId="707FE089" w14:textId="77777777" w:rsidR="0000721B" w:rsidRDefault="00A371BD">
      <w:pPr>
        <w:pStyle w:val="Ttulo2"/>
        <w:spacing w:before="240" w:after="120"/>
      </w:pPr>
      <w:r>
        <w:t xml:space="preserve">7.2 Estructura básica de </w:t>
      </w:r>
      <w:proofErr w:type="spellStart"/>
      <w:proofErr w:type="gramStart"/>
      <w:r>
        <w:t>config.json</w:t>
      </w:r>
      <w:proofErr w:type="spellEnd"/>
      <w:proofErr w:type="gramEnd"/>
    </w:p>
    <w:p w14:paraId="74D5E9FE" w14:textId="77777777" w:rsidR="0000721B" w:rsidRDefault="00A371BD">
      <w:pPr>
        <w:spacing w:after="120"/>
      </w:pPr>
      <w:r>
        <w:lastRenderedPageBreak/>
        <w:t xml:space="preserve">Ver </w:t>
      </w:r>
      <w:proofErr w:type="spellStart"/>
      <w:r>
        <w:t>config_</w:t>
      </w:r>
      <w:proofErr w:type="gramStart"/>
      <w:r>
        <w:t>ejemplo.json</w:t>
      </w:r>
      <w:proofErr w:type="spellEnd"/>
      <w:proofErr w:type="gramEnd"/>
      <w:r>
        <w:t xml:space="preserve"> dentro de la carpeta del script para el formato exacto. Campos típicos por grupo: código de grupo, código de informe, unidad, lista de líneas (SAP, TAG, alcance), rutas </w:t>
      </w:r>
      <w:r>
        <w:t xml:space="preserve">a los insumos (plantilla, inventario, </w:t>
      </w:r>
      <w:proofErr w:type="spellStart"/>
      <w:r>
        <w:t>checklist</w:t>
      </w:r>
      <w:proofErr w:type="spellEnd"/>
      <w:r>
        <w:t xml:space="preserve"> por línea, PSAIM por línea, anexos), </w:t>
      </w:r>
      <w:proofErr w:type="spellStart"/>
      <w:r>
        <w:t>fecha_inspeccion_inicio</w:t>
      </w:r>
      <w:proofErr w:type="spellEnd"/>
      <w:r>
        <w:t xml:space="preserve">/fin y examinadores (si no se toman automáticamente del </w:t>
      </w:r>
      <w:proofErr w:type="spellStart"/>
      <w:r>
        <w:t>checklist</w:t>
      </w:r>
      <w:proofErr w:type="spellEnd"/>
      <w:r>
        <w:t>).</w:t>
      </w:r>
    </w:p>
    <w:p w14:paraId="4D7EA9C9" w14:textId="77777777" w:rsidR="0000721B" w:rsidRDefault="00A371BD">
      <w:pPr>
        <w:pStyle w:val="Ttulo1"/>
        <w:spacing w:before="360" w:after="160"/>
      </w:pPr>
      <w:r>
        <w:t xml:space="preserve">8. </w:t>
      </w:r>
      <w:proofErr w:type="spellStart"/>
      <w:r>
        <w:t>Checklist</w:t>
      </w:r>
      <w:proofErr w:type="spellEnd"/>
      <w:r>
        <w:t xml:space="preserve"> de revisión final antes de dar un informe por definitivo</w:t>
      </w:r>
    </w:p>
    <w:p w14:paraId="0F446F3F" w14:textId="77777777" w:rsidR="0000721B" w:rsidRDefault="00A371BD">
      <w:pPr>
        <w:pStyle w:val="Prrafodelista"/>
        <w:numPr>
          <w:ilvl w:val="0"/>
          <w:numId w:val="1"/>
        </w:numPr>
        <w:spacing w:after="80"/>
      </w:pPr>
      <w:r>
        <w:t>¿El código</w:t>
      </w:r>
      <w:r>
        <w:t xml:space="preserve"> de grupo y de informe son los correctos en TODA la portada, banner y secciones internas (sin residuos de la plantilla base u otro grupo)?</w:t>
      </w:r>
    </w:p>
    <w:p w14:paraId="4F6C7497" w14:textId="77777777" w:rsidR="0000721B" w:rsidRDefault="00A371BD">
      <w:pPr>
        <w:pStyle w:val="Prrafodelista"/>
        <w:numPr>
          <w:ilvl w:val="0"/>
          <w:numId w:val="1"/>
        </w:numPr>
        <w:spacing w:after="80"/>
      </w:pPr>
      <w:r>
        <w:t xml:space="preserve">¿La Recomendación #1 usa el texto oficial de la Clase API 570 </w:t>
      </w:r>
      <w:proofErr w:type="gramStart"/>
      <w:r>
        <w:t>REAL del grupo (verificada, no asumida)?</w:t>
      </w:r>
      <w:proofErr w:type="gramEnd"/>
    </w:p>
    <w:p w14:paraId="0EC1A13F" w14:textId="77777777" w:rsidR="0000721B" w:rsidRDefault="00A371BD">
      <w:pPr>
        <w:pStyle w:val="Prrafodelista"/>
        <w:numPr>
          <w:ilvl w:val="0"/>
          <w:numId w:val="1"/>
        </w:numPr>
        <w:spacing w:after="80"/>
      </w:pPr>
      <w:r>
        <w:t>¿La tabla SUMA</w:t>
      </w:r>
      <w:r>
        <w:t>RIO muestra la Vida Útil con el criterio "&gt;umbral" cuando corresponde (no el valor exacto de más de 20/10 años)?</w:t>
      </w:r>
    </w:p>
    <w:p w14:paraId="35539FF1" w14:textId="77777777" w:rsidR="0000721B" w:rsidRDefault="00A371BD">
      <w:pPr>
        <w:pStyle w:val="Prrafodelista"/>
        <w:numPr>
          <w:ilvl w:val="0"/>
          <w:numId w:val="1"/>
        </w:numPr>
        <w:spacing w:after="80"/>
      </w:pPr>
      <w:proofErr w:type="gramStart"/>
      <w:r>
        <w:t>¿Cada hallazgo de corrosión "leve" fue revisado contra la regla de deterioro generalizado del recubrimiento antes de omitirlo (sección 5.</w:t>
      </w:r>
      <w:proofErr w:type="gramEnd"/>
      <w:r>
        <w:t>5)?</w:t>
      </w:r>
    </w:p>
    <w:p w14:paraId="642BA0EA" w14:textId="77777777" w:rsidR="0000721B" w:rsidRDefault="00A371BD">
      <w:pPr>
        <w:pStyle w:val="Prrafodelista"/>
        <w:numPr>
          <w:ilvl w:val="0"/>
          <w:numId w:val="1"/>
        </w:numPr>
        <w:spacing w:after="80"/>
      </w:pPr>
      <w:r>
        <w:t>¿L</w:t>
      </w:r>
      <w:r>
        <w:t>a numeración de las Recomendaciones reinicia correctamente por línea (no corre acumulada por toda la tabla)?</w:t>
      </w:r>
    </w:p>
    <w:p w14:paraId="78C90BF8" w14:textId="77777777" w:rsidR="0000721B" w:rsidRDefault="00A371BD">
      <w:pPr>
        <w:pStyle w:val="Prrafodelista"/>
        <w:numPr>
          <w:ilvl w:val="0"/>
          <w:numId w:val="1"/>
        </w:numPr>
        <w:spacing w:after="80"/>
      </w:pPr>
      <w:proofErr w:type="gramStart"/>
      <w:r>
        <w:t>¿La tabla 8.</w:t>
      </w:r>
      <w:proofErr w:type="gramEnd"/>
      <w:r>
        <w:t xml:space="preserve">0 usa el formato de 3 columnas con </w:t>
      </w:r>
      <w:proofErr w:type="spellStart"/>
      <w:r>
        <w:t>checkmark</w:t>
      </w:r>
      <w:proofErr w:type="spellEnd"/>
      <w:r>
        <w:t xml:space="preserve"> real (no "X" de texto)?</w:t>
      </w:r>
    </w:p>
    <w:p w14:paraId="53DD1690" w14:textId="77777777" w:rsidR="0000721B" w:rsidRDefault="00A371BD">
      <w:pPr>
        <w:pStyle w:val="Prrafodelista"/>
        <w:numPr>
          <w:ilvl w:val="0"/>
          <w:numId w:val="1"/>
        </w:numPr>
        <w:spacing w:after="80"/>
      </w:pPr>
      <w:proofErr w:type="gramStart"/>
      <w:r>
        <w:t>¿Las celdas sin dato de la tabla 7.</w:t>
      </w:r>
      <w:proofErr w:type="gramEnd"/>
      <w:r>
        <w:t>0 dicen "SIN DATO" (no "PENDIENTE" ni anotaciones entre paréntesis)?</w:t>
      </w:r>
    </w:p>
    <w:p w14:paraId="63B77AB0" w14:textId="77777777" w:rsidR="0000721B" w:rsidRDefault="00A371BD">
      <w:pPr>
        <w:pStyle w:val="Prrafodelista"/>
        <w:numPr>
          <w:ilvl w:val="0"/>
          <w:numId w:val="1"/>
        </w:numPr>
        <w:spacing w:after="80"/>
      </w:pPr>
      <w:r>
        <w:t>¿El rango de fechas de inspección es el mínimo/máximo real (sin excluir</w:t>
      </w:r>
      <w:r>
        <w:t xml:space="preserve"> fechas dispersas)?</w:t>
      </w:r>
    </w:p>
    <w:p w14:paraId="10EA8CC1" w14:textId="77777777" w:rsidR="0000721B" w:rsidRDefault="00A371BD">
      <w:pPr>
        <w:pStyle w:val="Prrafodelista"/>
        <w:numPr>
          <w:ilvl w:val="0"/>
          <w:numId w:val="1"/>
        </w:numPr>
        <w:spacing w:after="80"/>
      </w:pPr>
      <w:r>
        <w:t>¿El elaborador del informe fue confirmado con el usuario (no asumido) y aparece primero en la lista de examinadores?</w:t>
      </w:r>
    </w:p>
    <w:p w14:paraId="11268149" w14:textId="77777777" w:rsidR="0000721B" w:rsidRDefault="00A371BD">
      <w:pPr>
        <w:pStyle w:val="Prrafodelista"/>
        <w:numPr>
          <w:ilvl w:val="0"/>
          <w:numId w:val="1"/>
        </w:numPr>
        <w:spacing w:after="80"/>
      </w:pPr>
      <w:r>
        <w:t>¿Los nombres de archivo de los anexos están saneados para Windows (sin " ni /)?</w:t>
      </w:r>
    </w:p>
    <w:p w14:paraId="0D3A97B4" w14:textId="77777777" w:rsidR="0000721B" w:rsidRDefault="00A371BD">
      <w:pPr>
        <w:pStyle w:val="Prrafodelista"/>
        <w:numPr>
          <w:ilvl w:val="0"/>
          <w:numId w:val="1"/>
        </w:numPr>
        <w:spacing w:after="80"/>
      </w:pPr>
      <w:r>
        <w:t>¿La Recomendación #1, cuando el grupo m</w:t>
      </w:r>
      <w:r>
        <w:t xml:space="preserve">ezcla Clases, indica la CANTIDAD de líneas por Clase (no el listado completo de </w:t>
      </w:r>
      <w:proofErr w:type="spellStart"/>
      <w:r>
        <w:t>TAGs</w:t>
      </w:r>
      <w:proofErr w:type="spellEnd"/>
      <w:r>
        <w:t>)?</w:t>
      </w:r>
    </w:p>
    <w:p w14:paraId="1BDA8120" w14:textId="77777777" w:rsidR="0000721B" w:rsidRDefault="00A371BD">
      <w:pPr>
        <w:pStyle w:val="Prrafodelista"/>
        <w:numPr>
          <w:ilvl w:val="0"/>
          <w:numId w:val="1"/>
        </w:numPr>
        <w:spacing w:after="80"/>
      </w:pPr>
      <w:proofErr w:type="gramStart"/>
      <w:r>
        <w:t>¿En la tabla 9.</w:t>
      </w:r>
      <w:proofErr w:type="gramEnd"/>
      <w:r>
        <w:t xml:space="preserve">0, el párrafo de datos PSAIM (Rate de Corrosión/Vida Útil) quedó SIN numerar, y el primer hallazgo real numerado como "1)" corresponde a la Recomendación </w:t>
      </w:r>
      <w:r>
        <w:t>"1)" de la tabla 2.0?</w:t>
      </w:r>
    </w:p>
    <w:p w14:paraId="28986CF6" w14:textId="77777777" w:rsidR="0000721B" w:rsidRDefault="00A371BD">
      <w:pPr>
        <w:pStyle w:val="Prrafodelista"/>
        <w:numPr>
          <w:ilvl w:val="0"/>
          <w:numId w:val="1"/>
        </w:numPr>
        <w:spacing w:after="80"/>
      </w:pPr>
      <w:proofErr w:type="gramStart"/>
      <w:r>
        <w:t xml:space="preserve">¿Se renderizó </w:t>
      </w:r>
      <w:proofErr w:type="spellStart"/>
      <w:r>
        <w:t>el</w:t>
      </w:r>
      <w:proofErr w:type="spellEnd"/>
      <w:r>
        <w:t xml:space="preserve"> .</w:t>
      </w:r>
      <w:proofErr w:type="gramEnd"/>
      <w:r>
        <w:t>docx a PDF y se revisó visualmente página por página (texto cortado, filas rotas, saltos de página)?</w:t>
      </w:r>
    </w:p>
    <w:p w14:paraId="7A98E604" w14:textId="77777777" w:rsidR="0000721B" w:rsidRDefault="00A371BD">
      <w:pPr>
        <w:pStyle w:val="Prrafodelista"/>
        <w:numPr>
          <w:ilvl w:val="0"/>
          <w:numId w:val="1"/>
        </w:numPr>
        <w:spacing w:after="80"/>
      </w:pPr>
      <w:r>
        <w:t>¿Quedan celdas "PENDIENTE" en el informe? Si es así, ¿están documentadas en una lista de pendientes aparte, y el us</w:t>
      </w:r>
      <w:r>
        <w:t>uario sabe qué falta para cerrarlas?</w:t>
      </w:r>
    </w:p>
    <w:sectPr w:rsidR="0000721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7B5900"/>
    <w:multiLevelType w:val="hybridMultilevel"/>
    <w:tmpl w:val="35EAB432"/>
    <w:lvl w:ilvl="0" w:tplc="5E58D862">
      <w:start w:val="1"/>
      <w:numFmt w:val="bullet"/>
      <w:lvlText w:val="•"/>
      <w:lvlJc w:val="left"/>
      <w:pPr>
        <w:ind w:left="360" w:hanging="260"/>
      </w:pPr>
    </w:lvl>
    <w:lvl w:ilvl="1" w:tplc="B1904D6E">
      <w:start w:val="1"/>
      <w:numFmt w:val="bullet"/>
      <w:lvlText w:val="◦"/>
      <w:lvlJc w:val="left"/>
      <w:pPr>
        <w:ind w:left="720" w:hanging="260"/>
      </w:pPr>
    </w:lvl>
    <w:lvl w:ilvl="2" w:tplc="DFF65AD6">
      <w:numFmt w:val="decimal"/>
      <w:lvlText w:val=""/>
      <w:lvlJc w:val="left"/>
    </w:lvl>
    <w:lvl w:ilvl="3" w:tplc="4574CDDA">
      <w:numFmt w:val="decimal"/>
      <w:lvlText w:val=""/>
      <w:lvlJc w:val="left"/>
    </w:lvl>
    <w:lvl w:ilvl="4" w:tplc="9C027B34">
      <w:numFmt w:val="decimal"/>
      <w:lvlText w:val=""/>
      <w:lvlJc w:val="left"/>
    </w:lvl>
    <w:lvl w:ilvl="5" w:tplc="DA0A3184">
      <w:numFmt w:val="decimal"/>
      <w:lvlText w:val=""/>
      <w:lvlJc w:val="left"/>
    </w:lvl>
    <w:lvl w:ilvl="6" w:tplc="E9748A46">
      <w:numFmt w:val="decimal"/>
      <w:lvlText w:val=""/>
      <w:lvlJc w:val="left"/>
    </w:lvl>
    <w:lvl w:ilvl="7" w:tplc="4B126384">
      <w:numFmt w:val="decimal"/>
      <w:lvlText w:val=""/>
      <w:lvlJc w:val="left"/>
    </w:lvl>
    <w:lvl w:ilvl="8" w:tplc="282CA762">
      <w:numFmt w:val="decimal"/>
      <w:lvlText w:val=""/>
      <w:lvlJc w:val="left"/>
    </w:lvl>
  </w:abstractNum>
  <w:abstractNum w:abstractNumId="1" w15:restartNumberingAfterBreak="0">
    <w:nsid w:val="79981659"/>
    <w:multiLevelType w:val="hybridMultilevel"/>
    <w:tmpl w:val="337A1F22"/>
    <w:lvl w:ilvl="0" w:tplc="BCF6D330">
      <w:start w:val="1"/>
      <w:numFmt w:val="bullet"/>
      <w:lvlText w:val="●"/>
      <w:lvlJc w:val="left"/>
      <w:pPr>
        <w:ind w:left="720" w:hanging="360"/>
      </w:pPr>
    </w:lvl>
    <w:lvl w:ilvl="1" w:tplc="69F6844E">
      <w:start w:val="1"/>
      <w:numFmt w:val="bullet"/>
      <w:lvlText w:val="○"/>
      <w:lvlJc w:val="left"/>
      <w:pPr>
        <w:ind w:left="1440" w:hanging="360"/>
      </w:pPr>
    </w:lvl>
    <w:lvl w:ilvl="2" w:tplc="3EE8B93E">
      <w:start w:val="1"/>
      <w:numFmt w:val="bullet"/>
      <w:lvlText w:val="■"/>
      <w:lvlJc w:val="left"/>
      <w:pPr>
        <w:ind w:left="2160" w:hanging="360"/>
      </w:pPr>
    </w:lvl>
    <w:lvl w:ilvl="3" w:tplc="F1C262D2">
      <w:start w:val="1"/>
      <w:numFmt w:val="bullet"/>
      <w:lvlText w:val="●"/>
      <w:lvlJc w:val="left"/>
      <w:pPr>
        <w:ind w:left="2880" w:hanging="360"/>
      </w:pPr>
    </w:lvl>
    <w:lvl w:ilvl="4" w:tplc="913C209A">
      <w:start w:val="1"/>
      <w:numFmt w:val="bullet"/>
      <w:lvlText w:val="○"/>
      <w:lvlJc w:val="left"/>
      <w:pPr>
        <w:ind w:left="3600" w:hanging="360"/>
      </w:pPr>
    </w:lvl>
    <w:lvl w:ilvl="5" w:tplc="36B8A044">
      <w:start w:val="1"/>
      <w:numFmt w:val="bullet"/>
      <w:lvlText w:val="■"/>
      <w:lvlJc w:val="left"/>
      <w:pPr>
        <w:ind w:left="4320" w:hanging="360"/>
      </w:pPr>
    </w:lvl>
    <w:lvl w:ilvl="6" w:tplc="DF6E1DE4">
      <w:start w:val="1"/>
      <w:numFmt w:val="bullet"/>
      <w:lvlText w:val="●"/>
      <w:lvlJc w:val="left"/>
      <w:pPr>
        <w:ind w:left="5040" w:hanging="360"/>
      </w:pPr>
    </w:lvl>
    <w:lvl w:ilvl="7" w:tplc="3B8A7964">
      <w:start w:val="1"/>
      <w:numFmt w:val="bullet"/>
      <w:lvlText w:val="●"/>
      <w:lvlJc w:val="left"/>
      <w:pPr>
        <w:ind w:left="5760" w:hanging="360"/>
      </w:pPr>
    </w:lvl>
    <w:lvl w:ilvl="8" w:tplc="74B6D8D8">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21B"/>
    <w:rsid w:val="0000721B"/>
    <w:rsid w:val="003A186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41378"/>
  <w15:docId w15:val="{FC9BCC7F-3A25-4D83-B5F8-7333ACCD5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4776</Words>
  <Characters>26269</Characters>
  <Application>Microsoft Office Word</Application>
  <DocSecurity>0</DocSecurity>
  <Lines>218</Lines>
  <Paragraphs>61</Paragraphs>
  <ScaleCrop>false</ScaleCrop>
  <Company/>
  <LinksUpToDate>false</LinksUpToDate>
  <CharactersWithSpaces>30984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Monthy Paifa del Aguila</cp:lastModifiedBy>
  <cp:revision>3</cp:revision>
  <dcterms:created xsi:type="dcterms:W3CDTF">2026-09-16T18:30:00Z</dcterms:created>
  <dcterms:modified xsi:type="dcterms:W3CDTF">2026-09-16T20:36:00Z</dcterms:modified>
</cp:coreProperties>
</file>