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3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andguard-uganda"/>
    <w:p>
      <w:pPr>
        <w:pStyle w:val="Heading1"/>
      </w:pPr>
      <w:r>
        <w:t xml:space="preserve">LandGuard Uganda</w:t>
      </w:r>
    </w:p>
    <w:bookmarkStart w:id="23" w:name="Xa6e0ee8206a08c742dd8d8462ecd0b138e9a8c6"/>
    <w:p>
      <w:pPr>
        <w:pStyle w:val="Heading2"/>
      </w:pPr>
      <w:r>
        <w:t xml:space="preserve">Blockchain-Enhanced Land Administration &amp; Titling Support System — Submission for the MoICT&amp;NG Government Systems Prototype Showcase</w:t>
      </w:r>
    </w:p>
    <w:p>
      <w:pPr>
        <w:pStyle w:val="FirstParagraph"/>
      </w:pPr>
      <w:r>
        <w:rPr>
          <w:b/>
          <w:bCs/>
        </w:rPr>
        <w:t xml:space="preserve">Thematic Area:</w:t>
      </w:r>
      <w:r>
        <w:t xml:space="preserve"> </w:t>
      </w:r>
      <w:r>
        <w:t xml:space="preserve">#2 — Land Administration &amp; Titling Support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Apache-2.0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https://github.com/mpairwe7/LandGuardUganda</w:t>
        </w:r>
      </w:hyperlink>
      <w:r>
        <w:t xml:space="preserve"> </w:t>
      </w:r>
      <w:r>
        <w:t xml:space="preserve">(open-source, public from day one)</w:t>
      </w:r>
      <w:r>
        <w:t xml:space="preserve"> </w:t>
      </w:r>
      <w:r>
        <w:rPr>
          <w:b/>
          <w:bCs/>
        </w:rPr>
        <w:t xml:space="preserve">Live deploy:</w:t>
      </w:r>
      <w:r>
        <w:t xml:space="preserve"> </w:t>
      </w:r>
      <w:hyperlink r:id="rId21">
        <w:r>
          <w:rPr>
            <w:rStyle w:val="Hyperlink"/>
          </w:rPr>
          <w:t xml:space="preserve">https://landguard-frontend-3d8aba74.renu-01.cranecloud.io</w:t>
        </w:r>
      </w:hyperlink>
      <w:r>
        <w:t xml:space="preserve"> </w:t>
      </w:r>
      <w:r>
        <w:t xml:space="preserve">· backend</w:t>
      </w:r>
      <w:r>
        <w:t xml:space="preserve"> </w:t>
      </w:r>
      <w:hyperlink r:id="rId22">
        <w:r>
          <w:rPr>
            <w:rStyle w:val="Hyperlink"/>
          </w:rPr>
          <w:t xml:space="preserve">https://landguard-backend-d1e66f33.renu-01.cranecloud.io</w:t>
        </w:r>
      </w:hyperlink>
      <w:r>
        <w:t xml:space="preserve"> </w:t>
      </w:r>
      <w:r>
        <w:rPr>
          <w:b/>
          <w:bCs/>
        </w:rPr>
        <w:t xml:space="preserve">Submission date:</w:t>
      </w:r>
      <w:r>
        <w:t xml:space="preserve"> </w:t>
      </w:r>
      <w:r>
        <w:t xml:space="preserve">26 May 2026</w:t>
      </w:r>
      <w:r>
        <w:t xml:space="preserve"> </w:t>
      </w:r>
      <w:r>
        <w:rPr>
          <w:b/>
          <w:bCs/>
        </w:rPr>
        <w:t xml:space="preserve">Showcase event:</w:t>
      </w:r>
      <w:r>
        <w:t xml:space="preserve"> </w:t>
      </w:r>
      <w:r>
        <w:t xml:space="preserve">25 June 2026 · Serena Conference Centre, Kampala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LandGuard Uganda is a</w:t>
      </w:r>
      <w:r>
        <w:t xml:space="preserve"> </w:t>
      </w:r>
      <w:r>
        <w:rPr>
          <w:b/>
          <w:bCs/>
        </w:rPr>
        <w:t xml:space="preserve">sovereign, open-source, dual-layer land registry</w:t>
      </w:r>
      <w:r>
        <w:t xml:space="preserve"> </w:t>
      </w:r>
      <w:r>
        <w:t xml:space="preserve">designed for adoption by the Ministry of Lands, Housing &amp; Urban Development (MoLHUD) and NITA-U. It pairs a</w:t>
      </w:r>
      <w:r>
        <w:t xml:space="preserve"> </w:t>
      </w:r>
      <w:r>
        <w:rPr>
          <w:b/>
          <w:bCs/>
        </w:rPr>
        <w:t xml:space="preserve">per-district hash-chained audit ledger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on-chain Merkle anchor</w:t>
      </w:r>
      <w:r>
        <w:t xml:space="preserve">, so every land title — issuance, transfer, KYC, dispute — can be verified independently by any citizen, journalist, lender, or court, anywhere in the world, with or without trust in LandGuard itself.</w:t>
      </w:r>
    </w:p>
    <w:p>
      <w:pPr>
        <w:pStyle w:val="BodyText"/>
      </w:pPr>
      <w:r>
        <w:t xml:space="preserve">The system addresses the structural problem that</w:t>
      </w:r>
      <w:r>
        <w:t xml:space="preserve"> </w:t>
      </w:r>
      <w:r>
        <w:rPr>
          <w:b/>
          <w:bCs/>
        </w:rPr>
        <w:t xml:space="preserve">roughly 60 % of Uganda’s land has unclear or contested ownership</w:t>
      </w:r>
      <w:r>
        <w:t xml:space="preserve"> </w:t>
      </w:r>
      <w:r>
        <w:t xml:space="preserve">by making the registry</w:t>
      </w:r>
      <w:r>
        <w:t xml:space="preserve"> </w:t>
      </w:r>
      <w:r>
        <w:rPr>
          <w:b/>
          <w:bCs/>
        </w:rPr>
        <w:t xml:space="preserve">publicly verifiable</w:t>
      </w:r>
      <w:r>
        <w:t xml:space="preserve"> </w:t>
      </w:r>
      <w:r>
        <w:t xml:space="preserve">rather than relying on institutional trust alone. A single QR scan on a printed title yields a Merkle proof; a</w:t>
      </w:r>
      <w:r>
        <w:t xml:space="preserve"> </w:t>
      </w:r>
      <w:r>
        <w:rPr>
          <w:i/>
          <w:iCs/>
        </w:rPr>
        <w:t xml:space="preserve">247</w:t>
      </w:r>
      <w:r>
        <w:t xml:space="preserve">256# USSD dial verifies the same title from a feature phone. Forgery is detectable in milliseconds; tampering with the registry is computationally infeasible without breaking a public blockchain.</w:t>
      </w:r>
    </w:p>
    <w:p>
      <w:pPr>
        <w:pStyle w:val="BodyText"/>
      </w:pPr>
      <w:r>
        <w:t xml:space="preserve">LandGuard is</w:t>
      </w:r>
      <w:r>
        <w:t xml:space="preserve"> </w:t>
      </w:r>
      <w:r>
        <w:rPr>
          <w:b/>
          <w:bCs/>
        </w:rPr>
        <w:t xml:space="preserve">production-grade by construction</w:t>
      </w:r>
      <w:r>
        <w:t xml:space="preserve">: 3-of-5 multi-signature custody of the on-chain registrar role (MoLHUD, NITA-U, district board, LandGuard, independent observer); AES-GCM 256 envelope encryption of NIN at rest with DPPA-2019 §26 erasure tombstones; circuit breakers on every external dependency; an idempotency middleware on every unsafe POST; a fraud-detection pipeline that</w:t>
      </w:r>
      <w:r>
        <w:t xml:space="preserve"> </w:t>
      </w:r>
      <w:r>
        <w:rPr>
          <w:b/>
          <w:bCs/>
        </w:rPr>
        <w:t xml:space="preserve">requires human affirmation before any title is FROZEN</w:t>
      </w:r>
      <w:r>
        <w:t xml:space="preserve"> </w:t>
      </w:r>
      <w:r>
        <w:t xml:space="preserve">(no auto-freeze invariant, documented in</w:t>
      </w:r>
      <w:r>
        <w:t xml:space="preserve"> </w:t>
      </w:r>
      <w:r>
        <w:rPr>
          <w:rStyle w:val="VerbatimChar"/>
        </w:rPr>
        <w:t xml:space="preserve">docs/AI_ETHICS_CHARTER.md</w:t>
      </w:r>
      <w:r>
        <w:t xml:space="preserve">).</w:t>
      </w:r>
    </w:p>
    <w:p>
      <w:pPr>
        <w:pStyle w:val="BodyText"/>
      </w:pPr>
      <w:r>
        <w:t xml:space="preserve">The platform is</w:t>
      </w:r>
      <w:r>
        <w:t xml:space="preserve"> </w:t>
      </w:r>
      <w:r>
        <w:rPr>
          <w:b/>
          <w:bCs/>
        </w:rPr>
        <w:t xml:space="preserve">ready for the Mityana pilot in October 2026</w:t>
      </w:r>
      <w:r>
        <w:t xml:space="preserve"> </w:t>
      </w:r>
      <w:r>
        <w:t xml:space="preserve">and is engineered to scale to all 130 districts and ~32 million NIN-bearing citizens without architectural rewrite. The MOU draft with Mityana District Land Board is in</w:t>
      </w:r>
      <w:r>
        <w:t xml:space="preserve"> </w:t>
      </w:r>
      <w:r>
        <w:rPr>
          <w:rStyle w:val="VerbatimChar"/>
        </w:rPr>
        <w:t xml:space="preserve">docs/moa-templates/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LandGuard serves five distinct audiences through one backbone: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Primary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Citizens</w:t>
            </w:r>
          </w:p>
        </w:tc>
        <w:tc>
          <w:tcPr/>
          <w:p>
            <w:pPr>
              <w:pStyle w:val="Compact"/>
            </w:pPr>
            <w:r>
              <w:t xml:space="preserve">Mobile-first PWA · USSD</w:t>
            </w:r>
            <w:r>
              <w:t xml:space="preserve"> </w:t>
            </w:r>
            <w:r>
              <w:rPr>
                <w:rStyle w:val="VerbatimChar"/>
              </w:rPr>
              <w:t xml:space="preserve">*247*256#</w:t>
            </w:r>
            <w:r>
              <w:t xml:space="preserve"> </w:t>
            </w:r>
            <w:r>
              <w:t xml:space="preserve">· SMS</w:t>
            </w:r>
          </w:p>
        </w:tc>
        <w:tc>
          <w:tcPr/>
          <w:p>
            <w:pPr>
              <w:pStyle w:val="Compact"/>
            </w:pPr>
            <w:r>
              <w:t xml:space="preserve">NIN + OTP (production: NIRA OIDC)</w:t>
            </w:r>
          </w:p>
        </w:tc>
        <w:tc>
          <w:tcPr/>
          <w:p>
            <w:pPr>
              <w:pStyle w:val="Compact"/>
            </w:pPr>
            <w:r>
              <w:t xml:space="preserve">Verify any title; view own parcels; receive transfer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Surveyors</w:t>
            </w:r>
          </w:p>
        </w:tc>
        <w:tc>
          <w:tcPr/>
          <w:p>
            <w:pPr>
              <w:pStyle w:val="Compact"/>
            </w:pPr>
            <w:r>
              <w:t xml:space="preserve">Tablet PWA with MapLibre + Turf overlap detection</w:t>
            </w:r>
          </w:p>
        </w:tc>
        <w:tc>
          <w:tcPr/>
          <w:p>
            <w:pPr>
              <w:pStyle w:val="Compact"/>
            </w:pPr>
            <w:r>
              <w:t xml:space="preserve">Staff IdP (production: Keycloak/NITA-U OIDC)</w:t>
            </w:r>
          </w:p>
        </w:tc>
        <w:tc>
          <w:tcPr/>
          <w:p>
            <w:pPr>
              <w:pStyle w:val="Compact"/>
            </w:pPr>
            <w:r>
              <w:t xml:space="preserve">Draw parcel polygons; submit boundaries with real-time conflict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 Officers</w:t>
            </w:r>
          </w:p>
        </w:tc>
        <w:tc>
          <w:tcPr/>
          <w:p>
            <w:pPr>
              <w:pStyle w:val="Compact"/>
            </w:pPr>
            <w:r>
              <w:t xml:space="preserve">Tablet / desktop</w:t>
            </w:r>
          </w:p>
        </w:tc>
        <w:tc>
          <w:tcPr/>
          <w:p>
            <w:pPr>
              <w:pStyle w:val="Compact"/>
            </w:pPr>
            <w:r>
              <w:t xml:space="preserve">Staff IdP, role-scoped to district</w:t>
            </w:r>
          </w:p>
        </w:tc>
        <w:tc>
          <w:tcPr/>
          <w:p>
            <w:pPr>
              <w:pStyle w:val="Compact"/>
            </w:pPr>
            <w:r>
              <w:t xml:space="preserve">KYC NIN-verification queue; fraud-review queue with explainable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Registrars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Staff IdP, REGISTRAR role</w:t>
            </w:r>
          </w:p>
        </w:tc>
        <w:tc>
          <w:tcPr/>
          <w:p>
            <w:pPr>
              <w:pStyle w:val="Compact"/>
            </w:pPr>
            <w:r>
              <w:t xml:space="preserve">Title issuance; transfer approval; manual anchor flush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Auditors / NGOs / journalists / lenders</w:t>
            </w:r>
          </w:p>
        </w:tc>
        <w:tc>
          <w:tcPr/>
          <w:p>
            <w:pPr>
              <w:pStyle w:val="Compact"/>
            </w:pPr>
            <w:r>
              <w:t xml:space="preserve">Any device —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is public, no 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any title; inspect the audit chain; consume on-chain Merkle proofs</w:t>
            </w:r>
          </w:p>
        </w:tc>
      </w:tr>
    </w:tbl>
    <w:p>
      <w:pPr>
        <w:pStyle w:val="CaptionedFigure"/>
      </w:pPr>
      <w:r>
        <w:drawing>
          <wp:inline>
            <wp:extent cx="5334000" cy="2770654"/>
            <wp:effectExtent b="0" l="0" r="0" t="0"/>
            <wp:docPr descr="Figure 1 — C4 System Context. Citizens, surveyors, officers, registrars, and auditors all interact with LandGuard, which talks to NIRA for identity, MoLHUD LIS, UCC USSD, the public Ethereum chain, and NITA-U Government Cloud." title="" id="26" name="Picture"/>
            <a:graphic>
              <a:graphicData uri="http://schemas.openxmlformats.org/drawingml/2006/picture">
                <pic:pic>
                  <pic:nvPicPr>
                    <pic:cNvPr descr="figures/01-c4-contex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C4 System Context. Citizens, surveyors, officers, registrars, and auditors all interact with LandGuard, which talks to NIRA for identity, MoLHUD LIS, UCC USSD, the public Ethereum chain, and NITA-U Government Cloud.</w:t>
      </w:r>
    </w:p>
    <w:p>
      <w:pPr>
        <w:pStyle w:val="BodyText"/>
      </w:pPr>
      <w:r>
        <w:rPr>
          <w:i/>
          <w:iCs/>
        </w:rPr>
        <w:t xml:space="preserve">Figure 1 — System context. The auditor / citizen path on the right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publicly verifiable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any LandGuard credential.</w:t>
      </w:r>
    </w:p>
    <w:p>
      <w:pPr>
        <w:pStyle w:val="BodyText"/>
      </w:pPr>
      <w:r>
        <w:t xml:space="preserve">The architecture is</w:t>
      </w:r>
      <w:r>
        <w:t xml:space="preserve"> </w:t>
      </w:r>
      <w:r>
        <w:rPr>
          <w:b/>
          <w:bCs/>
        </w:rPr>
        <w:t xml:space="preserve">dual-layer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Off-chain hash-chained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backend/app/audit/</w:t>
      </w:r>
      <w:r>
        <w:t xml:space="preserve">) — every event (</w:t>
      </w:r>
      <w:r>
        <w:rPr>
          <w:rStyle w:val="VerbatimChar"/>
        </w:rPr>
        <w:t xml:space="preserve">PARCEL_REGISTERED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TRANSFER_*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DISPUTE_*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FRAUD_HUMAN_AFFIRMED</w:t>
      </w:r>
      <w:r>
        <w:t xml:space="preserve">) is appended to a per-district SQLite-WAL/Postgres ledger with</w:t>
      </w:r>
      <w:r>
        <w:t xml:space="preserve"> </w:t>
      </w:r>
      <w:r>
        <w:rPr>
          <w:rStyle w:val="VerbatimChar"/>
        </w:rPr>
        <w:t xml:space="preserve">seq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row_hash</w:t>
      </w:r>
      <w:r>
        <w:t xml:space="preserve">.</w:t>
      </w:r>
      <w:r>
        <w:t xml:space="preserve"> </w:t>
      </w:r>
      <w:r>
        <w:rPr>
          <w:b/>
          <w:bCs/>
        </w:rPr>
        <w:t xml:space="preserve">Tamper-evident</w:t>
      </w:r>
      <w:r>
        <w:t xml:space="preserve"> </w:t>
      </w:r>
      <w:r>
        <w:t xml:space="preserve">by construction; an auditor can re-walk the chain and verify integrity in seconds.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On-chain Merkle anchor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contracts/LandRegistryAnchor.sol</w:t>
      </w:r>
      <w:r>
        <w:t xml:space="preserve">) — every N seconds the anchor service builds a Merkle root from the unanchored events of each district and commits it via the 3-of-5</w:t>
      </w:r>
      <w:r>
        <w:t xml:space="preserve"> </w:t>
      </w:r>
      <w:r>
        <w:rPr>
          <w:rStyle w:val="VerbatimChar"/>
        </w:rPr>
        <w:t xml:space="preserve">MultiSigRegistrar</w:t>
      </w:r>
      <w:r>
        <w:t xml:space="preserve">. The root lives on Ethereum Sepolia (pilot) and is committable to any EAC-region permissioned chain at national rollout (ADR-0003).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dual-Merkle regime</w:t>
      </w:r>
      <w:r>
        <w:t xml:space="preserve"> </w:t>
      </w:r>
      <w:r>
        <w:t xml:space="preserve">(ADR-0001) is the cryptographic bridge: events are hashed with SHA-256 off-chain for ergonomic verification by any HTTP client; the same leaves are re-hashed with Keccak-256 sorted-pair Merkle for on-chain proof verification by</w:t>
      </w:r>
      <w:r>
        <w:t xml:space="preserve"> </w:t>
      </w:r>
      <w:r>
        <w:rPr>
          <w:rStyle w:val="VerbatimChar"/>
        </w:rPr>
        <w:t xml:space="preserve">MerkleProof.verify</w:t>
      </w:r>
      <w:r>
        <w:t xml:space="preserve">. The two trees are bridged by</w:t>
      </w:r>
      <w:r>
        <w:t xml:space="preserve"> </w:t>
      </w:r>
      <w:r>
        <w:rPr>
          <w:rStyle w:val="VerbatimChar"/>
        </w:rPr>
        <w:t xml:space="preserve">keccak(sha256_hex_leaf)</w:t>
      </w:r>
      <w:r>
        <w:t xml:space="preserve">, formally equivalent and</w:t>
      </w:r>
      <w:r>
        <w:t xml:space="preserve"> </w:t>
      </w:r>
      <w:r>
        <w:rPr>
          <w:b/>
          <w:bCs/>
        </w:rPr>
        <w:t xml:space="preserve">cross-tested in CI</w:t>
      </w:r>
      <w:r>
        <w:t xml:space="preserve"> </w:t>
      </w:r>
      <w:r>
        <w:t xml:space="preserve">between Python and TypeScript implementations.</w:t>
      </w:r>
    </w:p>
    <w:p>
      <w:r>
        <w:pict>
          <v:rect style="width:0;height:1.5pt" o:hralign="center" o:hrstd="t" o:hr="t"/>
        </w:pict>
      </w:r>
    </w:p>
    <w:bookmarkEnd w:id="28"/>
    <w:bookmarkStart w:id="29" w:name="key-features"/>
    <w:p>
      <w:pPr>
        <w:pStyle w:val="Heading2"/>
      </w:pPr>
      <w:r>
        <w:t xml:space="preserve">3.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Value to MoLHUD / Citizen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Merkle-proof verifier</w:t>
            </w:r>
          </w:p>
        </w:tc>
        <w:tc>
          <w:tcPr/>
          <w:p>
            <w:pPr>
              <w:pStyle w:val="Compact"/>
            </w:pPr>
            <w:r>
              <w:t xml:space="preserve">Any phone, any browser, any USSD line can verify a title independently of LandGuard. Forgery becomes computationally infeasible the moment a batch confirms on-chain.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3-of-5 multi-sig registrar</w:t>
            </w:r>
          </w:p>
        </w:tc>
        <w:tc>
          <w:tcPr/>
          <w:p>
            <w:pPr>
              <w:pStyle w:val="Compact"/>
            </w:pPr>
            <w:r>
              <w:t xml:space="preserve">No single party — not even LandGuard — can commit a title. Five named signers: MoLHUD, NITA-U, district board, LandGuard backend, independent observer. Custody documented in</w:t>
            </w:r>
            <w:r>
              <w:t xml:space="preserve"> </w:t>
            </w:r>
            <w:r>
              <w:rPr>
                <w:rStyle w:val="VerbatimChar"/>
              </w:rPr>
              <w:t xml:space="preserve">docs/CUSTODY.md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Hash-chained per-district ledger</w:t>
            </w:r>
          </w:p>
        </w:tc>
        <w:tc>
          <w:tcPr/>
          <w:p>
            <w:pPr>
              <w:pStyle w:val="Compact"/>
            </w:pPr>
            <w:r>
              <w:t xml:space="preserve">Tamper-evident off-chain. Every state change has a verifiable predecessor hash. Auditor console walks the chain end-to-end in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polygon overlap detection</w:t>
            </w:r>
          </w:p>
        </w:tc>
        <w:tc>
          <w:tcPr/>
          <w:p>
            <w:pPr>
              <w:pStyle w:val="Compact"/>
            </w:pPr>
            <w:r>
              <w:t xml:space="preserve">Surveyor draws on MapLibre; Turf.js flags geometry conflict with existing parcels before submission. Reduces boundary-dispute downstream 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Human-in-the-loop fraud detection</w:t>
            </w:r>
          </w:p>
        </w:tc>
        <w:tc>
          <w:tcPr/>
          <w:p>
            <w:pPr>
              <w:pStyle w:val="Compact"/>
            </w:pPr>
            <w:r>
              <w:t xml:space="preserve">IsolationForest + explicit rules (watchlist, rapid resale, duplicate NIN, geo-distance outlier).</w:t>
            </w:r>
            <w:r>
              <w:t xml:space="preserve"> </w:t>
            </w:r>
            <w:r>
              <w:rPr>
                <w:b/>
                <w:bCs/>
              </w:rPr>
              <w:t xml:space="preserve">No auto-FREEZE</w:t>
            </w:r>
            <w:r>
              <w:t xml:space="preserve"> </w:t>
            </w:r>
            <w:r>
              <w:t xml:space="preserve">invariant: only</w:t>
            </w:r>
            <w:r>
              <w:t xml:space="preserve"> </w:t>
            </w:r>
            <w:r>
              <w:rPr>
                <w:rStyle w:val="VerbatimChar"/>
              </w:rPr>
              <w:t xml:space="preserve">FRAUD_HUMAN_AFFIRMED</w:t>
            </w:r>
            <w:r>
              <w:t xml:space="preserve"> </w:t>
            </w:r>
            <w:r>
              <w:t xml:space="preserve">transitions a title to FROZEN. Officers must record a clinical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DPPA-2019 §26 right-to-erasure</w:t>
            </w:r>
          </w:p>
        </w:tc>
        <w:tc>
          <w:tcPr/>
          <w:p>
            <w:pPr>
              <w:pStyle w:val="Compact"/>
            </w:pPr>
            <w:r>
              <w:t xml:space="preserve">NIN is AES-GCM-256 encrypted at rest with a hashed surrogate for queries. Erasure replaces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 </w:t>
            </w:r>
            <w:r>
              <w:t xml:space="preserve">and re-keys the encrypted blob, leaving a tombstone audit event. Implementable per citizen request within ≤72 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DPPA-2019 §19 breach notification</w:t>
            </w:r>
          </w:p>
        </w:tc>
        <w:tc>
          <w:tcPr/>
          <w:p>
            <w:pPr>
              <w:pStyle w:val="Compact"/>
            </w:pPr>
            <w:r>
              <w:t xml:space="preserve">Runbook in</w:t>
            </w:r>
            <w:r>
              <w:t xml:space="preserve"> </w:t>
            </w:r>
            <w:r>
              <w:rPr>
                <w:rStyle w:val="VerbatimChar"/>
              </w:rPr>
              <w:t xml:space="preserve">docs/runbooks/dppa-breach-notification.md</w:t>
            </w:r>
            <w:r>
              <w:t xml:space="preserve"> </w:t>
            </w:r>
            <w:r>
              <w:t xml:space="preserve">— trigger criteria, hour-by-hour 72-h timeline, decision tree, role separation, PDPO + citizen-SMS templates, quarterly drill cadence.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Offline-aware public verifier</w:t>
            </w:r>
          </w:p>
        </w:tc>
        <w:tc>
          <w:tcPr/>
          <w:p>
            <w:pPr>
              <w:pStyle w:val="Compact"/>
            </w:pPr>
            <w:r>
              <w:t xml:space="preserve">Service worker pre-caches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, the Merkle proof bundle, and the on-chain root. A citizen with a printed title can verify it offline against the last-known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USSD + SMS verifier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  <w:r>
              <w:t xml:space="preserve"> </w:t>
            </w:r>
            <w:r>
              <w:rPr>
                <w:rStyle w:val="VerbatimChar"/>
              </w:rPr>
              <w:t xml:space="preserve">*247*256#</w:t>
            </w:r>
            <w:r>
              <w:t xml:space="preserve"> </w:t>
            </w:r>
            <w:r>
              <w:t xml:space="preserve">shortcode + SMS shortcode reach citizens without smartphones. Same Merkle proof, same verdict.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Resilience-by-design</w:t>
            </w:r>
          </w:p>
        </w:tc>
        <w:tc>
          <w:tcPr/>
          <w:p>
            <w:pPr>
              <w:pStyle w:val="Compact"/>
            </w:pPr>
            <w:r>
              <w:t xml:space="preserve">Circuit breakers on RPC and NIRA. Anchor-service queues during chain outage; UI flips ChainStatusBeacon to</w:t>
            </w:r>
            <w:r>
              <w:t xml:space="preserve"> </w:t>
            </w:r>
            <w:r>
              <w:t xml:space="preserve">“queued”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issuance never blocks on chain health</w:t>
            </w:r>
            <w:r>
              <w:t xml:space="preserve">. Demonstrated in Act 5 of the showcase storyboard.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English + Luganda stubbed</w:t>
            </w:r>
          </w:p>
        </w:tc>
        <w:tc>
          <w:tcPr/>
          <w:p>
            <w:pPr>
              <w:pStyle w:val="Compact"/>
            </w:pPr>
            <w:r>
              <w:t xml:space="preserve">Verifier page is the first locale-aware surface; Luganda working draft pending native-speaker review before pilot. Architecture scales to Lusoga / Runyankole / Luo / Acholi without code change.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technical-architecture"/>
    <w:p>
      <w:pPr>
        <w:pStyle w:val="Heading2"/>
      </w:pPr>
      <w:r>
        <w:t xml:space="preserve">4. Technical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16</w:t>
            </w:r>
            <w:r>
              <w:t xml:space="preserve"> </w:t>
            </w:r>
            <w:r>
              <w:t xml:space="preserve">(App Router, RSC, PWA), TypeScript strict, Tailwind 4, Zustand, TanStack Query, MapLibre + Turf, IndexedDB</w:t>
            </w:r>
          </w:p>
        </w:tc>
        <w:tc>
          <w:tcPr/>
          <w:p>
            <w:pPr>
              <w:pStyle w:val="Compact"/>
            </w:pPr>
            <w:r>
              <w:t xml:space="preserve">Stateless, low-bandwidth, offline-capable public verifier; locally re-staffable from Makerere CoCIS and MUST graduates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0.119+</w:t>
            </w:r>
            <w:r>
              <w:t xml:space="preserve">, Python 3.12+, Pydantic 2, async SQLAlchemy 2, structlog</w:t>
            </w:r>
          </w:p>
        </w:tc>
        <w:tc>
          <w:tcPr/>
          <w:p>
            <w:pPr>
              <w:pStyle w:val="Compact"/>
            </w:pPr>
            <w:r>
              <w:t xml:space="preserve">Async I/O for high concurrency on modest Crane Cloud hardware; strict schemas reject malformed input at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WAL</w:t>
            </w:r>
            <w:r>
              <w:t xml:space="preserve"> </w:t>
            </w:r>
            <w:r>
              <w:t xml:space="preserve">(pilot single-district) →</w:t>
            </w:r>
            <w:r>
              <w:t xml:space="preserve"> </w:t>
            </w:r>
            <w:r>
              <w:rPr>
                <w:b/>
                <w:bCs/>
              </w:rPr>
              <w:t xml:space="preserve">PostgreSQL 16 + PostGIS</w:t>
            </w:r>
            <w:r>
              <w:t xml:space="preserve"> </w:t>
            </w:r>
            <w:r>
              <w:t xml:space="preserve">(regional+)</w:t>
            </w:r>
          </w:p>
        </w:tc>
        <w:tc>
          <w:tcPr/>
          <w:p>
            <w:pPr>
              <w:pStyle w:val="Compact"/>
            </w:pPr>
            <w:r>
              <w:t xml:space="preserve">Pilot uses the simplest possible store; PostGIS scales to nationwide geometry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&amp;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Idempotency-key cache (24 h), fraud-scoring Redis stream, anchor-queue depth metric, rate-limit token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Solidity 0.8.24</w:t>
            </w:r>
            <w:r>
              <w:t xml:space="preserve">, Foundry; OpenZeppelin v5 access-control + ECDSA + MerkleProof</w:t>
            </w:r>
          </w:p>
        </w:tc>
        <w:tc>
          <w:tcPr/>
          <w:p>
            <w:pPr>
              <w:pStyle w:val="Compact"/>
            </w:pPr>
            <w:r>
              <w:t xml:space="preserve">Audit-grade, tested with</w:t>
            </w:r>
            <w:r>
              <w:t xml:space="preserve"> </w:t>
            </w:r>
            <w:r>
              <w:rPr>
                <w:rStyle w:val="VerbatimChar"/>
              </w:rPr>
              <w:t xml:space="preserve">forge test --gas-report</w:t>
            </w:r>
            <w:r>
              <w:t xml:space="preserve">, ready for CERT-UG-accredited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</w:t>
            </w:r>
          </w:p>
        </w:tc>
        <w:tc>
          <w:tcPr/>
          <w:p>
            <w:pPr>
              <w:pStyle w:val="Compact"/>
            </w:pPr>
            <w:r>
              <w:t xml:space="preserve">Ethereum</w:t>
            </w:r>
            <w:r>
              <w:t xml:space="preserve"> </w:t>
            </w:r>
            <w:r>
              <w:rPr>
                <w:b/>
                <w:bCs/>
              </w:rPr>
              <w:t xml:space="preserve">Sepolia</w:t>
            </w:r>
            <w:r>
              <w:t xml:space="preserve"> </w:t>
            </w:r>
            <w:r>
              <w:t xml:space="preserve">(pilot, gas-free testnet) →</w:t>
            </w:r>
            <w:r>
              <w:t xml:space="preserve"> </w:t>
            </w:r>
            <w:r>
              <w:rPr>
                <w:b/>
                <w:bCs/>
              </w:rPr>
              <w:t xml:space="preserve">EAC permissioned chain</w:t>
            </w:r>
            <w:r>
              <w:t xml:space="preserve"> </w:t>
            </w:r>
            <w:r>
              <w:t xml:space="preserve">(national, ADR-0003)</w:t>
            </w:r>
          </w:p>
        </w:tc>
        <w:tc>
          <w:tcPr/>
          <w:p>
            <w:pPr>
              <w:pStyle w:val="Compact"/>
            </w:pPr>
            <w:r>
              <w:t xml:space="preserve">Permissionless for transparency; permissioned for cost predictability at national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OpenTelemetry</w:t>
            </w:r>
            <w:r>
              <w:t xml:space="preserve"> </w:t>
            </w:r>
            <w:r>
              <w:t xml:space="preserve">(FastAPI, SQLAlchemy, Redis, HTTPX), structlog JSON logs, Prometheus metrics</w:t>
            </w:r>
          </w:p>
        </w:tc>
        <w:tc>
          <w:tcPr/>
          <w:p>
            <w:pPr>
              <w:pStyle w:val="Compact"/>
            </w:pPr>
            <w:r>
              <w:t xml:space="preserve">SIEM-ready out of the box (Loki, Splunk, Elastic, Wazuh); audit ledger doubles as security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Compose for local dev;</w:t>
            </w:r>
            <w:r>
              <w:t xml:space="preserve"> </w:t>
            </w:r>
            <w:r>
              <w:rPr>
                <w:b/>
                <w:bCs/>
              </w:rPr>
              <w:t xml:space="preserve">Crane Cloud RENU cluster</w:t>
            </w:r>
            <w:r>
              <w:t xml:space="preserve"> </w:t>
            </w:r>
            <w:r>
              <w:t xml:space="preserve">for staging + pilot; Kubernetes-ready (12-factor)</w:t>
            </w:r>
          </w:p>
        </w:tc>
        <w:tc>
          <w:tcPr/>
          <w:p>
            <w:pPr>
              <w:pStyle w:val="Compact"/>
            </w:pPr>
            <w:r>
              <w:t xml:space="preserve">Runs on-premise or in NITA-U Government Cloud; CI/CD pipeline documented in</w:t>
            </w:r>
            <w:r>
              <w:t xml:space="preserve"> </w:t>
            </w:r>
            <w:r>
              <w:rPr>
                <w:rStyle w:val="VerbatimChar"/>
              </w:rPr>
              <w:t xml:space="preserve">docs/CRANE_CLOUD_DEPLOYMENT.md</w:t>
            </w:r>
          </w:p>
        </w:tc>
      </w:tr>
    </w:tbl>
    <w:p>
      <w:pPr>
        <w:pStyle w:val="CaptionedFigure"/>
      </w:pPr>
      <w:r>
        <w:drawing>
          <wp:inline>
            <wp:extent cx="5334000" cy="7188257"/>
            <wp:effectExtent b="0" l="0" r="0" t="0"/>
            <wp:docPr descr="Figure 2 — Container diagram. The frontend pod serves HTML and the browser talks to the backend directly over CORS; the backend writes to the per-district audit ledger which feeds the anchor service." title="" id="31" name="Picture"/>
            <a:graphic>
              <a:graphicData uri="http://schemas.openxmlformats.org/drawingml/2006/picture">
                <pic:pic>
                  <pic:nvPicPr>
                    <pic:cNvPr descr="figures/02-c4-contain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8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Container diagram. The frontend pod serves HTML and the browser talks to the backend directly over CORS; the backend writes to the per-district audit ledger which feeds the anchor service.</w:t>
      </w:r>
    </w:p>
    <w:p>
      <w:pPr>
        <w:pStyle w:val="BodyText"/>
      </w:pPr>
      <w:r>
        <w:rPr>
          <w:i/>
          <w:iCs/>
        </w:rPr>
        <w:t xml:space="preserve">Figure 2 — Container topology. The browser→backend direct CORS path is required because Crane Cloud RENU pods have no outbound internet egress (verified empirically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docs/CRANE_CLOUD_DEPLOYMENT.md §9</w:t>
      </w:r>
      <w:r>
        <w:rPr>
          <w:i/>
          <w:iCs/>
        </w:rPr>
        <w:t xml:space="preserve">).</w:t>
      </w:r>
    </w:p>
    <w:p>
      <w:pPr>
        <w:pStyle w:val="BodyText"/>
      </w:pPr>
      <w:r>
        <w:t xml:space="preserve">The architecture is documented through three Architecture Decision Records (ADR-0001 dual-Merkle regime, ADR-0002 zero-trust posture with Uganda extensions to NIST SP 800-207, ADR-0003 EAC chain migration path) plus six proposed ADRs that close documented residual risks before pilot.</w:t>
      </w:r>
    </w:p>
    <w:p>
      <w:r>
        <w:pict>
          <v:rect style="width:0;height:1.5pt" o:hralign="center" o:hrstd="t" o:hr="t"/>
        </w:pict>
      </w:r>
    </w:p>
    <w:bookmarkEnd w:id="33"/>
    <w:bookmarkStart w:id="37" w:name="security-compliance"/>
    <w:p>
      <w:pPr>
        <w:pStyle w:val="Heading2"/>
      </w:pPr>
      <w:r>
        <w:t xml:space="preserve">5. Security &amp; Compliance</w:t>
      </w:r>
    </w:p>
    <w:p>
      <w:pPr>
        <w:pStyle w:val="FirstParagraph"/>
      </w:pPr>
      <w:r>
        <w:t xml:space="preserve">The security posture is</w:t>
      </w:r>
      <w:r>
        <w:t xml:space="preserve"> </w:t>
      </w:r>
      <w:r>
        <w:rPr>
          <w:b/>
          <w:bCs/>
        </w:rPr>
        <w:t xml:space="preserve">falsifiable</w:t>
      </w:r>
      <w:r>
        <w:t xml:space="preserve"> </w:t>
      </w:r>
      <w:r>
        <w:t xml:space="preserve">— every claim maps to a verifiable file or live endpoint in the 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sovereignty (NITA-U)</w:t>
            </w:r>
          </w:p>
        </w:tc>
        <w:tc>
          <w:tcPr/>
          <w:p>
            <w:pPr>
              <w:pStyle w:val="Compact"/>
            </w:pPr>
            <w:r>
              <w:t xml:space="preserve">Runs on Crane Cloud RENU (Makerere AI Lab) or in NITA-U Government Cloud; no PII leaves Uganda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docs/CRANE_CLOUD_DEPLOYMENT.md §10 Trust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DPPA-2019 (article-by-article)</w:t>
            </w:r>
          </w:p>
        </w:tc>
        <w:tc>
          <w:tcPr/>
          <w:p>
            <w:pPr>
              <w:pStyle w:val="Compact"/>
            </w:pPr>
            <w:r>
              <w:t xml:space="preserve">§3 → §34 mapped to code or operational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docs/STANDARDS_ALIGNMENT.md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docs/audit/THREAT_MODEL.md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(HS256 dev → RS256+JWKS via NIRA OIDC in production); pyjwt 2.12+; rate-limited login;</w:t>
            </w:r>
            <w:r>
              <w:t xml:space="preserve"> </w:t>
            </w:r>
            <w:r>
              <w:rPr>
                <w:rStyle w:val="VerbatimChar"/>
              </w:rPr>
              <w:t xml:space="preserve">Settings.assert_prod_safety()</w:t>
            </w:r>
            <w:r>
              <w:t xml:space="preserve"> </w:t>
            </w:r>
            <w:r>
              <w:t xml:space="preserve">refuses dev defaults in</w:t>
            </w:r>
            <w:r>
              <w:t xml:space="preserve"> </w:t>
            </w:r>
            <w:r>
              <w:rPr>
                <w:rStyle w:val="VerbatimChar"/>
              </w:rPr>
              <w:t xml:space="preserve">APP_ENV=production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backend/app/auth/jwt_auth.py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backend/app/config.py:114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</w:pPr>
            <w:r>
              <w:t xml:space="preserve">6-role hierarchy (CITIZEN &lt; SURVEYOR &lt; LAND_OFFICER &lt; REGISTRAR &lt; AUDITOR &lt; ADMIN) enforced at every endpoint via</w:t>
            </w:r>
            <w:r>
              <w:t xml:space="preserve"> </w:t>
            </w:r>
            <w:r>
              <w:rPr>
                <w:rStyle w:val="VerbatimChar"/>
              </w:rPr>
              <w:t xml:space="preserve">require_role(...)</w:t>
            </w:r>
            <w:r>
              <w:t xml:space="preserve">; X-Demo-Role escape hatch hard-gated to</w:t>
            </w:r>
            <w:r>
              <w:t xml:space="preserve"> </w:t>
            </w:r>
            <w:r>
              <w:rPr>
                <w:rStyle w:val="VerbatimChar"/>
              </w:rPr>
              <w:t xml:space="preserve">app_env != "production"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backend/app/auth/dependencies.py</w:t>
            </w:r>
            <w:r>
              <w:t xml:space="preserve">; matrix in routers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per district with</w:t>
            </w:r>
            <w:r>
              <w:t xml:space="preserve"> </w:t>
            </w:r>
            <w:r>
              <w:rPr>
                <w:rStyle w:val="VerbatimChar"/>
              </w:rPr>
              <w:t xml:space="preserve">seq / prev_hash / payload_hash / row_hash</w:t>
            </w:r>
            <w:r>
              <w:t xml:space="preserve">; emitted as structlog JSON for SIEM;</w:t>
            </w:r>
            <w:r>
              <w:t xml:space="preserve"> </w:t>
            </w:r>
            <w:r>
              <w:rPr>
                <w:b/>
                <w:bCs/>
              </w:rPr>
              <w:t xml:space="preserve">best-effort</w:t>
            </w:r>
            <w:r>
              <w:t xml:space="preserve"> </w:t>
            </w:r>
            <w:r>
              <w:t xml:space="preserve">— audit failures never crash user requests (Prometheus</w:t>
            </w:r>
            <w:r>
              <w:t xml:space="preserve"> </w:t>
            </w:r>
            <w:r>
              <w:rPr>
                <w:rStyle w:val="VerbatimChar"/>
              </w:rPr>
              <w:t xml:space="preserve">audit_failure_total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backend/app/audit/ledger.py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On-chain integrity</w:t>
            </w:r>
          </w:p>
        </w:tc>
        <w:tc>
          <w:tcPr/>
          <w:p>
            <w:pPr>
              <w:pStyle w:val="Compact"/>
            </w:pPr>
            <w:r>
              <w:t xml:space="preserve">Every anchored batch confirmable independently via</w:t>
            </w:r>
            <w:r>
              <w:t xml:space="preserve"> </w:t>
            </w:r>
            <w:r>
              <w:rPr>
                <w:rStyle w:val="VerbatimChar"/>
              </w:rPr>
              <w:t xml:space="preserve">MerkleProof.verify</w:t>
            </w:r>
            <w:r>
              <w:t xml:space="preserve"> </w:t>
            </w:r>
            <w:r>
              <w:t xml:space="preserve">on Sepolia; root + tx_hash + block_number returned by</w:t>
            </w:r>
            <w:r>
              <w:t xml:space="preserve"> </w:t>
            </w:r>
            <w:r>
              <w:rPr>
                <w:rStyle w:val="VerbatimChar"/>
              </w:rPr>
              <w:t xml:space="preserve">/api/v1/anchors</w:t>
            </w:r>
            <w:r>
              <w:t xml:space="preserve"> </w:t>
            </w:r>
            <w:r>
              <w:t xml:space="preserve">(public, no 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contracts/src/LandRegistryAnchor.sol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/api/v1/anchors/title/{title_no}/proof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Custody — multi-sig</w:t>
            </w:r>
          </w:p>
        </w:tc>
        <w:tc>
          <w:tcPr/>
          <w:p>
            <w:pPr>
              <w:pStyle w:val="Compact"/>
            </w:pPr>
            <w:r>
              <w:t xml:space="preserve">3-of-5</w:t>
            </w:r>
            <w:r>
              <w:t xml:space="preserve"> </w:t>
            </w:r>
            <w:r>
              <w:rPr>
                <w:rStyle w:val="VerbatimChar"/>
              </w:rPr>
              <w:t xml:space="preserve">MultiSigRegistrar.sol</w:t>
            </w:r>
            <w:r>
              <w:t xml:space="preserve"> </w:t>
            </w:r>
            <w:r>
              <w:t xml:space="preserve">gates</w:t>
            </w:r>
            <w:r>
              <w:t xml:space="preserve"> </w:t>
            </w:r>
            <w:r>
              <w:rPr>
                <w:rStyle w:val="VerbatimChar"/>
              </w:rPr>
              <w:t xml:space="preserve">commitBatch</w:t>
            </w:r>
            <w:r>
              <w:t xml:space="preserve">; backend key is one signer; co-signer daemon runs the other four during pilot until HSM custody is finalised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contracts/src/MultiSigRegistrar.sol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docs/CUSTODY.md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backend/scripts/co_sign_daemon.py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at rest</w:t>
            </w:r>
          </w:p>
        </w:tc>
        <w:tc>
          <w:tcPr/>
          <w:p>
            <w:pPr>
              <w:pStyle w:val="Compact"/>
            </w:pPr>
            <w:r>
              <w:t xml:space="preserve">NIN encrypted with AES-GCM 256 (</w:t>
            </w:r>
            <w:r>
              <w:rPr>
                <w:rStyle w:val="VerbatimChar"/>
              </w:rPr>
              <w:t xml:space="preserve">backend/app/crypto.py</w:t>
            </w:r>
            <w:r>
              <w:t xml:space="preserve">); SHA-256 surrogate for queries (</w:t>
            </w:r>
            <w:r>
              <w:rPr>
                <w:rStyle w:val="VerbatimChar"/>
              </w:rPr>
              <w:t xml:space="preserve">nin_hash</w:t>
            </w:r>
            <w:r>
              <w:t xml:space="preserve">); per-pod KMS-managed key at production 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backend/app/crypto.py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backend/app/db/migrations/001_init.sql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erasure (DPPA §26)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audit/ledger.py::erasure_tombstone()</w:t>
            </w:r>
            <w:r>
              <w:t xml:space="preserve"> </w:t>
            </w:r>
            <w:r>
              <w:t xml:space="preserve">replaces full_name + re-keys encrypted NIN; emits tombstone audit event; full audit chain remains verifiable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backend/app/audit/ledger.py:278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notification (DPPA §19)</w:t>
            </w:r>
          </w:p>
        </w:tc>
        <w:tc>
          <w:tcPr/>
          <w:p>
            <w:pPr>
              <w:pStyle w:val="Compact"/>
            </w:pPr>
            <w:r>
              <w:t xml:space="preserve">PDPO 72-hour timeline; trigger criteria, decision tree, role separation, PDPO + citizen-SMS templates, quarterly tabletop drill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docs/runbooks/dppa-breach-notification.md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</w:t>
            </w:r>
          </w:p>
        </w:tc>
        <w:tc>
          <w:tcPr/>
          <w:p>
            <w:pPr>
              <w:pStyle w:val="Compact"/>
            </w:pPr>
            <w:r>
              <w:t xml:space="preserve">STRIDE per asset; out-of-scope statement; pentest scope sized at UGX 17–23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docs/audit/THREAT_MODEL.md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docs/audit/PENTEST_SCOPE.md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vulnerability mgmt</w:t>
            </w:r>
          </w:p>
        </w:tc>
        <w:tc>
          <w:tcPr/>
          <w:p>
            <w:pPr>
              <w:pStyle w:val="Compact"/>
            </w:pPr>
            <w:r>
              <w:t xml:space="preserve">Weekly Dependabot (uv + npm + actions + docker); OSV-Scanner in CI; CycloneDX 1.5 SBOM per release (backend + frontend + contracts)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.github/dependabot.yml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evidence/sbom/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</w:t>
            </w:r>
          </w:p>
        </w:tc>
        <w:tc>
          <w:tcPr/>
          <w:p>
            <w:pPr>
              <w:pStyle w:val="Compact"/>
            </w:pPr>
            <w:r>
              <w:t xml:space="preserve">CERT-UG-accredited / Makerere CSL preferred vendor; engagement window Aug 2026; 14-day remediation buffer before Oct 2026 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docs/audit/PENTEST_SCOPE.md §5</w:t>
            </w:r>
          </w:p>
        </w:tc>
      </w:tr>
    </w:tbl>
    <w:p>
      <w:pPr>
        <w:pStyle w:val="BodyText"/>
      </w:pPr>
      <w:r>
        <w:rPr>
          <w:b/>
          <w:bCs/>
        </w:rPr>
        <w:t xml:space="preserve">Zero-trust posture</w:t>
      </w:r>
      <w:r>
        <w:t xml:space="preserve"> </w:t>
      </w:r>
      <w:r>
        <w:t xml:space="preserve">(ADR-0002): NIST SP 800-207 seven tenets mapped, with three Uganda extensions — sovereignty (no PII leaves Uganda), cryptographic accountability (every privileged action is anchored), and least-privilege custody (no single signer can commit). The audit chain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security telemetry; even if Crane Cloud’s control plane lied, the cryptographic integrity claims hold.</w:t>
      </w:r>
    </w:p>
    <w:p>
      <w:pPr>
        <w:pStyle w:val="CaptionedFigure"/>
      </w:pPr>
      <w:r>
        <w:drawing>
          <wp:inline>
            <wp:extent cx="5334000" cy="3866029"/>
            <wp:effectExtent b="0" l="0" r="0" t="0"/>
            <wp:docPr descr="Figure 3 — Security boundaries. Public, role-gated, and on-chain trust zones with the three-of-five multi-sig custody layer between LandGuard and the chain." title="" id="35" name="Picture"/>
            <a:graphic>
              <a:graphicData uri="http://schemas.openxmlformats.org/drawingml/2006/picture">
                <pic:pic>
                  <pic:nvPicPr>
                    <pic:cNvPr descr="figures/04-security-boundari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Security boundaries. Public, role-gated, and on-chain trust zones with the three-of-five multi-sig custody layer between LandGuard and the chain.</w:t>
      </w:r>
    </w:p>
    <w:p>
      <w:pPr>
        <w:pStyle w:val="BodyText"/>
      </w:pPr>
      <w:r>
        <w:rPr>
          <w:i/>
          <w:iCs/>
        </w:rPr>
        <w:t xml:space="preserve">Figure 3 — Trust zones. The chain is a separate boundary from LandGuard; no single party — not even LandGuard itself — can commit a title.</w:t>
      </w:r>
    </w:p>
    <w:p>
      <w:r>
        <w:pict>
          <v:rect style="width:0;height:1.5pt" o:hralign="center" o:hrstd="t" o:hr="t"/>
        </w:pict>
      </w:r>
    </w:p>
    <w:bookmarkEnd w:id="37"/>
    <w:bookmarkStart w:id="41" w:name="scalability-resilience"/>
    <w:p>
      <w:pPr>
        <w:pStyle w:val="Heading2"/>
      </w:pPr>
      <w:r>
        <w:t xml:space="preserve">6. Scalability &amp;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Pilot (Mityana, 1 district)</w:t>
            </w:r>
          </w:p>
        </w:tc>
        <w:tc>
          <w:tcPr/>
          <w:p>
            <w:pPr>
              <w:pStyle w:val="Compact"/>
            </w:pPr>
            <w:r>
              <w:t xml:space="preserve">Regional (10 districts)</w:t>
            </w:r>
          </w:p>
        </w:tc>
        <w:tc>
          <w:tcPr/>
          <w:p>
            <w:pPr>
              <w:pStyle w:val="Compact"/>
            </w:pPr>
            <w:r>
              <w:t xml:space="preserve">National (130 districts)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replicas</w:t>
            </w:r>
          </w:p>
        </w:tc>
        <w:tc>
          <w:tcPr/>
          <w:p>
            <w:pPr>
              <w:pStyle w:val="Compact"/>
            </w:pPr>
            <w:r>
              <w:t xml:space="preserve">1 × (1 vCPU, 1 GB) on Crane Cloud</w:t>
            </w:r>
          </w:p>
        </w:tc>
        <w:tc>
          <w:tcPr/>
          <w:p>
            <w:pPr>
              <w:pStyle w:val="Compact"/>
            </w:pPr>
            <w:r>
              <w:t xml:space="preserve">4 × (2 vCPU, 2 GB)</w:t>
            </w:r>
          </w:p>
        </w:tc>
        <w:tc>
          <w:tcPr/>
          <w:p>
            <w:pPr>
              <w:pStyle w:val="Compact"/>
            </w:pPr>
            <w:r>
              <w:t xml:space="preserve">16 × (4 vCPU, 4 GB), HPA-enabled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WAL on persistent volume</w:t>
            </w:r>
          </w:p>
        </w:tc>
        <w:tc>
          <w:tcPr/>
          <w:p>
            <w:pPr>
              <w:pStyle w:val="Compact"/>
            </w:pPr>
            <w:r>
              <w:t xml:space="preserve">Postgres 16 + PostGIS primary + replica</w:t>
            </w:r>
          </w:p>
        </w:tc>
        <w:tc>
          <w:tcPr/>
          <w:p>
            <w:pPr>
              <w:pStyle w:val="Compact"/>
            </w:pPr>
            <w:r>
              <w:t xml:space="preserve">Patroni 3-node + PgBouncer, partitioned by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Single node (fallback to in-memory)</w:t>
            </w:r>
          </w:p>
        </w:tc>
        <w:tc>
          <w:tcPr/>
          <w:p>
            <w:pPr>
              <w:pStyle w:val="Compact"/>
            </w:pPr>
            <w:r>
              <w:t xml:space="preserve">Sentinel HA</w:t>
            </w:r>
          </w:p>
        </w:tc>
        <w:tc>
          <w:tcPr/>
          <w:p>
            <w:pPr>
              <w:pStyle w:val="Compact"/>
            </w:pPr>
            <w:r>
              <w:t xml:space="preserve">Sentinel HA +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Sepolia testnet</w:t>
            </w:r>
          </w:p>
        </w:tc>
        <w:tc>
          <w:tcPr/>
          <w:p>
            <w:pPr>
              <w:pStyle w:val="Compact"/>
            </w:pPr>
            <w:r>
              <w:t xml:space="preserve">Sepolia + EAC permissioned bridge</w:t>
            </w:r>
          </w:p>
        </w:tc>
        <w:tc>
          <w:tcPr/>
          <w:p>
            <w:pPr>
              <w:pStyle w:val="Compact"/>
            </w:pPr>
            <w:r>
              <w:t xml:space="preserve">EAC permissioned chain (ADR-0003)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monthly cost (Crane Cloud)</w:t>
            </w:r>
          </w:p>
        </w:tc>
        <w:tc>
          <w:tcPr/>
          <w:p>
            <w:pPr>
              <w:pStyle w:val="Compact"/>
            </w:pPr>
            <w:r>
              <w:t xml:space="preserve">~ UGX 220 k</w:t>
            </w:r>
          </w:p>
        </w:tc>
        <w:tc>
          <w:tcPr/>
          <w:p>
            <w:pPr>
              <w:pStyle w:val="Compact"/>
            </w:pPr>
            <w:r>
              <w:t xml:space="preserve">~ UGX 1.8 M</w:t>
            </w:r>
          </w:p>
        </w:tc>
        <w:tc>
          <w:tcPr/>
          <w:p>
            <w:pPr>
              <w:pStyle w:val="Compact"/>
            </w:pPr>
            <w:r>
              <w:t xml:space="preserve">~ UGX 14 M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SLOs:</w:t>
      </w:r>
      <w:r>
        <w:t xml:space="preserve"> </w:t>
      </w:r>
      <w:r>
        <w:t xml:space="preserve">API availability 99.5 % monthly; p95 latency &lt; 300 ms (verifier reads), &lt; 800 ms (title issuance writes); RPO 15 min / RTO 60 min;</w:t>
      </w:r>
      <w:r>
        <w:t xml:space="preserve"> </w:t>
      </w:r>
      <w:r>
        <w:rPr>
          <w:b/>
          <w:bCs/>
        </w:rPr>
        <w:t xml:space="preserve">0 unrecoverable audit-log rows</w:t>
      </w:r>
      <w:r>
        <w:t xml:space="preserve"> </w:t>
      </w:r>
      <w:r>
        <w:t xml:space="preserve">(anchor chain provides infinite-retention proof of every event);</w:t>
      </w:r>
      <w:r>
        <w:t xml:space="preserve"> </w:t>
      </w:r>
      <w:r>
        <w:rPr>
          <w:b/>
          <w:bCs/>
        </w:rPr>
        <w:t xml:space="preserve">0 unauthenticated transfers</w:t>
      </w:r>
      <w:r>
        <w:t xml:space="preserve"> </w:t>
      </w:r>
      <w:r>
        <w:t xml:space="preserve">(multi-sig invariant).</w:t>
      </w:r>
    </w:p>
    <w:p>
      <w:pPr>
        <w:pStyle w:val="BodyText"/>
      </w:pPr>
      <w:r>
        <w:rPr>
          <w:b/>
          <w:bCs/>
        </w:rPr>
        <w:t xml:space="preserve">Resilience patterns</w:t>
      </w:r>
      <w:r>
        <w:t xml:space="preserve"> </w:t>
      </w:r>
      <w:r>
        <w:t xml:space="preserve">are first-class and demonstrated live in the Act 5 showcase storyboard: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Circuit breakers</w:t>
      </w:r>
      <w:r>
        <w:t xml:space="preserve"> </w:t>
      </w:r>
      <w:r>
        <w:t xml:space="preserve">per upstream (anchor RPC, NIRA, multi-sig co-signers). Half-open probing on recovery;</w:t>
      </w:r>
      <w:r>
        <w:t xml:space="preserve"> </w:t>
      </w:r>
      <w:r>
        <w:rPr>
          <w:rStyle w:val="VerbatimChar"/>
        </w:rPr>
        <w:t xml:space="preserve">breaker_state</w:t>
      </w:r>
      <w:r>
        <w:t xml:space="preserve"> </w:t>
      </w:r>
      <w:r>
        <w:t xml:space="preserve">exposed in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and the frontend ChainStatusBeacon.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Anchor queue</w:t>
      </w:r>
      <w:r>
        <w:t xml:space="preserve"> </w:t>
      </w:r>
      <w:r>
        <w:t xml:space="preserve">persists during chain outage in the off-chain ledger; on recovery the queue drains FIFO and confirms in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NIRA fallback cache</w:t>
      </w:r>
      <w:r>
        <w:t xml:space="preserve"> </w:t>
      </w:r>
      <w:r>
        <w:t xml:space="preserve">— last-known-good KYC verdicts survive an NIRA outage for the cache TTL window; circuit breaker prevents thundering herd on recovery.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Idempotency keys</w:t>
      </w:r>
      <w:r>
        <w:t xml:space="preserve"> </w:t>
      </w:r>
      <w:r>
        <w:t xml:space="preserve">on every unsafe HTTP method (24-hour replay window in Redis).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Service-worker offline cache</w:t>
      </w:r>
      <w:r>
        <w:t xml:space="preserve"> </w:t>
      </w:r>
      <w:r>
        <w:t xml:space="preserve">of the public verifier; a citizen can verify a printed title against the last cached on-chain root without network.</w:t>
      </w:r>
    </w:p>
    <w:p>
      <w:pPr>
        <w:pStyle w:val="FirstParagraph"/>
      </w:pPr>
      <w:r>
        <w:t xml:space="preserve">A reproducible resilience demo runs in 30 seconds:</w:t>
      </w:r>
      <w:r>
        <w:t xml:space="preserve"> </w:t>
      </w:r>
      <w:r>
        <w:rPr>
          <w:rStyle w:val="VerbatimChar"/>
        </w:rPr>
        <w:t xml:space="preserve">POST /api/v1/demo/rpc-kill</w:t>
      </w:r>
      <w:r>
        <w:t xml:space="preserve"> </w:t>
      </w:r>
      <w:r>
        <w:t xml:space="preserve">→ titles continue issuing, anchors queue, beacon turns amber.</w:t>
      </w:r>
      <w:r>
        <w:t xml:space="preserve"> </w:t>
      </w:r>
      <w:r>
        <w:rPr>
          <w:rStyle w:val="VerbatimChar"/>
        </w:rPr>
        <w:t xml:space="preserve">POST /api/v1/demo/rpc-restore</w:t>
      </w:r>
      <w:r>
        <w:t xml:space="preserve"> </w:t>
      </w:r>
      <w:r>
        <w:t xml:space="preserve">→ queue drains, beacon returns to green. Runbook in</w:t>
      </w:r>
      <w:r>
        <w:t xml:space="preserve"> </w:t>
      </w:r>
      <w:r>
        <w:rPr>
          <w:rStyle w:val="VerbatimChar"/>
        </w:rPr>
        <w:t xml:space="preserve">DEMO_RUNBOOK.md</w:t>
      </w:r>
      <w:r>
        <w:t xml:space="preserve">.</w:t>
      </w:r>
    </w:p>
    <w:p>
      <w:pPr>
        <w:pStyle w:val="CaptionedFigure"/>
      </w:pPr>
      <w:r>
        <w:drawing>
          <wp:inline>
            <wp:extent cx="5334000" cy="4392705"/>
            <wp:effectExtent b="0" l="0" r="0" t="0"/>
            <wp:docPr descr="Figure 4 — Resilience flow. RPC failure trips the breaker; off-chain writes continue; the queue drains automatically on recovery without any operator intervention." title="" id="39" name="Picture"/>
            <a:graphic>
              <a:graphicData uri="http://schemas.openxmlformats.org/drawingml/2006/picture">
                <pic:pic>
                  <pic:nvPicPr>
                    <pic:cNvPr descr="figures/03-resilience-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Resilience flow. RPC failure trips the breaker; off-chain writes continue; the queue drains automatically on recovery without any operator intervention.</w:t>
      </w:r>
    </w:p>
    <w:p>
      <w:pPr>
        <w:pStyle w:val="BodyText"/>
      </w:pPr>
      <w:r>
        <w:rPr>
          <w:i/>
          <w:iCs/>
        </w:rPr>
        <w:t xml:space="preserve">Figure 4 — Resilience under chain outage. Sequence is reproducible live in the showcase via the demo control panel.</w:t>
      </w:r>
    </w:p>
    <w:p>
      <w:r>
        <w:pict>
          <v:rect style="width:0;height:1.5pt" o:hralign="center" o:hrstd="t" o:hr="t"/>
        </w:pict>
      </w:r>
    </w:p>
    <w:bookmarkEnd w:id="41"/>
    <w:bookmarkStart w:id="42" w:name="local-innovation-sustainability"/>
    <w:p>
      <w:pPr>
        <w:pStyle w:val="Heading2"/>
      </w:pPr>
      <w:r>
        <w:t xml:space="preserve">7. Local Innovation &amp; Sustainability</w:t>
      </w:r>
    </w:p>
    <w:p>
      <w:pPr>
        <w:pStyle w:val="FirstParagraph"/>
      </w:pPr>
      <w:r>
        <w:t xml:space="preserve">LandGuard is</w:t>
      </w:r>
      <w:r>
        <w:t xml:space="preserve"> </w:t>
      </w:r>
      <w:r>
        <w:rPr>
          <w:b/>
          <w:bCs/>
        </w:rPr>
        <w:t xml:space="preserve">Ugandan by design, not by translation: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NIN</w:t>
      </w:r>
      <w:r>
        <w:t xml:space="preserve"> </w:t>
      </w:r>
      <w:r>
        <w:t xml:space="preserve">(14-char NIRA format) as primary citizen identifier — encrypted at rest, hashed for queries, never on chain.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UPI</w:t>
      </w:r>
      <w:r>
        <w:t xml:space="preserve"> </w:t>
      </w:r>
      <w:r>
        <w:t xml:space="preserve">(</w:t>
      </w:r>
      <w:r>
        <w:rPr>
          <w:rStyle w:val="VerbatimChar"/>
        </w:rPr>
        <w:t xml:space="preserve">UG-&lt;district&gt;-&lt;parcel-number&gt;/&lt;year&gt;</w:t>
      </w:r>
      <w:r>
        <w:t xml:space="preserve">) as Universal Parcel Identifier — Uganda’s MoLHUD format, baked into the data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Mityana, Wakiso, Kampala Central, Gulu</w:t>
      </w:r>
      <w:r>
        <w:t xml:space="preserve"> </w:t>
      </w:r>
      <w:r>
        <w:t xml:space="preserve">as the four pilot districts — real coordinates, real centres, real sub-counties.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MAILO / FREEHOLD / LEASEHOLD / CUSTOMARY</w:t>
      </w:r>
      <w:r>
        <w:t xml:space="preserve"> </w:t>
      </w:r>
      <w:r>
        <w:t xml:space="preserve">tenure types — Uganda’s actual land-tenure regime.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District → Sub-county → Parish → Village</w:t>
      </w:r>
      <w:r>
        <w:t xml:space="preserve"> </w:t>
      </w:r>
      <w:r>
        <w:t xml:space="preserve">geography.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UGX</w:t>
      </w:r>
      <w:r>
        <w:t xml:space="preserve"> </w:t>
      </w:r>
      <w:r>
        <w:t xml:space="preserve">for all consideration fields;</w:t>
      </w:r>
      <w:r>
        <w:t xml:space="preserve"> </w:t>
      </w:r>
      <w:r>
        <w:rPr>
          <w:b/>
          <w:bCs/>
        </w:rPr>
        <w:t xml:space="preserve">+256</w:t>
      </w:r>
      <w:r>
        <w:t xml:space="preserve"> </w:t>
      </w:r>
      <w:r>
        <w:t xml:space="preserve">phone validation;</w:t>
      </w:r>
      <w:r>
        <w:t xml:space="preserve"> </w:t>
      </w:r>
      <w:r>
        <w:rPr>
          <w:b/>
          <w:bCs/>
        </w:rPr>
        <w:t xml:space="preserve">English + Luganda</w:t>
      </w:r>
      <w:r>
        <w:t xml:space="preserve"> </w:t>
      </w:r>
      <w:r>
        <w:t xml:space="preserve">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Mrs. Sarah Nakato of Mityana</w:t>
      </w:r>
      <w:r>
        <w:t xml:space="preserve"> </w:t>
      </w:r>
      <w:r>
        <w:t xml:space="preserve">as the showcase hero protagonist — realistic Ugandan data, not Springfield placeholders.</w:t>
      </w:r>
    </w:p>
    <w:p>
      <w:pPr>
        <w:pStyle w:val="FirstParagraph"/>
      </w:pPr>
      <w:r>
        <w:rPr>
          <w:b/>
          <w:bCs/>
        </w:rPr>
        <w:t xml:space="preserve">Three measurable impact commitments</w:t>
      </w:r>
      <w:r>
        <w:t xml:space="preserve"> </w:t>
      </w:r>
      <w:r>
        <w:t xml:space="preserve">for the 12-month Mityana pilot, with methodology in</w:t>
      </w:r>
      <w:r>
        <w:t xml:space="preserve"> </w:t>
      </w:r>
      <w:r>
        <w:rPr>
          <w:rStyle w:val="VerbatimChar"/>
        </w:rPr>
        <w:t xml:space="preserve">docs/IMPACT_EVIDENCE.md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Reduce time-to-resolve land-title disputes by 60 % (baseline 18 months in current registry → ≤ 7 months once on-chain proofs become court-admissible).</w:t>
      </w:r>
    </w:p>
    <w:p>
      <w:pPr>
        <w:pStyle w:val="Compact"/>
        <w:numPr>
          <w:ilvl w:val="0"/>
          <w:numId w:val="1004"/>
        </w:numPr>
      </w:pPr>
      <w:r>
        <w:t xml:space="preserve">Cut duplicate-/contested-title rate at pilot facilities by 80 % (estimated 5–9 % → ≤ 1.5 %).</w:t>
      </w:r>
    </w:p>
    <w:p>
      <w:pPr>
        <w:pStyle w:val="Compact"/>
        <w:numPr>
          <w:ilvl w:val="0"/>
          <w:numId w:val="1004"/>
        </w:numPr>
      </w:pPr>
      <w:r>
        <w:t xml:space="preserve">Achieve ≥ 90 % citizen-satisfaction score on the public verifier flow (USSD + web), measured by Mityana District Information Office quarterly survey.</w:t>
      </w:r>
    </w:p>
    <w:p>
      <w:pPr>
        <w:pStyle w:val="FirstParagraph"/>
      </w:pPr>
      <w:r>
        <w:rPr>
          <w:b/>
          <w:bCs/>
        </w:rPr>
        <w:t xml:space="preserve">Sustainability:</w:t>
      </w:r>
      <w:r>
        <w:t xml:space="preserve"> </w:t>
      </w:r>
      <w:r>
        <w:t xml:space="preserve">pilot cost UGX 820 M; national-tier operating cost ~ UGX 14 M / month — well within a single MoLHUD ICT line item.</w:t>
      </w:r>
      <w:r>
        <w:t xml:space="preserve"> </w:t>
      </w:r>
      <w:r>
        <w:rPr>
          <w:b/>
          <w:bCs/>
        </w:rPr>
        <w:t xml:space="preserve">Open-source under Apache-2.0</w:t>
      </w:r>
      <w:r>
        <w:t xml:space="preserve"> </w:t>
      </w:r>
      <w:r>
        <w:t xml:space="preserve">with a formal multi-stakeholder governance model (ADR-0002 §7) that gives a</w:t>
      </w:r>
      <w:r>
        <w:t xml:space="preserve"> </w:t>
      </w:r>
      <w:r>
        <w:rPr>
          <w:b/>
          <w:bCs/>
        </w:rPr>
        <w:t xml:space="preserve">DPO veto on privacy invariants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independent-observer veto on multi-sig key generation</w:t>
      </w:r>
      <w:r>
        <w:t xml:space="preserve"> </w:t>
      </w:r>
      <w:r>
        <w:t xml:space="preserve">— protecting the system’s integrity guarantees after donation to MoLHUD.</w:t>
      </w:r>
    </w:p>
    <w:p>
      <w:pPr>
        <w:pStyle w:val="BodyText"/>
      </w:pPr>
      <w:r>
        <w:rPr>
          <w:b/>
          <w:bCs/>
        </w:rPr>
        <w:t xml:space="preserve">Capacity-building commitments:</w:t>
      </w:r>
      <w:r>
        <w:t xml:space="preserve"> </w:t>
      </w:r>
      <w:r>
        <w:t xml:space="preserve">monthly engineering office hours; annual CoCIS / MUST internship cohort; quarterly NITA-U technical sessions on the dual-Merkle pattern; annual open hackathon for new MoLHUD modules (boundary disputes, mortgage attestation, inheritance workflow).</w:t>
      </w:r>
    </w:p>
    <w:p>
      <w:r>
        <w:pict>
          <v:rect style="width:0;height:1.5pt" o:hralign="center" o:hrstd="t" o:hr="t"/>
        </w:pict>
      </w:r>
    </w:p>
    <w:bookmarkEnd w:id="42"/>
    <w:bookmarkStart w:id="43" w:name="roadmap"/>
    <w:p>
      <w:pPr>
        <w:pStyle w:val="Heading2"/>
      </w:pPr>
      <w:r>
        <w:t xml:space="preserve">8.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Pre-showcase (now → 25 Jun 2026)</w:t>
            </w:r>
          </w:p>
        </w:tc>
        <w:tc>
          <w:tcPr/>
          <w:p>
            <w:pPr>
              <w:pStyle w:val="Compact"/>
            </w:pPr>
            <w:r>
              <w:t xml:space="preserve">Lighthouse / axe-core baselines published; demo dataset seeded; mobile responsiveness pass shipped; CI/CD green; Crane Cloud staging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Pre-pilot (Jul → Sep 2026)</w:t>
            </w:r>
          </w:p>
        </w:tc>
        <w:tc>
          <w:tcPr/>
          <w:p>
            <w:pPr>
              <w:pStyle w:val="Compact"/>
            </w:pPr>
            <w:r>
              <w:t xml:space="preserve">CERT-UG / Makerere CSL pentest; DPIA external review; MoU signature with Mityana District Land Board; 3-of-5 HSM key generation; NIRA live-client integration (post-NIRA 2026 API spec ratification); Sepolia → mainnet-test cutover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(Oct 2026 → Sep 2027)</w:t>
            </w:r>
          </w:p>
        </w:tc>
        <w:tc>
          <w:tcPr/>
          <w:p>
            <w:pPr>
              <w:pStyle w:val="Compact"/>
            </w:pPr>
            <w:r>
              <w:t xml:space="preserve">Mityana single-district pilot; measure the three impact commitments; quarterly restore drills + DPPA §19 tabletop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(Oct 2027 → Dec 2028)</w:t>
            </w:r>
          </w:p>
        </w:tc>
        <w:tc>
          <w:tcPr/>
          <w:p>
            <w:pPr>
              <w:pStyle w:val="Compact"/>
            </w:pPr>
            <w:r>
              <w:t xml:space="preserve">Expand to 10 districts (Wakiso, Kampala Central, Gulu, Mbale, Mbarara, Jinja, Lira, Masaka, Fort Portal, Soroti); EAC permissioned chain bridge (ADR-0003)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National (2029 → 2031)</w:t>
            </w:r>
          </w:p>
        </w:tc>
        <w:tc>
          <w:tcPr/>
          <w:p>
            <w:pPr>
              <w:pStyle w:val="Compact"/>
            </w:pPr>
            <w:r>
              <w:t xml:space="preserve">Full 130-district rollout; replace Sepolia with EAC chain; bi-directional MoLHUD LIS sync; mortgage / inheritance modules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adiness-statement"/>
    <w:p>
      <w:pPr>
        <w:pStyle w:val="Heading2"/>
      </w:pPr>
      <w:r>
        <w:t xml:space="preserve">9. Readiness Statement</w:t>
      </w:r>
    </w:p>
    <w:p>
      <w:pPr>
        <w:pStyle w:val="FirstParagraph"/>
      </w:pPr>
      <w:r>
        <w:t xml:space="preserve">LandGuard Uganda is</w:t>
      </w:r>
      <w:r>
        <w:t xml:space="preserve"> </w:t>
      </w:r>
      <w:r>
        <w:rPr>
          <w:b/>
          <w:bCs/>
        </w:rPr>
        <w:t xml:space="preserve">ready for the showcase walkthrough and for pilot deployment</w:t>
      </w:r>
      <w:r>
        <w:t xml:space="preserve"> </w:t>
      </w:r>
      <w:r>
        <w:t xml:space="preserve">in October 2026 subject to MOU signature and NIRA-live integration. The platform 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Technically complete</w:t>
      </w:r>
      <w:r>
        <w:t xml:space="preserve"> </w:t>
      </w:r>
      <w:r>
        <w:t xml:space="preserve">for the showcase storyboard — Act 1 (citizen verifies a real title from a phone), Act 2 (surveyor draws a parcel polygon with live overlap detection), Act 3 (registrar issues a title and watches its Merkle root commit on-chain in real time), Act 4 (officer reviews an AI-flagged fraud signal and explicitly affirms before any title is frozen), Act 5 (we kill the chain RPC live on stage — the system keeps issuing titles, anchors queue, breaker pill flips amber, then drains green on restore).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Compliance-grounded</w:t>
      </w:r>
      <w:r>
        <w:t xml:space="preserve"> </w:t>
      </w:r>
      <w:r>
        <w:t xml:space="preserve">— DPPA-mapped, threat-modelled, breach-runbook’d, with a CERT-UG pentest scheduled and a CycloneDX 1.5 SBOM checked into the repository for every dependency.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Sovereignty-preserving</w:t>
      </w:r>
      <w:r>
        <w:t xml:space="preserve"> </w:t>
      </w:r>
      <w:r>
        <w:t xml:space="preserve">— runs on Crane Cloud RENU (Makerere) or in NITA-U Government Cloud; no PII leaves Uganda; the on-chain root is the only externally-visible artefact, and it carries no citizen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Locally sustainable</w:t>
      </w:r>
      <w:r>
        <w:t xml:space="preserve"> </w:t>
      </w:r>
      <w:r>
        <w:t xml:space="preserve">— built on a stack Ugandan engineers already know; with governance, capacity-building, and pipeline commitments documented up front; donate-ready to MoLHUD under Apache-2.0.</w:t>
      </w:r>
    </w:p>
    <w:p>
      <w:pPr>
        <w:pStyle w:val="FirstParagraph"/>
      </w:pPr>
      <w:r>
        <w:t xml:space="preserve">LandGuard is the open backbone Uganda needs to give every citizen a title that anyone can verify, end the structural epidemic of duplicate and contested ownership, and make the land-administration system that 60 % of the country’s GDP rests on</w:t>
      </w:r>
      <w:r>
        <w:t xml:space="preserve"> </w:t>
      </w:r>
      <w:r>
        <w:rPr>
          <w:b/>
          <w:bCs/>
        </w:rPr>
        <w:t xml:space="preserve">falsifiable by anyone with a phone</w:t>
      </w:r>
      <w:r>
        <w:t xml:space="preserve">. We invite the MoICT&amp;NG Technical Evaluation Panel to verify every claim above against the open repository, and we welcome the opportunity to partner with MoLHUD and NITA-U to deliver this digital public infrastructure to every Ugandan.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 for the panel: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docs/TEAM.md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MAINTAINERS.md</w:t>
      </w:r>
      <w:r>
        <w:t xml:space="preserve">. Email</w:t>
      </w:r>
      <w:r>
        <w:t xml:space="preserve"> </w:t>
      </w:r>
      <w:r>
        <w:rPr>
          <w:rStyle w:val="VerbatimChar"/>
        </w:rPr>
        <w:t xml:space="preserve">mpairwelauben75@gmail.com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Verification entry point:</w:t>
      </w:r>
      <w:r>
        <w:t xml:space="preserve"> </w:t>
      </w:r>
      <w:r>
        <w:rPr>
          <w:rStyle w:val="VerbatimChar"/>
        </w:rPr>
        <w:t xml:space="preserve">docs/SHOWCASE_EVALUATION_MAPPING.md</w:t>
      </w:r>
      <w:r>
        <w:t xml:space="preserve"> </w:t>
      </w:r>
      <w:r>
        <w:t xml:space="preserve">— every claim in this document maps to a primary-evidence file with a reviewer-runnable verification command. The full audit dossier (</w:t>
      </w:r>
      <w:r>
        <w:rPr>
          <w:rStyle w:val="VerbatimChar"/>
        </w:rPr>
        <w:t xml:space="preserve">docs/audit/CODEBASE_MAP.md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THREAT_MODEL.md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PENTEST_SCOPE.md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AUDIT_PACKAGE.md</w:t>
      </w:r>
      <w:r>
        <w:t xml:space="preserve">) is in the repository’s</w:t>
      </w:r>
      <w:r>
        <w:t xml:space="preserve"> </w:t>
      </w:r>
      <w:r>
        <w:rPr>
          <w:rStyle w:val="VerbatimChar"/>
        </w:rPr>
        <w:t xml:space="preserve">docs/audit/</w:t>
      </w:r>
      <w:r>
        <w:t xml:space="preserve"> </w:t>
      </w:r>
      <w:r>
        <w:t xml:space="preserve">directory.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hyperlink" Id="rId20" Target="https://github.com/mpairwe7/LandGuardUganda" TargetMode="External" /><Relationship Type="http://schemas.openxmlformats.org/officeDocument/2006/relationships/hyperlink" Id="rId22" Target="https://landguard-backend-d1e66f33.renu-01.cranecloud.io" TargetMode="External" /><Relationship Type="http://schemas.openxmlformats.org/officeDocument/2006/relationships/hyperlink" Id="rId21" Target="https://landguard-frontend-3d8aba74.renu-01.cranecloud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pairwe7/LandGuardUganda" TargetMode="External" /><Relationship Type="http://schemas.openxmlformats.org/officeDocument/2006/relationships/hyperlink" Id="rId22" Target="https://landguard-backend-d1e66f33.renu-01.cranecloud.io" TargetMode="External" /><Relationship Type="http://schemas.openxmlformats.org/officeDocument/2006/relationships/hyperlink" Id="rId21" Target="https://landguard-frontend-3d8aba74.renu-01.cranecloud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2026-05-26T14:11:32Z</dcterms:created>
  <dcterms:modified xsi:type="dcterms:W3CDTF">2026-05-26T14:11:32Z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