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 Decision-tree structural audit</w:t>
      </w:r>
    </w:p>
    <w:p>
      <w:pPr>
        <w:pStyle w:val="Heading1"/>
      </w:pPr>
      <w:r>
        <w:t>Purpose</w:t>
      </w:r>
    </w:p>
    <w:p>
      <w:r>
        <w:t>This supplementary material reports an internal structural audit of the decision-tree component of the toolkit. The audit was added after feedback that the number of displayed/core decision paths was high relative to the number of recommendation outputs. The aim was to determine whether this convergence indicated redundant decision points or whether different decision points contributed at different levels of the final user-facing output.</w:t>
      </w:r>
    </w:p>
    <w:p>
      <w:pPr>
        <w:pStyle w:val="Heading1"/>
      </w:pPr>
      <w:r>
        <w:t>Methods</w:t>
      </w:r>
    </w:p>
    <w:p>
      <w:r>
        <w:t>The audit was generated from the current Python implementation of the decision-tree logic (decision_tree.py) using the same decision-equivalent input enumeration used for the full decision-tree report. Categorical and Boolean inputs were exhaustively enumerated. Numeric inputs were represented by values that correspond to distinct branches of the implemented logic.</w:t>
      </w:r>
    </w:p>
    <w:p>
      <w:r>
        <w:t>Two complementary analyses were conducted. First, the distribution of displayed decision paths across full recommendation outputs was summarised to assess whether convergence was relatively even or concentrated in particular subtrees. Second, sensitivity of each decision point was assessed in two ways:</w:t>
      </w:r>
    </w:p>
    <w:p>
      <w:pPr>
        <w:pStyle w:val="ListBullet"/>
      </w:pPr>
      <w:r>
        <w:t>a strict one-input counterfactual analysis, in which one input was changed at a</w:t>
      </w:r>
    </w:p>
    <w:p>
      <w:r>
        <w:t>time while all other inputs were held fixed and invalid counterfactuals were excluded; and</w:t>
      </w:r>
    </w:p>
    <w:p>
      <w:pPr>
        <w:pStyle w:val="ListBullet"/>
      </w:pPr>
      <w:r>
        <w:t>a branch-aware interface analysis, in which the audit assessed whether</w:t>
      </w:r>
    </w:p>
    <w:p>
      <w:r>
        <w:t>different answer options changed the set of reachable outputs when each question appeared in the guided interface.</w:t>
      </w:r>
    </w:p>
    <w:p>
      <w:r>
        <w:t>Outcomes were evaluated at two levels: change in the recommendation card itself and change in the complete user-facing output, including design notes and other guidance.</w:t>
      </w:r>
    </w:p>
    <w:p>
      <w:pPr>
        <w:pStyle w:val="Heading1"/>
      </w:pPr>
      <w:r>
        <w:t>Results</w:t>
      </w:r>
    </w:p>
    <w:p>
      <w:r>
        <w:t>The current decision tree generated 940 unique displayed/core decision paths and 30 distinct full recommendation outputs. Recommendation outputs were not reached uniformly: the number of displayed paths per output ranged from 4 to 162, with a median of 40.0. This indicates that convergence was partly concentrated in specific subtrees rather than evenly distributed across all recommendations.</w:t>
      </w:r>
    </w:p>
    <w:p>
      <w:r>
        <w:t>The sensitivity analyses showed that decision points differed in the level at which they affected the output. Some decision points changed the recommended visualisation family, including the primary task, data form, display level, crowding/many-observations flag, number of overlaid temporal series, number of compositional parts, and target audience. Other decision points mainly affected design and reporting guidance. For example, temporal context did not change the chart family but changed the complete user-facing output in all valid counterfactual comparisons because it generated different interpretation notes for full-24-hour, waking-time, or non-temporal metrics. Comparison focus also affected the complete output through design notes and changed reachable recommendations in the branch-aware interface analysis. Comparison structure had no valid strict one-input counterfactuals because it is structurally dependent on comparison focus and number of linked levels, but it changed reachable recommendations when assessed in the guided-interface flow.</w:t>
      </w:r>
    </w:p>
    <w:p>
      <w:r>
        <w:t>These findings support retaining the current decision points in the preliminary version of the toolkit. The audit suggests that the decision tree contains three levels of contribution rather than a single type of branching logic: chart-selection decisions, design/refinement decisions, and documentation/reporting decisions. Therefore, a decision point should not be considered redundant only because it does not always change the chart name. Some questions are retained because they determine how the recommendation should be interpreted, reported, or implemented responsibly.</w:t>
      </w:r>
    </w:p>
    <w:p>
      <w:pPr>
        <w:pStyle w:val="Heading1"/>
      </w:pPr>
      <w:r>
        <w:t>Table S1. Summary of structural-audit metrics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CEFE9"/>
          </w:tcPr>
          <w:p>
            <w:pPr>
              <w:spacing w:after="0"/>
            </w:pPr>
            <w:r/>
            <w:r>
              <w:rPr>
                <w:b/>
              </w:rPr>
              <w:t>Metric</w:t>
            </w:r>
          </w:p>
        </w:tc>
        <w:tc>
          <w:tcPr>
            <w:tcW w:type="dxa" w:w="4320"/>
            <w:vAlign w:val="top"/>
            <w:shd w:fill="DCEFE9"/>
          </w:tcPr>
          <w:p>
            <w:pPr>
              <w:spacing w:after="0"/>
            </w:pPr>
            <w:r/>
            <w:r>
              <w:rPr>
                <w:b/>
              </w:rPr>
              <w:t>Value</w:t>
            </w:r>
          </w:p>
        </w:tc>
      </w:tr>
      <w:tr>
        <w:tc>
          <w:tcPr>
            <w:tcW w:type="dxa" w:w="4320"/>
            <w:vAlign w:val="top"/>
          </w:tcPr>
          <w:p>
            <w:pPr>
              <w:spacing w:after="0"/>
            </w:pPr>
            <w:r/>
            <w:r>
              <w:rPr>
                <w:b w:val="0"/>
              </w:rPr>
              <w:t>Valid decision-equivalent input combinations</w:t>
            </w:r>
          </w:p>
        </w:tc>
        <w:tc>
          <w:tcPr>
            <w:tcW w:type="dxa" w:w="4320"/>
            <w:vAlign w:val="top"/>
          </w:tcPr>
          <w:p>
            <w:pPr>
              <w:spacing w:after="0"/>
            </w:pPr>
            <w:r/>
            <w:r>
              <w:rPr>
                <w:b w:val="0"/>
              </w:rPr>
              <w:t>15,360</w:t>
            </w:r>
          </w:p>
        </w:tc>
      </w:tr>
      <w:tr>
        <w:tc>
          <w:tcPr>
            <w:tcW w:type="dxa" w:w="4320"/>
            <w:vAlign w:val="top"/>
          </w:tcPr>
          <w:p>
            <w:pPr>
              <w:spacing w:after="0"/>
            </w:pPr>
            <w:r/>
            <w:r>
              <w:rPr>
                <w:b w:val="0"/>
              </w:rPr>
              <w:t>Unique displayed/core decision paths</w:t>
            </w:r>
          </w:p>
        </w:tc>
        <w:tc>
          <w:tcPr>
            <w:tcW w:type="dxa" w:w="4320"/>
            <w:vAlign w:val="top"/>
          </w:tcPr>
          <w:p>
            <w:pPr>
              <w:spacing w:after="0"/>
            </w:pPr>
            <w:r/>
            <w:r>
              <w:rPr>
                <w:b w:val="0"/>
              </w:rPr>
              <w:t>940</w:t>
            </w:r>
          </w:p>
        </w:tc>
      </w:tr>
      <w:tr>
        <w:tc>
          <w:tcPr>
            <w:tcW w:type="dxa" w:w="4320"/>
            <w:vAlign w:val="top"/>
          </w:tcPr>
          <w:p>
            <w:pPr>
              <w:spacing w:after="0"/>
            </w:pPr>
            <w:r/>
            <w:r>
              <w:rPr>
                <w:b w:val="0"/>
              </w:rPr>
              <w:t>Distinct full recommendation outputs</w:t>
            </w:r>
          </w:p>
        </w:tc>
        <w:tc>
          <w:tcPr>
            <w:tcW w:type="dxa" w:w="4320"/>
            <w:vAlign w:val="top"/>
          </w:tcPr>
          <w:p>
            <w:pPr>
              <w:spacing w:after="0"/>
            </w:pPr>
            <w:r/>
            <w:r>
              <w:rPr>
                <w:b w:val="0"/>
              </w:rPr>
              <w:t>30</w:t>
            </w:r>
          </w:p>
        </w:tc>
      </w:tr>
      <w:tr>
        <w:tc>
          <w:tcPr>
            <w:tcW w:type="dxa" w:w="4320"/>
            <w:vAlign w:val="top"/>
          </w:tcPr>
          <w:p>
            <w:pPr>
              <w:spacing w:after="0"/>
            </w:pPr>
            <w:r/>
            <w:r>
              <w:rPr>
                <w:b w:val="0"/>
              </w:rPr>
              <w:t>Displayed path-output memberships</w:t>
            </w:r>
          </w:p>
        </w:tc>
        <w:tc>
          <w:tcPr>
            <w:tcW w:type="dxa" w:w="4320"/>
            <w:vAlign w:val="top"/>
          </w:tcPr>
          <w:p>
            <w:pPr>
              <w:spacing w:after="0"/>
            </w:pPr>
            <w:r/>
            <w:r>
              <w:rPr>
                <w:b w:val="0"/>
              </w:rPr>
              <w:t>1,356</w:t>
            </w:r>
          </w:p>
        </w:tc>
      </w:tr>
      <w:tr>
        <w:tc>
          <w:tcPr>
            <w:tcW w:type="dxa" w:w="4320"/>
            <w:vAlign w:val="top"/>
          </w:tcPr>
          <w:p>
            <w:pPr>
              <w:spacing w:after="0"/>
            </w:pPr>
            <w:r/>
            <w:r>
              <w:rPr>
                <w:b w:val="0"/>
              </w:rPr>
              <w:t>Displayed paths mapping to more than one recommendation output</w:t>
            </w:r>
          </w:p>
        </w:tc>
        <w:tc>
          <w:tcPr>
            <w:tcW w:type="dxa" w:w="4320"/>
            <w:vAlign w:val="top"/>
          </w:tcPr>
          <w:p>
            <w:pPr>
              <w:spacing w:after="0"/>
            </w:pPr>
            <w:r/>
            <w:r>
              <w:rPr>
                <w:b w:val="0"/>
              </w:rPr>
              <w:t>356</w:t>
            </w:r>
          </w:p>
        </w:tc>
      </w:tr>
      <w:tr>
        <w:tc>
          <w:tcPr>
            <w:tcW w:type="dxa" w:w="4320"/>
            <w:vAlign w:val="top"/>
          </w:tcPr>
          <w:p>
            <w:pPr>
              <w:spacing w:after="0"/>
            </w:pPr>
            <w:r/>
            <w:r>
              <w:rPr>
                <w:b w:val="0"/>
              </w:rPr>
              <w:t>Mean displayed paths per recommendation output</w:t>
            </w:r>
          </w:p>
        </w:tc>
        <w:tc>
          <w:tcPr>
            <w:tcW w:type="dxa" w:w="4320"/>
            <w:vAlign w:val="top"/>
          </w:tcPr>
          <w:p>
            <w:pPr>
              <w:spacing w:after="0"/>
            </w:pPr>
            <w:r/>
            <w:r>
              <w:rPr>
                <w:b w:val="0"/>
              </w:rPr>
              <w:t>31.3</w:t>
            </w:r>
          </w:p>
        </w:tc>
      </w:tr>
      <w:tr>
        <w:tc>
          <w:tcPr>
            <w:tcW w:type="dxa" w:w="4320"/>
            <w:vAlign w:val="top"/>
          </w:tcPr>
          <w:p>
            <w:pPr>
              <w:spacing w:after="0"/>
            </w:pPr>
            <w:r/>
            <w:r>
              <w:rPr>
                <w:b w:val="0"/>
              </w:rPr>
              <w:t>Median displayed paths per recommendation output</w:t>
            </w:r>
          </w:p>
        </w:tc>
        <w:tc>
          <w:tcPr>
            <w:tcW w:type="dxa" w:w="4320"/>
            <w:vAlign w:val="top"/>
          </w:tcPr>
          <w:p>
            <w:pPr>
              <w:spacing w:after="0"/>
            </w:pPr>
            <w:r/>
            <w:r>
              <w:rPr>
                <w:b w:val="0"/>
              </w:rPr>
              <w:t>40.0</w:t>
            </w:r>
          </w:p>
        </w:tc>
      </w:tr>
      <w:tr>
        <w:tc>
          <w:tcPr>
            <w:tcW w:type="dxa" w:w="4320"/>
            <w:vAlign w:val="top"/>
          </w:tcPr>
          <w:p>
            <w:pPr>
              <w:spacing w:after="0"/>
            </w:pPr>
            <w:r/>
            <w:r>
              <w:rPr>
                <w:b w:val="0"/>
              </w:rPr>
              <w:t>Minimum displayed paths per recommendation output</w:t>
            </w:r>
          </w:p>
        </w:tc>
        <w:tc>
          <w:tcPr>
            <w:tcW w:type="dxa" w:w="4320"/>
            <w:vAlign w:val="top"/>
          </w:tcPr>
          <w:p>
            <w:pPr>
              <w:spacing w:after="0"/>
            </w:pPr>
            <w:r/>
            <w:r>
              <w:rPr>
                <w:b w:val="0"/>
              </w:rPr>
              <w:t>4</w:t>
            </w:r>
          </w:p>
        </w:tc>
      </w:tr>
      <w:tr>
        <w:tc>
          <w:tcPr>
            <w:tcW w:type="dxa" w:w="4320"/>
            <w:vAlign w:val="top"/>
          </w:tcPr>
          <w:p>
            <w:pPr>
              <w:spacing w:after="0"/>
            </w:pPr>
            <w:r/>
            <w:r>
              <w:rPr>
                <w:b w:val="0"/>
              </w:rPr>
              <w:t>Maximum displayed paths per recommendation output</w:t>
            </w:r>
          </w:p>
        </w:tc>
        <w:tc>
          <w:tcPr>
            <w:tcW w:type="dxa" w:w="4320"/>
            <w:vAlign w:val="top"/>
          </w:tcPr>
          <w:p>
            <w:pPr>
              <w:spacing w:after="0"/>
            </w:pPr>
            <w:r/>
            <w:r>
              <w:rPr>
                <w:b w:val="0"/>
              </w:rPr>
              <w:t>162</w:t>
            </w:r>
          </w:p>
        </w:tc>
      </w:tr>
    </w:tbl>
    <w:p/>
    <w:p>
      <w:pPr>
        <w:pStyle w:val="Heading1"/>
      </w:pPr>
      <w:r>
        <w:t>Table S2. Distribution of displayed decision paths across recommendation outputs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top"/>
            <w:shd w:fill="DCEFE9"/>
          </w:tcPr>
          <w:p>
            <w:pPr>
              <w:spacing w:after="0"/>
            </w:pPr>
            <w:r/>
            <w:r>
              <w:rPr>
                <w:b/>
              </w:rPr>
              <w:t>Recommendation set</w:t>
            </w:r>
          </w:p>
        </w:tc>
        <w:tc>
          <w:tcPr>
            <w:tcW w:type="dxa" w:w="1728"/>
            <w:vAlign w:val="top"/>
            <w:shd w:fill="DCEFE9"/>
          </w:tcPr>
          <w:p>
            <w:pPr>
              <w:spacing w:after="0"/>
            </w:pPr>
            <w:r/>
            <w:r>
              <w:rPr>
                <w:b/>
              </w:rPr>
              <w:t>Recommendation output</w:t>
            </w:r>
          </w:p>
        </w:tc>
        <w:tc>
          <w:tcPr>
            <w:tcW w:type="dxa" w:w="1728"/>
            <w:vAlign w:val="top"/>
            <w:shd w:fill="DCEFE9"/>
          </w:tcPr>
          <w:p>
            <w:pPr>
              <w:spacing w:after="0"/>
            </w:pPr>
            <w:r/>
            <w:r>
              <w:rPr>
                <w:b/>
              </w:rPr>
              <w:t>Displayed paths</w:t>
            </w:r>
          </w:p>
        </w:tc>
        <w:tc>
          <w:tcPr>
            <w:tcW w:type="dxa" w:w="1728"/>
            <w:vAlign w:val="top"/>
            <w:shd w:fill="DCEFE9"/>
          </w:tcPr>
          <w:p>
            <w:pPr>
              <w:spacing w:after="0"/>
            </w:pPr>
            <w:r/>
            <w:r>
              <w:rPr>
                <w:b/>
              </w:rPr>
              <w:t>Path memberships (%)</w:t>
            </w:r>
          </w:p>
        </w:tc>
        <w:tc>
          <w:tcPr>
            <w:tcW w:type="dxa" w:w="1728"/>
            <w:vAlign w:val="top"/>
            <w:shd w:fill="DCEFE9"/>
          </w:tcPr>
          <w:p>
            <w:pPr>
              <w:spacing w:after="0"/>
            </w:pPr>
            <w:r/>
            <w:r>
              <w:rPr>
                <w:b/>
              </w:rPr>
              <w:t>Valid input combinations</w:t>
            </w:r>
          </w:p>
        </w:tc>
      </w:tr>
      <w:tr>
        <w:tc>
          <w:tcPr>
            <w:tcW w:type="dxa" w:w="1728"/>
            <w:vAlign w:val="top"/>
          </w:tcPr>
          <w:p>
            <w:pPr>
              <w:spacing w:after="0"/>
            </w:pPr>
            <w:r/>
            <w:r>
              <w:rPr>
                <w:b w:val="0"/>
              </w:rPr>
              <w:t>RS005</w:t>
            </w:r>
          </w:p>
        </w:tc>
        <w:tc>
          <w:tcPr>
            <w:tcW w:type="dxa" w:w="1728"/>
            <w:vAlign w:val="top"/>
          </w:tcPr>
          <w:p>
            <w:pPr>
              <w:spacing w:after="0"/>
            </w:pPr>
            <w:r/>
            <w:r>
              <w:rPr>
                <w:b w:val="0"/>
              </w:rPr>
              <w:t>Pie or doughnut chart | 100% stacked bar chart | Small-multiple composition bars</w:t>
            </w:r>
          </w:p>
        </w:tc>
        <w:tc>
          <w:tcPr>
            <w:tcW w:type="dxa" w:w="1728"/>
            <w:vAlign w:val="top"/>
          </w:tcPr>
          <w:p>
            <w:pPr>
              <w:spacing w:after="0"/>
            </w:pPr>
            <w:r/>
            <w:r>
              <w:rPr>
                <w:b w:val="0"/>
              </w:rPr>
              <w:t>162</w:t>
            </w:r>
          </w:p>
        </w:tc>
        <w:tc>
          <w:tcPr>
            <w:tcW w:type="dxa" w:w="1728"/>
            <w:vAlign w:val="top"/>
          </w:tcPr>
          <w:p>
            <w:pPr>
              <w:spacing w:after="0"/>
            </w:pPr>
            <w:r/>
            <w:r>
              <w:rPr>
                <w:b w:val="0"/>
              </w:rPr>
              <w:t>11.9</w:t>
            </w:r>
          </w:p>
        </w:tc>
        <w:tc>
          <w:tcPr>
            <w:tcW w:type="dxa" w:w="1728"/>
            <w:vAlign w:val="top"/>
          </w:tcPr>
          <w:p>
            <w:pPr>
              <w:spacing w:after="0"/>
            </w:pPr>
            <w:r/>
            <w:r>
              <w:rPr>
                <w:b w:val="0"/>
              </w:rPr>
              <w:t>972</w:t>
            </w:r>
          </w:p>
        </w:tc>
      </w:tr>
      <w:tr>
        <w:tc>
          <w:tcPr>
            <w:tcW w:type="dxa" w:w="1728"/>
            <w:vAlign w:val="top"/>
          </w:tcPr>
          <w:p>
            <w:pPr>
              <w:spacing w:after="0"/>
            </w:pPr>
            <w:r/>
            <w:r>
              <w:rPr>
                <w:b w:val="0"/>
              </w:rPr>
              <w:t>RS001</w:t>
            </w:r>
          </w:p>
        </w:tc>
        <w:tc>
          <w:tcPr>
            <w:tcW w:type="dxa" w:w="1728"/>
            <w:vAlign w:val="top"/>
          </w:tcPr>
          <w:p>
            <w:pPr>
              <w:spacing w:after="0"/>
            </w:pPr>
            <w:r/>
            <w:r>
              <w:rPr>
                <w:b w:val="0"/>
              </w:rPr>
              <w:t>Observation-by-time heatmap | Small-multiple time-series plots</w:t>
            </w:r>
          </w:p>
        </w:tc>
        <w:tc>
          <w:tcPr>
            <w:tcW w:type="dxa" w:w="1728"/>
            <w:vAlign w:val="top"/>
          </w:tcPr>
          <w:p>
            <w:pPr>
              <w:spacing w:after="0"/>
            </w:pPr>
            <w:r/>
            <w:r>
              <w:rPr>
                <w:b w:val="0"/>
              </w:rPr>
              <w:t>120</w:t>
            </w:r>
          </w:p>
        </w:tc>
        <w:tc>
          <w:tcPr>
            <w:tcW w:type="dxa" w:w="1728"/>
            <w:vAlign w:val="top"/>
          </w:tcPr>
          <w:p>
            <w:pPr>
              <w:spacing w:after="0"/>
            </w:pPr>
            <w:r/>
            <w:r>
              <w:rPr>
                <w:b w:val="0"/>
              </w:rPr>
              <w:t>8.8</w:t>
            </w:r>
          </w:p>
        </w:tc>
        <w:tc>
          <w:tcPr>
            <w:tcW w:type="dxa" w:w="1728"/>
            <w:vAlign w:val="top"/>
          </w:tcPr>
          <w:p>
            <w:pPr>
              <w:spacing w:after="0"/>
            </w:pPr>
            <w:r/>
            <w:r>
              <w:rPr>
                <w:b w:val="0"/>
              </w:rPr>
              <w:t>1920</w:t>
            </w:r>
          </w:p>
        </w:tc>
      </w:tr>
      <w:tr>
        <w:tc>
          <w:tcPr>
            <w:tcW w:type="dxa" w:w="1728"/>
            <w:vAlign w:val="top"/>
          </w:tcPr>
          <w:p>
            <w:pPr>
              <w:spacing w:after="0"/>
            </w:pPr>
            <w:r/>
            <w:r>
              <w:rPr>
                <w:b w:val="0"/>
              </w:rPr>
              <w:t>RS008</w:t>
            </w:r>
          </w:p>
        </w:tc>
        <w:tc>
          <w:tcPr>
            <w:tcW w:type="dxa" w:w="1728"/>
            <w:vAlign w:val="top"/>
          </w:tcPr>
          <w:p>
            <w:pPr>
              <w:spacing w:after="0"/>
            </w:pPr>
            <w:r/>
            <w:r>
              <w:rPr>
                <w:b w:val="0"/>
              </w:rPr>
              <w:t>100% stacked bar chart | Small-multiple composition bars</w:t>
            </w:r>
          </w:p>
        </w:tc>
        <w:tc>
          <w:tcPr>
            <w:tcW w:type="dxa" w:w="1728"/>
            <w:vAlign w:val="top"/>
          </w:tcPr>
          <w:p>
            <w:pPr>
              <w:spacing w:after="0"/>
            </w:pPr>
            <w:r/>
            <w:r>
              <w:rPr>
                <w:b w:val="0"/>
              </w:rPr>
              <w:t>108</w:t>
            </w:r>
          </w:p>
        </w:tc>
        <w:tc>
          <w:tcPr>
            <w:tcW w:type="dxa" w:w="1728"/>
            <w:vAlign w:val="top"/>
          </w:tcPr>
          <w:p>
            <w:pPr>
              <w:spacing w:after="0"/>
            </w:pPr>
            <w:r/>
            <w:r>
              <w:rPr>
                <w:b w:val="0"/>
              </w:rPr>
              <w:t>8.0</w:t>
            </w:r>
          </w:p>
        </w:tc>
        <w:tc>
          <w:tcPr>
            <w:tcW w:type="dxa" w:w="1728"/>
            <w:vAlign w:val="top"/>
          </w:tcPr>
          <w:p>
            <w:pPr>
              <w:spacing w:after="0"/>
            </w:pPr>
            <w:r/>
            <w:r>
              <w:rPr>
                <w:b w:val="0"/>
              </w:rPr>
              <w:t>648</w:t>
            </w:r>
          </w:p>
        </w:tc>
      </w:tr>
      <w:tr>
        <w:tc>
          <w:tcPr>
            <w:tcW w:type="dxa" w:w="1728"/>
            <w:vAlign w:val="top"/>
          </w:tcPr>
          <w:p>
            <w:pPr>
              <w:spacing w:after="0"/>
            </w:pPr>
            <w:r/>
            <w:r>
              <w:rPr>
                <w:b w:val="0"/>
              </w:rPr>
              <w:t>RS009</w:t>
            </w:r>
          </w:p>
        </w:tc>
        <w:tc>
          <w:tcPr>
            <w:tcW w:type="dxa" w:w="1728"/>
            <w:vAlign w:val="top"/>
          </w:tcPr>
          <w:p>
            <w:pPr>
              <w:spacing w:after="0"/>
            </w:pPr>
            <w:r/>
            <w:r>
              <w:rPr>
                <w:b w:val="0"/>
              </w:rPr>
              <w:t>Box or violin plot with raw points | Faceted density or ECDF plot</w:t>
            </w:r>
          </w:p>
        </w:tc>
        <w:tc>
          <w:tcPr>
            <w:tcW w:type="dxa" w:w="1728"/>
            <w:vAlign w:val="top"/>
          </w:tcPr>
          <w:p>
            <w:pPr>
              <w:spacing w:after="0"/>
            </w:pPr>
            <w:r/>
            <w:r>
              <w:rPr>
                <w:b w:val="0"/>
              </w:rPr>
              <w:t>108</w:t>
            </w:r>
          </w:p>
        </w:tc>
        <w:tc>
          <w:tcPr>
            <w:tcW w:type="dxa" w:w="1728"/>
            <w:vAlign w:val="top"/>
          </w:tcPr>
          <w:p>
            <w:pPr>
              <w:spacing w:after="0"/>
            </w:pPr>
            <w:r/>
            <w:r>
              <w:rPr>
                <w:b w:val="0"/>
              </w:rPr>
              <w:t>8.0</w:t>
            </w:r>
          </w:p>
        </w:tc>
        <w:tc>
          <w:tcPr>
            <w:tcW w:type="dxa" w:w="1728"/>
            <w:vAlign w:val="top"/>
          </w:tcPr>
          <w:p>
            <w:pPr>
              <w:spacing w:after="0"/>
            </w:pPr>
            <w:r/>
            <w:r>
              <w:rPr>
                <w:b w:val="0"/>
              </w:rPr>
              <w:t>648</w:t>
            </w:r>
          </w:p>
        </w:tc>
      </w:tr>
      <w:tr>
        <w:tc>
          <w:tcPr>
            <w:tcW w:type="dxa" w:w="1728"/>
            <w:vAlign w:val="top"/>
          </w:tcPr>
          <w:p>
            <w:pPr>
              <w:spacing w:after="0"/>
            </w:pPr>
            <w:r/>
            <w:r>
              <w:rPr>
                <w:b w:val="0"/>
              </w:rPr>
              <w:t>RS002</w:t>
            </w:r>
          </w:p>
        </w:tc>
        <w:tc>
          <w:tcPr>
            <w:tcW w:type="dxa" w:w="1728"/>
            <w:vAlign w:val="top"/>
          </w:tcPr>
          <w:p>
            <w:pPr>
              <w:spacing w:after="0"/>
            </w:pPr>
            <w:r/>
            <w:r>
              <w:rPr>
                <w:b w:val="0"/>
              </w:rPr>
              <w:t>Behaviour timeline (tile plot)</w:t>
            </w:r>
          </w:p>
        </w:tc>
        <w:tc>
          <w:tcPr>
            <w:tcW w:type="dxa" w:w="1728"/>
            <w:vAlign w:val="top"/>
          </w:tcPr>
          <w:p>
            <w:pPr>
              <w:spacing w:after="0"/>
            </w:pPr>
            <w:r/>
            <w:r>
              <w:rPr>
                <w:b w:val="0"/>
              </w:rPr>
              <w:t>60</w:t>
            </w:r>
          </w:p>
        </w:tc>
        <w:tc>
          <w:tcPr>
            <w:tcW w:type="dxa" w:w="1728"/>
            <w:vAlign w:val="top"/>
          </w:tcPr>
          <w:p>
            <w:pPr>
              <w:spacing w:after="0"/>
            </w:pPr>
            <w:r/>
            <w:r>
              <w:rPr>
                <w:b w:val="0"/>
              </w:rPr>
              <w:t>4.4</w:t>
            </w:r>
          </w:p>
        </w:tc>
        <w:tc>
          <w:tcPr>
            <w:tcW w:type="dxa" w:w="1728"/>
            <w:vAlign w:val="top"/>
          </w:tcPr>
          <w:p>
            <w:pPr>
              <w:spacing w:after="0"/>
            </w:pPr>
            <w:r/>
            <w:r>
              <w:rPr>
                <w:b w:val="0"/>
              </w:rPr>
              <w:t>1440</w:t>
            </w:r>
          </w:p>
        </w:tc>
      </w:tr>
      <w:tr>
        <w:tc>
          <w:tcPr>
            <w:tcW w:type="dxa" w:w="1728"/>
            <w:vAlign w:val="top"/>
          </w:tcPr>
          <w:p>
            <w:pPr>
              <w:spacing w:after="0"/>
            </w:pPr>
            <w:r/>
            <w:r>
              <w:rPr>
                <w:b w:val="0"/>
              </w:rPr>
              <w:t>RS003</w:t>
            </w:r>
          </w:p>
        </w:tc>
        <w:tc>
          <w:tcPr>
            <w:tcW w:type="dxa" w:w="1728"/>
            <w:vAlign w:val="top"/>
          </w:tcPr>
          <w:p>
            <w:pPr>
              <w:spacing w:after="0"/>
            </w:pPr>
            <w:r/>
            <w:r>
              <w:rPr>
                <w:b w:val="0"/>
              </w:rPr>
              <w:t>Behaviour-by-time heatmap</w:t>
            </w:r>
          </w:p>
        </w:tc>
        <w:tc>
          <w:tcPr>
            <w:tcW w:type="dxa" w:w="1728"/>
            <w:vAlign w:val="top"/>
          </w:tcPr>
          <w:p>
            <w:pPr>
              <w:spacing w:after="0"/>
            </w:pPr>
            <w:r/>
            <w:r>
              <w:rPr>
                <w:b w:val="0"/>
              </w:rPr>
              <w:t>60</w:t>
            </w:r>
          </w:p>
        </w:tc>
        <w:tc>
          <w:tcPr>
            <w:tcW w:type="dxa" w:w="1728"/>
            <w:vAlign w:val="top"/>
          </w:tcPr>
          <w:p>
            <w:pPr>
              <w:spacing w:after="0"/>
            </w:pPr>
            <w:r/>
            <w:r>
              <w:rPr>
                <w:b w:val="0"/>
              </w:rPr>
              <w:t>4.4</w:t>
            </w:r>
          </w:p>
        </w:tc>
        <w:tc>
          <w:tcPr>
            <w:tcW w:type="dxa" w:w="1728"/>
            <w:vAlign w:val="top"/>
          </w:tcPr>
          <w:p>
            <w:pPr>
              <w:spacing w:after="0"/>
            </w:pPr>
            <w:r/>
            <w:r>
              <w:rPr>
                <w:b w:val="0"/>
              </w:rPr>
              <w:t>1440</w:t>
            </w:r>
          </w:p>
        </w:tc>
      </w:tr>
      <w:tr>
        <w:tc>
          <w:tcPr>
            <w:tcW w:type="dxa" w:w="1728"/>
            <w:vAlign w:val="top"/>
          </w:tcPr>
          <w:p>
            <w:pPr>
              <w:spacing w:after="0"/>
            </w:pPr>
            <w:r/>
            <w:r>
              <w:rPr>
                <w:b w:val="0"/>
              </w:rPr>
              <w:t>RS004</w:t>
            </w:r>
          </w:p>
        </w:tc>
        <w:tc>
          <w:tcPr>
            <w:tcW w:type="dxa" w:w="1728"/>
            <w:vAlign w:val="top"/>
          </w:tcPr>
          <w:p>
            <w:pPr>
              <w:spacing w:after="0"/>
            </w:pPr>
            <w:r/>
            <w:r>
              <w:rPr>
                <w:b w:val="0"/>
              </w:rPr>
              <w:t>Proportion-over-time profile | Stacked area profile</w:t>
            </w:r>
          </w:p>
        </w:tc>
        <w:tc>
          <w:tcPr>
            <w:tcW w:type="dxa" w:w="1728"/>
            <w:vAlign w:val="top"/>
          </w:tcPr>
          <w:p>
            <w:pPr>
              <w:spacing w:after="0"/>
            </w:pPr>
            <w:r/>
            <w:r>
              <w:rPr>
                <w:b w:val="0"/>
              </w:rPr>
              <w:t>60</w:t>
            </w:r>
          </w:p>
        </w:tc>
        <w:tc>
          <w:tcPr>
            <w:tcW w:type="dxa" w:w="1728"/>
            <w:vAlign w:val="top"/>
          </w:tcPr>
          <w:p>
            <w:pPr>
              <w:spacing w:after="0"/>
            </w:pPr>
            <w:r/>
            <w:r>
              <w:rPr>
                <w:b w:val="0"/>
              </w:rPr>
              <w:t>4.4</w:t>
            </w:r>
          </w:p>
        </w:tc>
        <w:tc>
          <w:tcPr>
            <w:tcW w:type="dxa" w:w="1728"/>
            <w:vAlign w:val="top"/>
          </w:tcPr>
          <w:p>
            <w:pPr>
              <w:spacing w:after="0"/>
            </w:pPr>
            <w:r/>
            <w:r>
              <w:rPr>
                <w:b w:val="0"/>
              </w:rPr>
              <w:t>1440</w:t>
            </w:r>
          </w:p>
        </w:tc>
      </w:tr>
      <w:tr>
        <w:tc>
          <w:tcPr>
            <w:tcW w:type="dxa" w:w="1728"/>
            <w:vAlign w:val="top"/>
          </w:tcPr>
          <w:p>
            <w:pPr>
              <w:spacing w:after="0"/>
            </w:pPr>
            <w:r/>
            <w:r>
              <w:rPr>
                <w:b w:val="0"/>
              </w:rPr>
              <w:t>RS006</w:t>
            </w:r>
          </w:p>
        </w:tc>
        <w:tc>
          <w:tcPr>
            <w:tcW w:type="dxa" w:w="1728"/>
            <w:vAlign w:val="top"/>
          </w:tcPr>
          <w:p>
            <w:pPr>
              <w:spacing w:after="0"/>
            </w:pPr>
            <w:r/>
            <w:r>
              <w:rPr>
                <w:b w:val="0"/>
              </w:rPr>
              <w:t>Observation-by-time heatmap</w:t>
            </w:r>
          </w:p>
        </w:tc>
        <w:tc>
          <w:tcPr>
            <w:tcW w:type="dxa" w:w="1728"/>
            <w:vAlign w:val="top"/>
          </w:tcPr>
          <w:p>
            <w:pPr>
              <w:spacing w:after="0"/>
            </w:pPr>
            <w:r/>
            <w:r>
              <w:rPr>
                <w:b w:val="0"/>
              </w:rPr>
              <w:t>60</w:t>
            </w:r>
          </w:p>
        </w:tc>
        <w:tc>
          <w:tcPr>
            <w:tcW w:type="dxa" w:w="1728"/>
            <w:vAlign w:val="top"/>
          </w:tcPr>
          <w:p>
            <w:pPr>
              <w:spacing w:after="0"/>
            </w:pPr>
            <w:r/>
            <w:r>
              <w:rPr>
                <w:b w:val="0"/>
              </w:rPr>
              <w:t>4.4</w:t>
            </w:r>
          </w:p>
        </w:tc>
        <w:tc>
          <w:tcPr>
            <w:tcW w:type="dxa" w:w="1728"/>
            <w:vAlign w:val="top"/>
          </w:tcPr>
          <w:p>
            <w:pPr>
              <w:spacing w:after="0"/>
            </w:pPr>
            <w:r/>
            <w:r>
              <w:rPr>
                <w:b w:val="0"/>
              </w:rPr>
              <w:t>960</w:t>
            </w:r>
          </w:p>
        </w:tc>
      </w:tr>
      <w:tr>
        <w:tc>
          <w:tcPr>
            <w:tcW w:type="dxa" w:w="1728"/>
            <w:vAlign w:val="top"/>
          </w:tcPr>
          <w:p>
            <w:pPr>
              <w:spacing w:after="0"/>
            </w:pPr>
            <w:r/>
            <w:r>
              <w:rPr>
                <w:b w:val="0"/>
              </w:rPr>
              <w:t>RS007</w:t>
            </w:r>
          </w:p>
        </w:tc>
        <w:tc>
          <w:tcPr>
            <w:tcW w:type="dxa" w:w="1728"/>
            <w:vAlign w:val="top"/>
          </w:tcPr>
          <w:p>
            <w:pPr>
              <w:spacing w:after="0"/>
            </w:pPr>
            <w:r/>
            <w:r>
              <w:rPr>
                <w:b w:val="0"/>
              </w:rPr>
              <w:t>Time-series line plot</w:t>
            </w:r>
          </w:p>
        </w:tc>
        <w:tc>
          <w:tcPr>
            <w:tcW w:type="dxa" w:w="1728"/>
            <w:vAlign w:val="top"/>
          </w:tcPr>
          <w:p>
            <w:pPr>
              <w:spacing w:after="0"/>
            </w:pPr>
            <w:r/>
            <w:r>
              <w:rPr>
                <w:b w:val="0"/>
              </w:rPr>
              <w:t>60</w:t>
            </w:r>
          </w:p>
        </w:tc>
        <w:tc>
          <w:tcPr>
            <w:tcW w:type="dxa" w:w="1728"/>
            <w:vAlign w:val="top"/>
          </w:tcPr>
          <w:p>
            <w:pPr>
              <w:spacing w:after="0"/>
            </w:pPr>
            <w:r/>
            <w:r>
              <w:rPr>
                <w:b w:val="0"/>
              </w:rPr>
              <w:t>4.4</w:t>
            </w:r>
          </w:p>
        </w:tc>
        <w:tc>
          <w:tcPr>
            <w:tcW w:type="dxa" w:w="1728"/>
            <w:vAlign w:val="top"/>
          </w:tcPr>
          <w:p>
            <w:pPr>
              <w:spacing w:after="0"/>
            </w:pPr>
            <w:r/>
            <w:r>
              <w:rPr>
                <w:b w:val="0"/>
              </w:rPr>
              <w:t>720</w:t>
            </w:r>
          </w:p>
        </w:tc>
      </w:tr>
      <w:tr>
        <w:tc>
          <w:tcPr>
            <w:tcW w:type="dxa" w:w="1728"/>
            <w:vAlign w:val="top"/>
          </w:tcPr>
          <w:p>
            <w:pPr>
              <w:spacing w:after="0"/>
            </w:pPr>
            <w:r/>
            <w:r>
              <w:rPr>
                <w:b w:val="0"/>
              </w:rPr>
              <w:t>RS017</w:t>
            </w:r>
          </w:p>
        </w:tc>
        <w:tc>
          <w:tcPr>
            <w:tcW w:type="dxa" w:w="1728"/>
            <w:vAlign w:val="top"/>
          </w:tcPr>
          <w:p>
            <w:pPr>
              <w:spacing w:after="0"/>
            </w:pPr>
            <w:r/>
            <w:r>
              <w:rPr>
                <w:b w:val="0"/>
              </w:rPr>
              <w:t>Summary time profile</w:t>
            </w:r>
          </w:p>
        </w:tc>
        <w:tc>
          <w:tcPr>
            <w:tcW w:type="dxa" w:w="1728"/>
            <w:vAlign w:val="top"/>
          </w:tcPr>
          <w:p>
            <w:pPr>
              <w:spacing w:after="0"/>
            </w:pPr>
            <w:r/>
            <w:r>
              <w:rPr>
                <w:b w:val="0"/>
              </w:rPr>
              <w:t>60</w:t>
            </w:r>
          </w:p>
        </w:tc>
        <w:tc>
          <w:tcPr>
            <w:tcW w:type="dxa" w:w="1728"/>
            <w:vAlign w:val="top"/>
          </w:tcPr>
          <w:p>
            <w:pPr>
              <w:spacing w:after="0"/>
            </w:pPr>
            <w:r/>
            <w:r>
              <w:rPr>
                <w:b w:val="0"/>
              </w:rPr>
              <w:t>4.4</w:t>
            </w:r>
          </w:p>
        </w:tc>
        <w:tc>
          <w:tcPr>
            <w:tcW w:type="dxa" w:w="1728"/>
            <w:vAlign w:val="top"/>
          </w:tcPr>
          <w:p>
            <w:pPr>
              <w:spacing w:after="0"/>
            </w:pPr>
            <w:r/>
            <w:r>
              <w:rPr>
                <w:b w:val="0"/>
              </w:rPr>
              <w:t>360</w:t>
            </w:r>
          </w:p>
        </w:tc>
      </w:tr>
      <w:tr>
        <w:tc>
          <w:tcPr>
            <w:tcW w:type="dxa" w:w="1728"/>
            <w:vAlign w:val="top"/>
          </w:tcPr>
          <w:p>
            <w:pPr>
              <w:spacing w:after="0"/>
            </w:pPr>
            <w:r/>
            <w:r>
              <w:rPr>
                <w:b w:val="0"/>
              </w:rPr>
              <w:t>RS018</w:t>
            </w:r>
          </w:p>
        </w:tc>
        <w:tc>
          <w:tcPr>
            <w:tcW w:type="dxa" w:w="1728"/>
            <w:vAlign w:val="top"/>
          </w:tcPr>
          <w:p>
            <w:pPr>
              <w:spacing w:after="0"/>
            </w:pPr>
            <w:r/>
            <w:r>
              <w:rPr>
                <w:b w:val="0"/>
              </w:rPr>
              <w:t>Summary time profile with interval ribbon</w:t>
            </w:r>
          </w:p>
        </w:tc>
        <w:tc>
          <w:tcPr>
            <w:tcW w:type="dxa" w:w="1728"/>
            <w:vAlign w:val="top"/>
          </w:tcPr>
          <w:p>
            <w:pPr>
              <w:spacing w:after="0"/>
            </w:pPr>
            <w:r/>
            <w:r>
              <w:rPr>
                <w:b w:val="0"/>
              </w:rPr>
              <w:t>60</w:t>
            </w:r>
          </w:p>
        </w:tc>
        <w:tc>
          <w:tcPr>
            <w:tcW w:type="dxa" w:w="1728"/>
            <w:vAlign w:val="top"/>
          </w:tcPr>
          <w:p>
            <w:pPr>
              <w:spacing w:after="0"/>
            </w:pPr>
            <w:r/>
            <w:r>
              <w:rPr>
                <w:b w:val="0"/>
              </w:rPr>
              <w:t>4.4</w:t>
            </w:r>
          </w:p>
        </w:tc>
        <w:tc>
          <w:tcPr>
            <w:tcW w:type="dxa" w:w="1728"/>
            <w:vAlign w:val="top"/>
          </w:tcPr>
          <w:p>
            <w:pPr>
              <w:spacing w:after="0"/>
            </w:pPr>
            <w:r/>
            <w:r>
              <w:rPr>
                <w:b w:val="0"/>
              </w:rPr>
              <w:t>360</w:t>
            </w:r>
          </w:p>
        </w:tc>
      </w:tr>
      <w:tr>
        <w:tc>
          <w:tcPr>
            <w:tcW w:type="dxa" w:w="1728"/>
            <w:vAlign w:val="top"/>
          </w:tcPr>
          <w:p>
            <w:pPr>
              <w:spacing w:after="0"/>
            </w:pPr>
            <w:r/>
            <w:r>
              <w:rPr>
                <w:b w:val="0"/>
              </w:rPr>
              <w:t>RS019</w:t>
            </w:r>
          </w:p>
        </w:tc>
        <w:tc>
          <w:tcPr>
            <w:tcW w:type="dxa" w:w="1728"/>
            <w:vAlign w:val="top"/>
          </w:tcPr>
          <w:p>
            <w:pPr>
              <w:spacing w:after="0"/>
            </w:pPr>
            <w:r/>
            <w:r>
              <w:rPr>
                <w:b w:val="0"/>
              </w:rPr>
              <w:t>100% stacked bar chart | Small-multiple composition bars | Ternary plot</w:t>
            </w:r>
          </w:p>
        </w:tc>
        <w:tc>
          <w:tcPr>
            <w:tcW w:type="dxa" w:w="1728"/>
            <w:vAlign w:val="top"/>
          </w:tcPr>
          <w:p>
            <w:pPr>
              <w:spacing w:after="0"/>
            </w:pPr>
            <w:r/>
            <w:r>
              <w:rPr>
                <w:b w:val="0"/>
              </w:rPr>
              <w:t>54</w:t>
            </w:r>
          </w:p>
        </w:tc>
        <w:tc>
          <w:tcPr>
            <w:tcW w:type="dxa" w:w="1728"/>
            <w:vAlign w:val="top"/>
          </w:tcPr>
          <w:p>
            <w:pPr>
              <w:spacing w:after="0"/>
            </w:pPr>
            <w:r/>
            <w:r>
              <w:rPr>
                <w:b w:val="0"/>
              </w:rPr>
              <w:t>4.0</w:t>
            </w:r>
          </w:p>
        </w:tc>
        <w:tc>
          <w:tcPr>
            <w:tcW w:type="dxa" w:w="1728"/>
            <w:vAlign w:val="top"/>
          </w:tcPr>
          <w:p>
            <w:pPr>
              <w:spacing w:after="0"/>
            </w:pPr>
            <w:r/>
            <w:r>
              <w:rPr>
                <w:b w:val="0"/>
              </w:rPr>
              <w:t>324</w:t>
            </w:r>
          </w:p>
        </w:tc>
      </w:tr>
      <w:tr>
        <w:tc>
          <w:tcPr>
            <w:tcW w:type="dxa" w:w="1728"/>
            <w:vAlign w:val="top"/>
          </w:tcPr>
          <w:p>
            <w:pPr>
              <w:spacing w:after="0"/>
            </w:pPr>
            <w:r/>
            <w:r>
              <w:rPr>
                <w:b w:val="0"/>
              </w:rPr>
              <w:t>RS010</w:t>
            </w:r>
          </w:p>
        </w:tc>
        <w:tc>
          <w:tcPr>
            <w:tcW w:type="dxa" w:w="1728"/>
            <w:vAlign w:val="top"/>
          </w:tcPr>
          <w:p>
            <w:pPr>
              <w:spacing w:after="0"/>
            </w:pPr>
            <w:r/>
            <w:r>
              <w:rPr>
                <w:b w:val="0"/>
              </w:rPr>
              <w:t>Event raster or time-bin heatmap</w:t>
            </w:r>
          </w:p>
        </w:tc>
        <w:tc>
          <w:tcPr>
            <w:tcW w:type="dxa" w:w="1728"/>
            <w:vAlign w:val="top"/>
          </w:tcPr>
          <w:p>
            <w:pPr>
              <w:spacing w:after="0"/>
            </w:pPr>
            <w:r/>
            <w:r>
              <w:rPr>
                <w:b w:val="0"/>
              </w:rPr>
              <w:t>40</w:t>
            </w:r>
          </w:p>
        </w:tc>
        <w:tc>
          <w:tcPr>
            <w:tcW w:type="dxa" w:w="1728"/>
            <w:vAlign w:val="top"/>
          </w:tcPr>
          <w:p>
            <w:pPr>
              <w:spacing w:after="0"/>
            </w:pPr>
            <w:r/>
            <w:r>
              <w:rPr>
                <w:b w:val="0"/>
              </w:rPr>
              <w:t>2.9</w:t>
            </w:r>
          </w:p>
        </w:tc>
        <w:tc>
          <w:tcPr>
            <w:tcW w:type="dxa" w:w="1728"/>
            <w:vAlign w:val="top"/>
          </w:tcPr>
          <w:p>
            <w:pPr>
              <w:spacing w:after="0"/>
            </w:pPr>
            <w:r/>
            <w:r>
              <w:rPr>
                <w:b w:val="0"/>
              </w:rPr>
              <w:t>480</w:t>
            </w:r>
          </w:p>
        </w:tc>
      </w:tr>
      <w:tr>
        <w:tc>
          <w:tcPr>
            <w:tcW w:type="dxa" w:w="1728"/>
            <w:vAlign w:val="top"/>
          </w:tcPr>
          <w:p>
            <w:pPr>
              <w:spacing w:after="0"/>
            </w:pPr>
            <w:r/>
            <w:r>
              <w:rPr>
                <w:b w:val="0"/>
              </w:rPr>
              <w:t>RS011</w:t>
            </w:r>
          </w:p>
        </w:tc>
        <w:tc>
          <w:tcPr>
            <w:tcW w:type="dxa" w:w="1728"/>
            <w:vAlign w:val="top"/>
          </w:tcPr>
          <w:p>
            <w:pPr>
              <w:spacing w:after="0"/>
            </w:pPr>
            <w:r/>
            <w:r>
              <w:rPr>
                <w:b w:val="0"/>
              </w:rPr>
              <w:t>Event timeline or raster plot</w:t>
            </w:r>
          </w:p>
        </w:tc>
        <w:tc>
          <w:tcPr>
            <w:tcW w:type="dxa" w:w="1728"/>
            <w:vAlign w:val="top"/>
          </w:tcPr>
          <w:p>
            <w:pPr>
              <w:spacing w:after="0"/>
            </w:pPr>
            <w:r/>
            <w:r>
              <w:rPr>
                <w:b w:val="0"/>
              </w:rPr>
              <w:t>40</w:t>
            </w:r>
          </w:p>
        </w:tc>
        <w:tc>
          <w:tcPr>
            <w:tcW w:type="dxa" w:w="1728"/>
            <w:vAlign w:val="top"/>
          </w:tcPr>
          <w:p>
            <w:pPr>
              <w:spacing w:after="0"/>
            </w:pPr>
            <w:r/>
            <w:r>
              <w:rPr>
                <w:b w:val="0"/>
              </w:rPr>
              <w:t>2.9</w:t>
            </w:r>
          </w:p>
        </w:tc>
        <w:tc>
          <w:tcPr>
            <w:tcW w:type="dxa" w:w="1728"/>
            <w:vAlign w:val="top"/>
          </w:tcPr>
          <w:p>
            <w:pPr>
              <w:spacing w:after="0"/>
            </w:pPr>
            <w:r/>
            <w:r>
              <w:rPr>
                <w:b w:val="0"/>
              </w:rPr>
              <w:t>480</w:t>
            </w:r>
          </w:p>
        </w:tc>
      </w:tr>
      <w:tr>
        <w:tc>
          <w:tcPr>
            <w:tcW w:type="dxa" w:w="1728"/>
            <w:vAlign w:val="top"/>
          </w:tcPr>
          <w:p>
            <w:pPr>
              <w:spacing w:after="0"/>
            </w:pPr>
            <w:r/>
            <w:r>
              <w:rPr>
                <w:b w:val="0"/>
              </w:rPr>
              <w:t>RS012</w:t>
            </w:r>
          </w:p>
        </w:tc>
        <w:tc>
          <w:tcPr>
            <w:tcW w:type="dxa" w:w="1728"/>
            <w:vAlign w:val="top"/>
          </w:tcPr>
          <w:p>
            <w:pPr>
              <w:spacing w:after="0"/>
            </w:pPr>
            <w:r/>
            <w:r>
              <w:rPr>
                <w:b w:val="0"/>
              </w:rPr>
              <w:t>Event-frequency time profile</w:t>
            </w:r>
          </w:p>
        </w:tc>
        <w:tc>
          <w:tcPr>
            <w:tcW w:type="dxa" w:w="1728"/>
            <w:vAlign w:val="top"/>
          </w:tcPr>
          <w:p>
            <w:pPr>
              <w:spacing w:after="0"/>
            </w:pPr>
            <w:r/>
            <w:r>
              <w:rPr>
                <w:b w:val="0"/>
              </w:rPr>
              <w:t>40</w:t>
            </w:r>
          </w:p>
        </w:tc>
        <w:tc>
          <w:tcPr>
            <w:tcW w:type="dxa" w:w="1728"/>
            <w:vAlign w:val="top"/>
          </w:tcPr>
          <w:p>
            <w:pPr>
              <w:spacing w:after="0"/>
            </w:pPr>
            <w:r/>
            <w:r>
              <w:rPr>
                <w:b w:val="0"/>
              </w:rPr>
              <w:t>2.9</w:t>
            </w:r>
          </w:p>
        </w:tc>
        <w:tc>
          <w:tcPr>
            <w:tcW w:type="dxa" w:w="1728"/>
            <w:vAlign w:val="top"/>
          </w:tcPr>
          <w:p>
            <w:pPr>
              <w:spacing w:after="0"/>
            </w:pPr>
            <w:r/>
            <w:r>
              <w:rPr>
                <w:b w:val="0"/>
              </w:rPr>
              <w:t>480</w:t>
            </w:r>
          </w:p>
        </w:tc>
      </w:tr>
      <w:tr>
        <w:tc>
          <w:tcPr>
            <w:tcW w:type="dxa" w:w="1728"/>
            <w:vAlign w:val="top"/>
          </w:tcPr>
          <w:p>
            <w:pPr>
              <w:spacing w:after="0"/>
            </w:pPr>
            <w:r/>
            <w:r>
              <w:rPr>
                <w:b w:val="0"/>
              </w:rPr>
              <w:t>RS013</w:t>
            </w:r>
          </w:p>
        </w:tc>
        <w:tc>
          <w:tcPr>
            <w:tcW w:type="dxa" w:w="1728"/>
            <w:vAlign w:val="top"/>
          </w:tcPr>
          <w:p>
            <w:pPr>
              <w:spacing w:after="0"/>
            </w:pPr>
            <w:r/>
            <w:r>
              <w:rPr>
                <w:b w:val="0"/>
              </w:rPr>
              <w:t>Hexbin or two-dimensional density plot</w:t>
            </w:r>
          </w:p>
        </w:tc>
        <w:tc>
          <w:tcPr>
            <w:tcW w:type="dxa" w:w="1728"/>
            <w:vAlign w:val="top"/>
          </w:tcPr>
          <w:p>
            <w:pPr>
              <w:spacing w:after="0"/>
            </w:pPr>
            <w:r/>
            <w:r>
              <w:rPr>
                <w:b w:val="0"/>
              </w:rPr>
              <w:t>40</w:t>
            </w:r>
          </w:p>
        </w:tc>
        <w:tc>
          <w:tcPr>
            <w:tcW w:type="dxa" w:w="1728"/>
            <w:vAlign w:val="top"/>
          </w:tcPr>
          <w:p>
            <w:pPr>
              <w:spacing w:after="0"/>
            </w:pPr>
            <w:r/>
            <w:r>
              <w:rPr>
                <w:b w:val="0"/>
              </w:rPr>
              <w:t>2.9</w:t>
            </w:r>
          </w:p>
        </w:tc>
        <w:tc>
          <w:tcPr>
            <w:tcW w:type="dxa" w:w="1728"/>
            <w:vAlign w:val="top"/>
          </w:tcPr>
          <w:p>
            <w:pPr>
              <w:spacing w:after="0"/>
            </w:pPr>
            <w:r/>
            <w:r>
              <w:rPr>
                <w:b w:val="0"/>
              </w:rPr>
              <w:t>480</w:t>
            </w:r>
          </w:p>
        </w:tc>
      </w:tr>
      <w:tr>
        <w:tc>
          <w:tcPr>
            <w:tcW w:type="dxa" w:w="1728"/>
            <w:vAlign w:val="top"/>
          </w:tcPr>
          <w:p>
            <w:pPr>
              <w:spacing w:after="0"/>
            </w:pPr>
            <w:r/>
            <w:r>
              <w:rPr>
                <w:b w:val="0"/>
              </w:rPr>
              <w:t>RS014</w:t>
            </w:r>
          </w:p>
        </w:tc>
        <w:tc>
          <w:tcPr>
            <w:tcW w:type="dxa" w:w="1728"/>
            <w:vAlign w:val="top"/>
          </w:tcPr>
          <w:p>
            <w:pPr>
              <w:spacing w:after="0"/>
            </w:pPr>
            <w:r/>
            <w:r>
              <w:rPr>
                <w:b w:val="0"/>
              </w:rPr>
              <w:t>Scatter plot</w:t>
            </w:r>
          </w:p>
        </w:tc>
        <w:tc>
          <w:tcPr>
            <w:tcW w:type="dxa" w:w="1728"/>
            <w:vAlign w:val="top"/>
          </w:tcPr>
          <w:p>
            <w:pPr>
              <w:spacing w:after="0"/>
            </w:pPr>
            <w:r/>
            <w:r>
              <w:rPr>
                <w:b w:val="0"/>
              </w:rPr>
              <w:t>40</w:t>
            </w:r>
          </w:p>
        </w:tc>
        <w:tc>
          <w:tcPr>
            <w:tcW w:type="dxa" w:w="1728"/>
            <w:vAlign w:val="top"/>
          </w:tcPr>
          <w:p>
            <w:pPr>
              <w:spacing w:after="0"/>
            </w:pPr>
            <w:r/>
            <w:r>
              <w:rPr>
                <w:b w:val="0"/>
              </w:rPr>
              <w:t>2.9</w:t>
            </w:r>
          </w:p>
        </w:tc>
        <w:tc>
          <w:tcPr>
            <w:tcW w:type="dxa" w:w="1728"/>
            <w:vAlign w:val="top"/>
          </w:tcPr>
          <w:p>
            <w:pPr>
              <w:spacing w:after="0"/>
            </w:pPr>
            <w:r/>
            <w:r>
              <w:rPr>
                <w:b w:val="0"/>
              </w:rPr>
              <w:t>480</w:t>
            </w:r>
          </w:p>
        </w:tc>
      </w:tr>
      <w:tr>
        <w:tc>
          <w:tcPr>
            <w:tcW w:type="dxa" w:w="1728"/>
            <w:vAlign w:val="top"/>
          </w:tcPr>
          <w:p>
            <w:pPr>
              <w:spacing w:after="0"/>
            </w:pPr>
            <w:r/>
            <w:r>
              <w:rPr>
                <w:b w:val="0"/>
              </w:rPr>
              <w:t>RS015</w:t>
            </w:r>
          </w:p>
        </w:tc>
        <w:tc>
          <w:tcPr>
            <w:tcW w:type="dxa" w:w="1728"/>
            <w:vAlign w:val="top"/>
          </w:tcPr>
          <w:p>
            <w:pPr>
              <w:spacing w:after="0"/>
            </w:pPr>
            <w:r/>
            <w:r>
              <w:rPr>
                <w:b w:val="0"/>
              </w:rPr>
              <w:t>Paired dot plot or slope chart</w:t>
            </w:r>
          </w:p>
        </w:tc>
        <w:tc>
          <w:tcPr>
            <w:tcW w:type="dxa" w:w="1728"/>
            <w:vAlign w:val="top"/>
          </w:tcPr>
          <w:p>
            <w:pPr>
              <w:spacing w:after="0"/>
            </w:pPr>
            <w:r/>
            <w:r>
              <w:rPr>
                <w:b w:val="0"/>
              </w:rPr>
              <w:t>36</w:t>
            </w:r>
          </w:p>
        </w:tc>
        <w:tc>
          <w:tcPr>
            <w:tcW w:type="dxa" w:w="1728"/>
            <w:vAlign w:val="top"/>
          </w:tcPr>
          <w:p>
            <w:pPr>
              <w:spacing w:after="0"/>
            </w:pPr>
            <w:r/>
            <w:r>
              <w:rPr>
                <w:b w:val="0"/>
              </w:rPr>
              <w:t>2.7</w:t>
            </w:r>
          </w:p>
        </w:tc>
        <w:tc>
          <w:tcPr>
            <w:tcW w:type="dxa" w:w="1728"/>
            <w:vAlign w:val="top"/>
          </w:tcPr>
          <w:p>
            <w:pPr>
              <w:spacing w:after="0"/>
            </w:pPr>
            <w:r/>
            <w:r>
              <w:rPr>
                <w:b w:val="0"/>
              </w:rPr>
              <w:t>432</w:t>
            </w:r>
          </w:p>
        </w:tc>
      </w:tr>
      <w:tr>
        <w:tc>
          <w:tcPr>
            <w:tcW w:type="dxa" w:w="1728"/>
            <w:vAlign w:val="top"/>
          </w:tcPr>
          <w:p>
            <w:pPr>
              <w:spacing w:after="0"/>
            </w:pPr>
            <w:r/>
            <w:r>
              <w:rPr>
                <w:b w:val="0"/>
              </w:rPr>
              <w:t>RS016</w:t>
            </w:r>
          </w:p>
        </w:tc>
        <w:tc>
          <w:tcPr>
            <w:tcW w:type="dxa" w:w="1728"/>
            <w:vAlign w:val="top"/>
          </w:tcPr>
          <w:p>
            <w:pPr>
              <w:spacing w:after="0"/>
            </w:pPr>
            <w:r/>
            <w:r>
              <w:rPr>
                <w:b w:val="0"/>
              </w:rPr>
              <w:t>Repeated-measures line plot</w:t>
            </w:r>
          </w:p>
        </w:tc>
        <w:tc>
          <w:tcPr>
            <w:tcW w:type="dxa" w:w="1728"/>
            <w:vAlign w:val="top"/>
          </w:tcPr>
          <w:p>
            <w:pPr>
              <w:spacing w:after="0"/>
            </w:pPr>
            <w:r/>
            <w:r>
              <w:rPr>
                <w:b w:val="0"/>
              </w:rPr>
              <w:t>36</w:t>
            </w:r>
          </w:p>
        </w:tc>
        <w:tc>
          <w:tcPr>
            <w:tcW w:type="dxa" w:w="1728"/>
            <w:vAlign w:val="top"/>
          </w:tcPr>
          <w:p>
            <w:pPr>
              <w:spacing w:after="0"/>
            </w:pPr>
            <w:r/>
            <w:r>
              <w:rPr>
                <w:b w:val="0"/>
              </w:rPr>
              <w:t>2.7</w:t>
            </w:r>
          </w:p>
        </w:tc>
        <w:tc>
          <w:tcPr>
            <w:tcW w:type="dxa" w:w="1728"/>
            <w:vAlign w:val="top"/>
          </w:tcPr>
          <w:p>
            <w:pPr>
              <w:spacing w:after="0"/>
            </w:pPr>
            <w:r/>
            <w:r>
              <w:rPr>
                <w:b w:val="0"/>
              </w:rPr>
              <w:t>432</w:t>
            </w:r>
          </w:p>
        </w:tc>
      </w:tr>
      <w:tr>
        <w:tc>
          <w:tcPr>
            <w:tcW w:type="dxa" w:w="1728"/>
            <w:vAlign w:val="top"/>
          </w:tcPr>
          <w:p>
            <w:pPr>
              <w:spacing w:after="0"/>
            </w:pPr>
            <w:r/>
            <w:r>
              <w:rPr>
                <w:b w:val="0"/>
              </w:rPr>
              <w:t>RS020</w:t>
            </w:r>
          </w:p>
        </w:tc>
        <w:tc>
          <w:tcPr>
            <w:tcW w:type="dxa" w:w="1728"/>
            <w:vAlign w:val="top"/>
          </w:tcPr>
          <w:p>
            <w:pPr>
              <w:spacing w:after="0"/>
            </w:pPr>
            <w:r/>
            <w:r>
              <w:rPr>
                <w:b w:val="0"/>
              </w:rPr>
              <w:t>Dot plot with summary and interval | Box or violin plot with raw points</w:t>
            </w:r>
          </w:p>
        </w:tc>
        <w:tc>
          <w:tcPr>
            <w:tcW w:type="dxa" w:w="1728"/>
            <w:vAlign w:val="top"/>
          </w:tcPr>
          <w:p>
            <w:pPr>
              <w:spacing w:after="0"/>
            </w:pPr>
            <w:r/>
            <w:r>
              <w:rPr>
                <w:b w:val="0"/>
              </w:rPr>
              <w:t>24</w:t>
            </w:r>
          </w:p>
        </w:tc>
        <w:tc>
          <w:tcPr>
            <w:tcW w:type="dxa" w:w="1728"/>
            <w:vAlign w:val="top"/>
          </w:tcPr>
          <w:p>
            <w:pPr>
              <w:spacing w:after="0"/>
            </w:pPr>
            <w:r/>
            <w:r>
              <w:rPr>
                <w:b w:val="0"/>
              </w:rPr>
              <w:t>1.8</w:t>
            </w:r>
          </w:p>
        </w:tc>
        <w:tc>
          <w:tcPr>
            <w:tcW w:type="dxa" w:w="1728"/>
            <w:vAlign w:val="top"/>
          </w:tcPr>
          <w:p>
            <w:pPr>
              <w:spacing w:after="0"/>
            </w:pPr>
            <w:r/>
            <w:r>
              <w:rPr>
                <w:b w:val="0"/>
              </w:rPr>
              <w:t>288</w:t>
            </w:r>
          </w:p>
        </w:tc>
      </w:tr>
      <w:tr>
        <w:tc>
          <w:tcPr>
            <w:tcW w:type="dxa" w:w="1728"/>
            <w:vAlign w:val="top"/>
          </w:tcPr>
          <w:p>
            <w:pPr>
              <w:spacing w:after="0"/>
            </w:pPr>
            <w:r/>
            <w:r>
              <w:rPr>
                <w:b w:val="0"/>
              </w:rPr>
              <w:t>RS021</w:t>
            </w:r>
          </w:p>
        </w:tc>
        <w:tc>
          <w:tcPr>
            <w:tcW w:type="dxa" w:w="1728"/>
            <w:vAlign w:val="top"/>
          </w:tcPr>
          <w:p>
            <w:pPr>
              <w:spacing w:after="0"/>
            </w:pPr>
            <w:r/>
            <w:r>
              <w:rPr>
                <w:b w:val="0"/>
              </w:rPr>
              <w:t>Pie or doughnut chart | 100% stacked bar chart</w:t>
            </w:r>
          </w:p>
        </w:tc>
        <w:tc>
          <w:tcPr>
            <w:tcW w:type="dxa" w:w="1728"/>
            <w:vAlign w:val="top"/>
          </w:tcPr>
          <w:p>
            <w:pPr>
              <w:spacing w:after="0"/>
            </w:pPr>
            <w:r/>
            <w:r>
              <w:rPr>
                <w:b w:val="0"/>
              </w:rPr>
              <w:t>18</w:t>
            </w:r>
          </w:p>
        </w:tc>
        <w:tc>
          <w:tcPr>
            <w:tcW w:type="dxa" w:w="1728"/>
            <w:vAlign w:val="top"/>
          </w:tcPr>
          <w:p>
            <w:pPr>
              <w:spacing w:after="0"/>
            </w:pPr>
            <w:r/>
            <w:r>
              <w:rPr>
                <w:b w:val="0"/>
              </w:rPr>
              <w:t>1.3</w:t>
            </w:r>
          </w:p>
        </w:tc>
        <w:tc>
          <w:tcPr>
            <w:tcW w:type="dxa" w:w="1728"/>
            <w:vAlign w:val="top"/>
          </w:tcPr>
          <w:p>
            <w:pPr>
              <w:spacing w:after="0"/>
            </w:pPr>
            <w:r/>
            <w:r>
              <w:rPr>
                <w:b w:val="0"/>
              </w:rPr>
              <w:t>108</w:t>
            </w:r>
          </w:p>
        </w:tc>
      </w:tr>
      <w:tr>
        <w:tc>
          <w:tcPr>
            <w:tcW w:type="dxa" w:w="1728"/>
            <w:vAlign w:val="top"/>
          </w:tcPr>
          <w:p>
            <w:pPr>
              <w:spacing w:after="0"/>
            </w:pPr>
            <w:r/>
            <w:r>
              <w:rPr>
                <w:b w:val="0"/>
              </w:rPr>
              <w:t>RS022</w:t>
            </w:r>
          </w:p>
        </w:tc>
        <w:tc>
          <w:tcPr>
            <w:tcW w:type="dxa" w:w="1728"/>
            <w:vAlign w:val="top"/>
          </w:tcPr>
          <w:p>
            <w:pPr>
              <w:spacing w:after="0"/>
            </w:pPr>
            <w:r/>
            <w:r>
              <w:rPr>
                <w:b w:val="0"/>
              </w:rPr>
              <w:t>100% stacked bar chart</w:t>
            </w:r>
          </w:p>
        </w:tc>
        <w:tc>
          <w:tcPr>
            <w:tcW w:type="dxa" w:w="1728"/>
            <w:vAlign w:val="top"/>
          </w:tcPr>
          <w:p>
            <w:pPr>
              <w:spacing w:after="0"/>
            </w:pPr>
            <w:r/>
            <w:r>
              <w:rPr>
                <w:b w:val="0"/>
              </w:rPr>
              <w:t>12</w:t>
            </w:r>
          </w:p>
        </w:tc>
        <w:tc>
          <w:tcPr>
            <w:tcW w:type="dxa" w:w="1728"/>
            <w:vAlign w:val="top"/>
          </w:tcPr>
          <w:p>
            <w:pPr>
              <w:spacing w:after="0"/>
            </w:pPr>
            <w:r/>
            <w:r>
              <w:rPr>
                <w:b w:val="0"/>
              </w:rPr>
              <w:t>0.9</w:t>
            </w:r>
          </w:p>
        </w:tc>
        <w:tc>
          <w:tcPr>
            <w:tcW w:type="dxa" w:w="1728"/>
            <w:vAlign w:val="top"/>
          </w:tcPr>
          <w:p>
            <w:pPr>
              <w:spacing w:after="0"/>
            </w:pPr>
            <w:r/>
            <w:r>
              <w:rPr>
                <w:b w:val="0"/>
              </w:rPr>
              <w:t>72</w:t>
            </w:r>
          </w:p>
        </w:tc>
      </w:tr>
      <w:tr>
        <w:tc>
          <w:tcPr>
            <w:tcW w:type="dxa" w:w="1728"/>
            <w:vAlign w:val="top"/>
          </w:tcPr>
          <w:p>
            <w:pPr>
              <w:spacing w:after="0"/>
            </w:pPr>
            <w:r/>
            <w:r>
              <w:rPr>
                <w:b w:val="0"/>
              </w:rPr>
              <w:t>RS023</w:t>
            </w:r>
          </w:p>
        </w:tc>
        <w:tc>
          <w:tcPr>
            <w:tcW w:type="dxa" w:w="1728"/>
            <w:vAlign w:val="top"/>
          </w:tcPr>
          <w:p>
            <w:pPr>
              <w:spacing w:after="0"/>
            </w:pPr>
            <w:r/>
            <w:r>
              <w:rPr>
                <w:b w:val="0"/>
              </w:rPr>
              <w:t>Histogram or density plot | Empirical cumulative distribution (ECDF)</w:t>
            </w:r>
          </w:p>
        </w:tc>
        <w:tc>
          <w:tcPr>
            <w:tcW w:type="dxa" w:w="1728"/>
            <w:vAlign w:val="top"/>
          </w:tcPr>
          <w:p>
            <w:pPr>
              <w:spacing w:after="0"/>
            </w:pPr>
            <w:r/>
            <w:r>
              <w:rPr>
                <w:b w:val="0"/>
              </w:rPr>
              <w:t>12</w:t>
            </w:r>
          </w:p>
        </w:tc>
        <w:tc>
          <w:tcPr>
            <w:tcW w:type="dxa" w:w="1728"/>
            <w:vAlign w:val="top"/>
          </w:tcPr>
          <w:p>
            <w:pPr>
              <w:spacing w:after="0"/>
            </w:pPr>
            <w:r/>
            <w:r>
              <w:rPr>
                <w:b w:val="0"/>
              </w:rPr>
              <w:t>0.9</w:t>
            </w:r>
          </w:p>
        </w:tc>
        <w:tc>
          <w:tcPr>
            <w:tcW w:type="dxa" w:w="1728"/>
            <w:vAlign w:val="top"/>
          </w:tcPr>
          <w:p>
            <w:pPr>
              <w:spacing w:after="0"/>
            </w:pPr>
            <w:r/>
            <w:r>
              <w:rPr>
                <w:b w:val="0"/>
              </w:rPr>
              <w:t>72</w:t>
            </w:r>
          </w:p>
        </w:tc>
      </w:tr>
      <w:tr>
        <w:tc>
          <w:tcPr>
            <w:tcW w:type="dxa" w:w="1728"/>
            <w:vAlign w:val="top"/>
          </w:tcPr>
          <w:p>
            <w:pPr>
              <w:spacing w:after="0"/>
            </w:pPr>
            <w:r/>
            <w:r>
              <w:rPr>
                <w:b w:val="0"/>
              </w:rPr>
              <w:t>RS024</w:t>
            </w:r>
          </w:p>
        </w:tc>
        <w:tc>
          <w:tcPr>
            <w:tcW w:type="dxa" w:w="1728"/>
            <w:vAlign w:val="top"/>
          </w:tcPr>
          <w:p>
            <w:pPr>
              <w:spacing w:after="0"/>
            </w:pPr>
            <w:r/>
            <w:r>
              <w:rPr>
                <w:b w:val="0"/>
              </w:rPr>
              <w:t>Point-range plot | Bar chart</w:t>
            </w:r>
          </w:p>
        </w:tc>
        <w:tc>
          <w:tcPr>
            <w:tcW w:type="dxa" w:w="1728"/>
            <w:vAlign w:val="top"/>
          </w:tcPr>
          <w:p>
            <w:pPr>
              <w:spacing w:after="0"/>
            </w:pPr>
            <w:r/>
            <w:r>
              <w:rPr>
                <w:b w:val="0"/>
              </w:rPr>
              <w:t>12</w:t>
            </w:r>
          </w:p>
        </w:tc>
        <w:tc>
          <w:tcPr>
            <w:tcW w:type="dxa" w:w="1728"/>
            <w:vAlign w:val="top"/>
          </w:tcPr>
          <w:p>
            <w:pPr>
              <w:spacing w:after="0"/>
            </w:pPr>
            <w:r/>
            <w:r>
              <w:rPr>
                <w:b w:val="0"/>
              </w:rPr>
              <w:t>0.9</w:t>
            </w:r>
          </w:p>
        </w:tc>
        <w:tc>
          <w:tcPr>
            <w:tcW w:type="dxa" w:w="1728"/>
            <w:vAlign w:val="top"/>
          </w:tcPr>
          <w:p>
            <w:pPr>
              <w:spacing w:after="0"/>
            </w:pPr>
            <w:r/>
            <w:r>
              <w:rPr>
                <w:b w:val="0"/>
              </w:rPr>
              <w:t>72</w:t>
            </w:r>
          </w:p>
        </w:tc>
      </w:tr>
      <w:tr>
        <w:tc>
          <w:tcPr>
            <w:tcW w:type="dxa" w:w="1728"/>
            <w:vAlign w:val="top"/>
          </w:tcPr>
          <w:p>
            <w:pPr>
              <w:spacing w:after="0"/>
            </w:pPr>
            <w:r/>
            <w:r>
              <w:rPr>
                <w:b w:val="0"/>
              </w:rPr>
              <w:t>RS025</w:t>
            </w:r>
          </w:p>
        </w:tc>
        <w:tc>
          <w:tcPr>
            <w:tcW w:type="dxa" w:w="1728"/>
            <w:vAlign w:val="top"/>
          </w:tcPr>
          <w:p>
            <w:pPr>
              <w:spacing w:after="0"/>
            </w:pPr>
            <w:r/>
            <w:r>
              <w:rPr>
                <w:b w:val="0"/>
              </w:rPr>
              <w:t>Summary dot plot | Bar chart</w:t>
            </w:r>
          </w:p>
        </w:tc>
        <w:tc>
          <w:tcPr>
            <w:tcW w:type="dxa" w:w="1728"/>
            <w:vAlign w:val="top"/>
          </w:tcPr>
          <w:p>
            <w:pPr>
              <w:spacing w:after="0"/>
            </w:pPr>
            <w:r/>
            <w:r>
              <w:rPr>
                <w:b w:val="0"/>
              </w:rPr>
              <w:t>12</w:t>
            </w:r>
          </w:p>
        </w:tc>
        <w:tc>
          <w:tcPr>
            <w:tcW w:type="dxa" w:w="1728"/>
            <w:vAlign w:val="top"/>
          </w:tcPr>
          <w:p>
            <w:pPr>
              <w:spacing w:after="0"/>
            </w:pPr>
            <w:r/>
            <w:r>
              <w:rPr>
                <w:b w:val="0"/>
              </w:rPr>
              <w:t>0.9</w:t>
            </w:r>
          </w:p>
        </w:tc>
        <w:tc>
          <w:tcPr>
            <w:tcW w:type="dxa" w:w="1728"/>
            <w:vAlign w:val="top"/>
          </w:tcPr>
          <w:p>
            <w:pPr>
              <w:spacing w:after="0"/>
            </w:pPr>
            <w:r/>
            <w:r>
              <w:rPr>
                <w:b w:val="0"/>
              </w:rPr>
              <w:t>72</w:t>
            </w:r>
          </w:p>
        </w:tc>
      </w:tr>
      <w:tr>
        <w:tc>
          <w:tcPr>
            <w:tcW w:type="dxa" w:w="1728"/>
            <w:vAlign w:val="top"/>
          </w:tcPr>
          <w:p>
            <w:pPr>
              <w:spacing w:after="0"/>
            </w:pPr>
            <w:r/>
            <w:r>
              <w:rPr>
                <w:b w:val="0"/>
              </w:rPr>
              <w:t>RS028</w:t>
            </w:r>
          </w:p>
        </w:tc>
        <w:tc>
          <w:tcPr>
            <w:tcW w:type="dxa" w:w="1728"/>
            <w:vAlign w:val="top"/>
          </w:tcPr>
          <w:p>
            <w:pPr>
              <w:spacing w:after="0"/>
            </w:pPr>
            <w:r/>
            <w:r>
              <w:rPr>
                <w:b w:val="0"/>
              </w:rPr>
              <w:t>100% stacked bar chart | Ternary plot</w:t>
            </w:r>
          </w:p>
        </w:tc>
        <w:tc>
          <w:tcPr>
            <w:tcW w:type="dxa" w:w="1728"/>
            <w:vAlign w:val="top"/>
          </w:tcPr>
          <w:p>
            <w:pPr>
              <w:spacing w:after="0"/>
            </w:pPr>
            <w:r/>
            <w:r>
              <w:rPr>
                <w:b w:val="0"/>
              </w:rPr>
              <w:t>6</w:t>
            </w:r>
          </w:p>
        </w:tc>
        <w:tc>
          <w:tcPr>
            <w:tcW w:type="dxa" w:w="1728"/>
            <w:vAlign w:val="top"/>
          </w:tcPr>
          <w:p>
            <w:pPr>
              <w:spacing w:after="0"/>
            </w:pPr>
            <w:r/>
            <w:r>
              <w:rPr>
                <w:b w:val="0"/>
              </w:rPr>
              <w:t>0.4</w:t>
            </w:r>
          </w:p>
        </w:tc>
        <w:tc>
          <w:tcPr>
            <w:tcW w:type="dxa" w:w="1728"/>
            <w:vAlign w:val="top"/>
          </w:tcPr>
          <w:p>
            <w:pPr>
              <w:spacing w:after="0"/>
            </w:pPr>
            <w:r/>
            <w:r>
              <w:rPr>
                <w:b w:val="0"/>
              </w:rPr>
              <w:t>36</w:t>
            </w:r>
          </w:p>
        </w:tc>
      </w:tr>
      <w:tr>
        <w:tc>
          <w:tcPr>
            <w:tcW w:type="dxa" w:w="1728"/>
            <w:vAlign w:val="top"/>
          </w:tcPr>
          <w:p>
            <w:pPr>
              <w:spacing w:after="0"/>
            </w:pPr>
            <w:r/>
            <w:r>
              <w:rPr>
                <w:b w:val="0"/>
              </w:rPr>
              <w:t>RS026</w:t>
            </w:r>
          </w:p>
        </w:tc>
        <w:tc>
          <w:tcPr>
            <w:tcW w:type="dxa" w:w="1728"/>
            <w:vAlign w:val="top"/>
          </w:tcPr>
          <w:p>
            <w:pPr>
              <w:spacing w:after="0"/>
            </w:pPr>
            <w:r/>
            <w:r>
              <w:rPr>
                <w:b w:val="0"/>
              </w:rPr>
              <w:t>Bar chart</w:t>
            </w:r>
          </w:p>
        </w:tc>
        <w:tc>
          <w:tcPr>
            <w:tcW w:type="dxa" w:w="1728"/>
            <w:vAlign w:val="top"/>
          </w:tcPr>
          <w:p>
            <w:pPr>
              <w:spacing w:after="0"/>
            </w:pPr>
            <w:r/>
            <w:r>
              <w:rPr>
                <w:b w:val="0"/>
              </w:rPr>
              <w:t>4</w:t>
            </w:r>
          </w:p>
        </w:tc>
        <w:tc>
          <w:tcPr>
            <w:tcW w:type="dxa" w:w="1728"/>
            <w:vAlign w:val="top"/>
          </w:tcPr>
          <w:p>
            <w:pPr>
              <w:spacing w:after="0"/>
            </w:pPr>
            <w:r/>
            <w:r>
              <w:rPr>
                <w:b w:val="0"/>
              </w:rPr>
              <w:t>0.3</w:t>
            </w:r>
          </w:p>
        </w:tc>
        <w:tc>
          <w:tcPr>
            <w:tcW w:type="dxa" w:w="1728"/>
            <w:vAlign w:val="top"/>
          </w:tcPr>
          <w:p>
            <w:pPr>
              <w:spacing w:after="0"/>
            </w:pPr>
            <w:r/>
            <w:r>
              <w:rPr>
                <w:b w:val="0"/>
              </w:rPr>
              <w:t>48</w:t>
            </w:r>
          </w:p>
        </w:tc>
      </w:tr>
      <w:tr>
        <w:tc>
          <w:tcPr>
            <w:tcW w:type="dxa" w:w="1728"/>
            <w:vAlign w:val="top"/>
          </w:tcPr>
          <w:p>
            <w:pPr>
              <w:spacing w:after="0"/>
            </w:pPr>
            <w:r/>
            <w:r>
              <w:rPr>
                <w:b w:val="0"/>
              </w:rPr>
              <w:t>RS027</w:t>
            </w:r>
          </w:p>
        </w:tc>
        <w:tc>
          <w:tcPr>
            <w:tcW w:type="dxa" w:w="1728"/>
            <w:vAlign w:val="top"/>
          </w:tcPr>
          <w:p>
            <w:pPr>
              <w:spacing w:after="0"/>
            </w:pPr>
            <w:r/>
            <w:r>
              <w:rPr>
                <w:b w:val="0"/>
              </w:rPr>
              <w:t>Dot plot of observed values</w:t>
            </w:r>
          </w:p>
        </w:tc>
        <w:tc>
          <w:tcPr>
            <w:tcW w:type="dxa" w:w="1728"/>
            <w:vAlign w:val="top"/>
          </w:tcPr>
          <w:p>
            <w:pPr>
              <w:spacing w:after="0"/>
            </w:pPr>
            <w:r/>
            <w:r>
              <w:rPr>
                <w:b w:val="0"/>
              </w:rPr>
              <w:t>4</w:t>
            </w:r>
          </w:p>
        </w:tc>
        <w:tc>
          <w:tcPr>
            <w:tcW w:type="dxa" w:w="1728"/>
            <w:vAlign w:val="top"/>
          </w:tcPr>
          <w:p>
            <w:pPr>
              <w:spacing w:after="0"/>
            </w:pPr>
            <w:r/>
            <w:r>
              <w:rPr>
                <w:b w:val="0"/>
              </w:rPr>
              <w:t>0.3</w:t>
            </w:r>
          </w:p>
        </w:tc>
        <w:tc>
          <w:tcPr>
            <w:tcW w:type="dxa" w:w="1728"/>
            <w:vAlign w:val="top"/>
          </w:tcPr>
          <w:p>
            <w:pPr>
              <w:spacing w:after="0"/>
            </w:pPr>
            <w:r/>
            <w:r>
              <w:rPr>
                <w:b w:val="0"/>
              </w:rPr>
              <w:t>48</w:t>
            </w:r>
          </w:p>
        </w:tc>
      </w:tr>
      <w:tr>
        <w:tc>
          <w:tcPr>
            <w:tcW w:type="dxa" w:w="1728"/>
            <w:vAlign w:val="top"/>
          </w:tcPr>
          <w:p>
            <w:pPr>
              <w:spacing w:after="0"/>
            </w:pPr>
            <w:r/>
            <w:r>
              <w:rPr>
                <w:b w:val="0"/>
              </w:rPr>
              <w:t>RS029</w:t>
            </w:r>
          </w:p>
        </w:tc>
        <w:tc>
          <w:tcPr>
            <w:tcW w:type="dxa" w:w="1728"/>
            <w:vAlign w:val="top"/>
          </w:tcPr>
          <w:p>
            <w:pPr>
              <w:spacing w:after="0"/>
            </w:pPr>
            <w:r/>
            <w:r>
              <w:rPr>
                <w:b w:val="0"/>
              </w:rPr>
              <w:t>Point-range plot</w:t>
            </w:r>
          </w:p>
        </w:tc>
        <w:tc>
          <w:tcPr>
            <w:tcW w:type="dxa" w:w="1728"/>
            <w:vAlign w:val="top"/>
          </w:tcPr>
          <w:p>
            <w:pPr>
              <w:spacing w:after="0"/>
            </w:pPr>
            <w:r/>
            <w:r>
              <w:rPr>
                <w:b w:val="0"/>
              </w:rPr>
              <w:t>4</w:t>
            </w:r>
          </w:p>
        </w:tc>
        <w:tc>
          <w:tcPr>
            <w:tcW w:type="dxa" w:w="1728"/>
            <w:vAlign w:val="top"/>
          </w:tcPr>
          <w:p>
            <w:pPr>
              <w:spacing w:after="0"/>
            </w:pPr>
            <w:r/>
            <w:r>
              <w:rPr>
                <w:b w:val="0"/>
              </w:rPr>
              <w:t>0.3</w:t>
            </w:r>
          </w:p>
        </w:tc>
        <w:tc>
          <w:tcPr>
            <w:tcW w:type="dxa" w:w="1728"/>
            <w:vAlign w:val="top"/>
          </w:tcPr>
          <w:p>
            <w:pPr>
              <w:spacing w:after="0"/>
            </w:pPr>
            <w:r/>
            <w:r>
              <w:rPr>
                <w:b w:val="0"/>
              </w:rPr>
              <w:t>24</w:t>
            </w:r>
          </w:p>
        </w:tc>
      </w:tr>
      <w:tr>
        <w:tc>
          <w:tcPr>
            <w:tcW w:type="dxa" w:w="1728"/>
            <w:vAlign w:val="top"/>
          </w:tcPr>
          <w:p>
            <w:pPr>
              <w:spacing w:after="0"/>
            </w:pPr>
            <w:r/>
            <w:r>
              <w:rPr>
                <w:b w:val="0"/>
              </w:rPr>
              <w:t>RS030</w:t>
            </w:r>
          </w:p>
        </w:tc>
        <w:tc>
          <w:tcPr>
            <w:tcW w:type="dxa" w:w="1728"/>
            <w:vAlign w:val="top"/>
          </w:tcPr>
          <w:p>
            <w:pPr>
              <w:spacing w:after="0"/>
            </w:pPr>
            <w:r/>
            <w:r>
              <w:rPr>
                <w:b w:val="0"/>
              </w:rPr>
              <w:t>Summary dot plot | Bar chart</w:t>
            </w:r>
          </w:p>
        </w:tc>
        <w:tc>
          <w:tcPr>
            <w:tcW w:type="dxa" w:w="1728"/>
            <w:vAlign w:val="top"/>
          </w:tcPr>
          <w:p>
            <w:pPr>
              <w:spacing w:after="0"/>
            </w:pPr>
            <w:r/>
            <w:r>
              <w:rPr>
                <w:b w:val="0"/>
              </w:rPr>
              <w:t>4</w:t>
            </w:r>
          </w:p>
        </w:tc>
        <w:tc>
          <w:tcPr>
            <w:tcW w:type="dxa" w:w="1728"/>
            <w:vAlign w:val="top"/>
          </w:tcPr>
          <w:p>
            <w:pPr>
              <w:spacing w:after="0"/>
            </w:pPr>
            <w:r/>
            <w:r>
              <w:rPr>
                <w:b w:val="0"/>
              </w:rPr>
              <w:t>0.3</w:t>
            </w:r>
          </w:p>
        </w:tc>
        <w:tc>
          <w:tcPr>
            <w:tcW w:type="dxa" w:w="1728"/>
            <w:vAlign w:val="top"/>
          </w:tcPr>
          <w:p>
            <w:pPr>
              <w:spacing w:after="0"/>
            </w:pPr>
            <w:r/>
            <w:r>
              <w:rPr>
                <w:b w:val="0"/>
              </w:rPr>
              <w:t>24</w:t>
            </w:r>
          </w:p>
        </w:tc>
      </w:tr>
    </w:tbl>
    <w:p/>
    <w:p>
      <w:pPr>
        <w:pStyle w:val="Heading1"/>
      </w:pPr>
      <w:r>
        <w:t>Table S3. Decision-point sensitivity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top"/>
            <w:shd w:fill="DCEFE9"/>
          </w:tcPr>
          <w:p>
            <w:pPr>
              <w:spacing w:after="0"/>
            </w:pPr>
            <w:r/>
            <w:r>
              <w:rPr>
                <w:b/>
              </w:rPr>
              <w:t>Decision point</w:t>
            </w:r>
          </w:p>
        </w:tc>
        <w:tc>
          <w:tcPr>
            <w:tcW w:type="dxa" w:w="1728"/>
            <w:vAlign w:val="top"/>
            <w:shd w:fill="DCEFE9"/>
          </w:tcPr>
          <w:p>
            <w:pPr>
              <w:spacing w:after="0"/>
            </w:pPr>
            <w:r/>
            <w:r>
              <w:rPr>
                <w:b/>
              </w:rPr>
              <w:t>Strict recommendation change (%)</w:t>
            </w:r>
          </w:p>
        </w:tc>
        <w:tc>
          <w:tcPr>
            <w:tcW w:type="dxa" w:w="1728"/>
            <w:vAlign w:val="top"/>
            <w:shd w:fill="DCEFE9"/>
          </w:tcPr>
          <w:p>
            <w:pPr>
              <w:spacing w:after="0"/>
            </w:pPr>
            <w:r/>
            <w:r>
              <w:rPr>
                <w:b/>
              </w:rPr>
              <w:t>Strict full-output change (%)</w:t>
            </w:r>
          </w:p>
        </w:tc>
        <w:tc>
          <w:tcPr>
            <w:tcW w:type="dxa" w:w="1728"/>
            <w:vAlign w:val="top"/>
            <w:shd w:fill="DCEFE9"/>
          </w:tcPr>
          <w:p>
            <w:pPr>
              <w:spacing w:after="0"/>
            </w:pPr>
            <w:r/>
            <w:r>
              <w:rPr>
                <w:b/>
              </w:rPr>
              <w:t>Interface recommendation change (%)</w:t>
            </w:r>
          </w:p>
        </w:tc>
        <w:tc>
          <w:tcPr>
            <w:tcW w:type="dxa" w:w="1728"/>
            <w:vAlign w:val="top"/>
            <w:shd w:fill="DCEFE9"/>
          </w:tcPr>
          <w:p>
            <w:pPr>
              <w:spacing w:after="0"/>
            </w:pPr>
            <w:r/>
            <w:r>
              <w:rPr>
                <w:b/>
              </w:rPr>
              <w:t>Interface full-output change (%)</w:t>
            </w:r>
          </w:p>
        </w:tc>
      </w:tr>
      <w:tr>
        <w:tc>
          <w:tcPr>
            <w:tcW w:type="dxa" w:w="1728"/>
            <w:vAlign w:val="top"/>
          </w:tcPr>
          <w:p>
            <w:pPr>
              <w:spacing w:after="0"/>
            </w:pPr>
            <w:r/>
            <w:r>
              <w:rPr>
                <w:b w:val="0"/>
              </w:rPr>
              <w:t>data_form</w:t>
            </w:r>
          </w:p>
        </w:tc>
        <w:tc>
          <w:tcPr>
            <w:tcW w:type="dxa" w:w="1728"/>
            <w:vAlign w:val="top"/>
          </w:tcPr>
          <w:p>
            <w:pPr>
              <w:spacing w:after="0"/>
            </w:pPr>
            <w:r/>
            <w:r>
              <w:rPr>
                <w:b w:val="0"/>
              </w:rPr>
              <w:t>43.4</w:t>
            </w:r>
          </w:p>
        </w:tc>
        <w:tc>
          <w:tcPr>
            <w:tcW w:type="dxa" w:w="1728"/>
            <w:vAlign w:val="top"/>
          </w:tcPr>
          <w:p>
            <w:pPr>
              <w:spacing w:after="0"/>
            </w:pPr>
            <w:r/>
            <w:r>
              <w:rPr>
                <w:b w:val="0"/>
              </w:rPr>
              <w:t>43.4</w:t>
            </w:r>
          </w:p>
        </w:tc>
        <w:tc>
          <w:tcPr>
            <w:tcW w:type="dxa" w:w="1728"/>
            <w:vAlign w:val="top"/>
          </w:tcPr>
          <w:p>
            <w:pPr>
              <w:spacing w:after="0"/>
            </w:pPr>
            <w:r/>
            <w:r>
              <w:rPr>
                <w:b w:val="0"/>
              </w:rPr>
              <w:t>66.7</w:t>
            </w:r>
          </w:p>
        </w:tc>
        <w:tc>
          <w:tcPr>
            <w:tcW w:type="dxa" w:w="1728"/>
            <w:vAlign w:val="top"/>
          </w:tcPr>
          <w:p>
            <w:pPr>
              <w:spacing w:after="0"/>
            </w:pPr>
            <w:r/>
            <w:r>
              <w:rPr>
                <w:b w:val="0"/>
              </w:rPr>
              <w:t>66.7</w:t>
            </w:r>
          </w:p>
        </w:tc>
      </w:tr>
      <w:tr>
        <w:tc>
          <w:tcPr>
            <w:tcW w:type="dxa" w:w="1728"/>
            <w:vAlign w:val="top"/>
          </w:tcPr>
          <w:p>
            <w:pPr>
              <w:spacing w:after="0"/>
            </w:pPr>
            <w:r/>
            <w:r>
              <w:rPr>
                <w:b w:val="0"/>
              </w:rPr>
              <w:t>primary_task</w:t>
            </w:r>
          </w:p>
        </w:tc>
        <w:tc>
          <w:tcPr>
            <w:tcW w:type="dxa" w:w="1728"/>
            <w:vAlign w:val="top"/>
          </w:tcPr>
          <w:p>
            <w:pPr>
              <w:spacing w:after="0"/>
            </w:pPr>
            <w:r/>
            <w:r>
              <w:rPr>
                <w:b w:val="0"/>
              </w:rPr>
              <w:t>100.0</w:t>
            </w:r>
          </w:p>
        </w:tc>
        <w:tc>
          <w:tcPr>
            <w:tcW w:type="dxa" w:w="1728"/>
            <w:vAlign w:val="top"/>
          </w:tcPr>
          <w:p>
            <w:pPr>
              <w:spacing w:after="0"/>
            </w:pPr>
            <w:r/>
            <w:r>
              <w:rPr>
                <w:b w:val="0"/>
              </w:rPr>
              <w:t>100.0</w:t>
            </w:r>
          </w:p>
        </w:tc>
        <w:tc>
          <w:tcPr>
            <w:tcW w:type="dxa" w:w="1728"/>
            <w:vAlign w:val="top"/>
          </w:tcPr>
          <w:p>
            <w:pPr>
              <w:spacing w:after="0"/>
            </w:pPr>
            <w:r/>
            <w:r>
              <w:rPr>
                <w:b w:val="0"/>
              </w:rPr>
              <w:t>100.0</w:t>
            </w:r>
          </w:p>
        </w:tc>
        <w:tc>
          <w:tcPr>
            <w:tcW w:type="dxa" w:w="1728"/>
            <w:vAlign w:val="top"/>
          </w:tcPr>
          <w:p>
            <w:pPr>
              <w:spacing w:after="0"/>
            </w:pPr>
            <w:r/>
            <w:r>
              <w:rPr>
                <w:b w:val="0"/>
              </w:rPr>
              <w:t>100.0</w:t>
            </w:r>
          </w:p>
        </w:tc>
      </w:tr>
      <w:tr>
        <w:tc>
          <w:tcPr>
            <w:tcW w:type="dxa" w:w="1728"/>
            <w:vAlign w:val="top"/>
          </w:tcPr>
          <w:p>
            <w:pPr>
              <w:spacing w:after="0"/>
            </w:pPr>
            <w:r/>
            <w:r>
              <w:rPr>
                <w:b w:val="0"/>
              </w:rPr>
              <w:t>display_level</w:t>
            </w:r>
          </w:p>
        </w:tc>
        <w:tc>
          <w:tcPr>
            <w:tcW w:type="dxa" w:w="1728"/>
            <w:vAlign w:val="top"/>
          </w:tcPr>
          <w:p>
            <w:pPr>
              <w:spacing w:after="0"/>
            </w:pPr>
            <w:r/>
            <w:r>
              <w:rPr>
                <w:b w:val="0"/>
              </w:rPr>
              <w:t>56.1</w:t>
            </w:r>
          </w:p>
        </w:tc>
        <w:tc>
          <w:tcPr>
            <w:tcW w:type="dxa" w:w="1728"/>
            <w:vAlign w:val="top"/>
          </w:tcPr>
          <w:p>
            <w:pPr>
              <w:spacing w:after="0"/>
            </w:pPr>
            <w:r/>
            <w:r>
              <w:rPr>
                <w:b w:val="0"/>
              </w:rPr>
              <w:t>56.1</w:t>
            </w:r>
          </w:p>
        </w:tc>
        <w:tc>
          <w:tcPr>
            <w:tcW w:type="dxa" w:w="1728"/>
            <w:vAlign w:val="top"/>
          </w:tcPr>
          <w:p>
            <w:pPr>
              <w:spacing w:after="0"/>
            </w:pPr>
            <w:r/>
            <w:r>
              <w:rPr>
                <w:b w:val="0"/>
              </w:rPr>
              <w:t>64.3</w:t>
            </w:r>
          </w:p>
        </w:tc>
        <w:tc>
          <w:tcPr>
            <w:tcW w:type="dxa" w:w="1728"/>
            <w:vAlign w:val="top"/>
          </w:tcPr>
          <w:p>
            <w:pPr>
              <w:spacing w:after="0"/>
            </w:pPr>
            <w:r/>
            <w:r>
              <w:rPr>
                <w:b w:val="0"/>
              </w:rPr>
              <w:t>64.3</w:t>
            </w:r>
          </w:p>
        </w:tc>
      </w:tr>
      <w:tr>
        <w:tc>
          <w:tcPr>
            <w:tcW w:type="dxa" w:w="1728"/>
            <w:vAlign w:val="top"/>
          </w:tcPr>
          <w:p>
            <w:pPr>
              <w:spacing w:after="0"/>
            </w:pPr>
            <w:r/>
            <w:r>
              <w:rPr>
                <w:b w:val="0"/>
              </w:rPr>
              <w:t>comparison_focus</w:t>
            </w:r>
          </w:p>
        </w:tc>
        <w:tc>
          <w:tcPr>
            <w:tcW w:type="dxa" w:w="1728"/>
            <w:vAlign w:val="top"/>
          </w:tcPr>
          <w:p>
            <w:pPr>
              <w:spacing w:after="0"/>
            </w:pPr>
            <w:r/>
            <w:r>
              <w:rPr>
                <w:b w:val="0"/>
              </w:rPr>
              <w:t>0.0</w:t>
            </w:r>
          </w:p>
        </w:tc>
        <w:tc>
          <w:tcPr>
            <w:tcW w:type="dxa" w:w="1728"/>
            <w:vAlign w:val="top"/>
          </w:tcPr>
          <w:p>
            <w:pPr>
              <w:spacing w:after="0"/>
            </w:pPr>
            <w:r/>
            <w:r>
              <w:rPr>
                <w:b w:val="0"/>
              </w:rPr>
              <w:t>100.0</w:t>
            </w:r>
          </w:p>
        </w:tc>
        <w:tc>
          <w:tcPr>
            <w:tcW w:type="dxa" w:w="1728"/>
            <w:vAlign w:val="top"/>
          </w:tcPr>
          <w:p>
            <w:pPr>
              <w:spacing w:after="0"/>
            </w:pPr>
            <w:r/>
            <w:r>
              <w:rPr>
                <w:b w:val="0"/>
              </w:rPr>
              <w:t>25.9</w:t>
            </w:r>
          </w:p>
        </w:tc>
        <w:tc>
          <w:tcPr>
            <w:tcW w:type="dxa" w:w="1728"/>
            <w:vAlign w:val="top"/>
          </w:tcPr>
          <w:p>
            <w:pPr>
              <w:spacing w:after="0"/>
            </w:pPr>
            <w:r/>
            <w:r>
              <w:rPr>
                <w:b w:val="0"/>
              </w:rPr>
              <w:t>100.0</w:t>
            </w:r>
          </w:p>
        </w:tc>
      </w:tr>
      <w:tr>
        <w:tc>
          <w:tcPr>
            <w:tcW w:type="dxa" w:w="1728"/>
            <w:vAlign w:val="top"/>
          </w:tcPr>
          <w:p>
            <w:pPr>
              <w:spacing w:after="0"/>
            </w:pPr>
            <w:r/>
            <w:r>
              <w:rPr>
                <w:b w:val="0"/>
              </w:rPr>
              <w:t>comparison_structure</w:t>
            </w:r>
          </w:p>
        </w:tc>
        <w:tc>
          <w:tcPr>
            <w:tcW w:type="dxa" w:w="1728"/>
            <w:vAlign w:val="top"/>
          </w:tcPr>
          <w:p>
            <w:pPr>
              <w:spacing w:after="0"/>
            </w:pPr>
            <w:r/>
            <w:r>
              <w:rPr>
                <w:b w:val="0"/>
              </w:rPr>
              <w:t>0.0</w:t>
            </w:r>
          </w:p>
        </w:tc>
        <w:tc>
          <w:tcPr>
            <w:tcW w:type="dxa" w:w="1728"/>
            <w:vAlign w:val="top"/>
          </w:tcPr>
          <w:p>
            <w:pPr>
              <w:spacing w:after="0"/>
            </w:pPr>
            <w:r/>
            <w:r>
              <w:rPr>
                <w:b w:val="0"/>
              </w:rPr>
              <w:t>0.0</w:t>
            </w:r>
          </w:p>
        </w:tc>
        <w:tc>
          <w:tcPr>
            <w:tcW w:type="dxa" w:w="1728"/>
            <w:vAlign w:val="top"/>
          </w:tcPr>
          <w:p>
            <w:pPr>
              <w:spacing w:after="0"/>
            </w:pPr>
            <w:r/>
            <w:r>
              <w:rPr>
                <w:b w:val="0"/>
              </w:rPr>
              <w:t>20.7</w:t>
            </w:r>
          </w:p>
        </w:tc>
        <w:tc>
          <w:tcPr>
            <w:tcW w:type="dxa" w:w="1728"/>
            <w:vAlign w:val="top"/>
          </w:tcPr>
          <w:p>
            <w:pPr>
              <w:spacing w:after="0"/>
            </w:pPr>
            <w:r/>
            <w:r>
              <w:rPr>
                <w:b w:val="0"/>
              </w:rPr>
              <w:t>20.7</w:t>
            </w:r>
          </w:p>
        </w:tc>
      </w:tr>
      <w:tr>
        <w:tc>
          <w:tcPr>
            <w:tcW w:type="dxa" w:w="1728"/>
            <w:vAlign w:val="top"/>
          </w:tcPr>
          <w:p>
            <w:pPr>
              <w:spacing w:after="0"/>
            </w:pPr>
            <w:r/>
            <w:r>
              <w:rPr>
                <w:b w:val="0"/>
              </w:rPr>
              <w:t>show_variability</w:t>
            </w:r>
          </w:p>
        </w:tc>
        <w:tc>
          <w:tcPr>
            <w:tcW w:type="dxa" w:w="1728"/>
            <w:vAlign w:val="top"/>
          </w:tcPr>
          <w:p>
            <w:pPr>
              <w:spacing w:after="0"/>
            </w:pPr>
            <w:r/>
            <w:r>
              <w:rPr>
                <w:b w:val="0"/>
              </w:rPr>
              <w:t>6.2</w:t>
            </w:r>
          </w:p>
        </w:tc>
        <w:tc>
          <w:tcPr>
            <w:tcW w:type="dxa" w:w="1728"/>
            <w:vAlign w:val="top"/>
          </w:tcPr>
          <w:p>
            <w:pPr>
              <w:spacing w:after="0"/>
            </w:pPr>
            <w:r/>
            <w:r>
              <w:rPr>
                <w:b w:val="0"/>
              </w:rPr>
              <w:t>100.0</w:t>
            </w:r>
          </w:p>
        </w:tc>
        <w:tc>
          <w:tcPr>
            <w:tcW w:type="dxa" w:w="1728"/>
            <w:vAlign w:val="top"/>
          </w:tcPr>
          <w:p>
            <w:pPr>
              <w:spacing w:after="0"/>
            </w:pPr>
            <w:r/>
            <w:r>
              <w:rPr>
                <w:b w:val="0"/>
              </w:rPr>
              <w:t>9.3</w:t>
            </w:r>
          </w:p>
        </w:tc>
        <w:tc>
          <w:tcPr>
            <w:tcW w:type="dxa" w:w="1728"/>
            <w:vAlign w:val="top"/>
          </w:tcPr>
          <w:p>
            <w:pPr>
              <w:spacing w:after="0"/>
            </w:pPr>
            <w:r/>
            <w:r>
              <w:rPr>
                <w:b w:val="0"/>
              </w:rPr>
              <w:t>100.0</w:t>
            </w:r>
          </w:p>
        </w:tc>
      </w:tr>
      <w:tr>
        <w:tc>
          <w:tcPr>
            <w:tcW w:type="dxa" w:w="1728"/>
            <w:vAlign w:val="top"/>
          </w:tcPr>
          <w:p>
            <w:pPr>
              <w:spacing w:after="0"/>
            </w:pPr>
            <w:r/>
            <w:r>
              <w:rPr>
                <w:b w:val="0"/>
              </w:rPr>
              <w:t>many_observations</w:t>
            </w:r>
          </w:p>
        </w:tc>
        <w:tc>
          <w:tcPr>
            <w:tcW w:type="dxa" w:w="1728"/>
            <w:vAlign w:val="top"/>
          </w:tcPr>
          <w:p>
            <w:pPr>
              <w:spacing w:after="0"/>
            </w:pPr>
            <w:r/>
            <w:r>
              <w:rPr>
                <w:b w:val="0"/>
              </w:rPr>
              <w:t>40.0</w:t>
            </w:r>
          </w:p>
        </w:tc>
        <w:tc>
          <w:tcPr>
            <w:tcW w:type="dxa" w:w="1728"/>
            <w:vAlign w:val="top"/>
          </w:tcPr>
          <w:p>
            <w:pPr>
              <w:spacing w:after="0"/>
            </w:pPr>
            <w:r/>
            <w:r>
              <w:rPr>
                <w:b w:val="0"/>
              </w:rPr>
              <w:t>40.0</w:t>
            </w:r>
          </w:p>
        </w:tc>
        <w:tc>
          <w:tcPr>
            <w:tcW w:type="dxa" w:w="1728"/>
            <w:vAlign w:val="top"/>
          </w:tcPr>
          <w:p>
            <w:pPr>
              <w:spacing w:after="0"/>
            </w:pPr>
            <w:r/>
            <w:r>
              <w:rPr>
                <w:b w:val="0"/>
              </w:rPr>
              <w:t>50.0</w:t>
            </w:r>
          </w:p>
        </w:tc>
        <w:tc>
          <w:tcPr>
            <w:tcW w:type="dxa" w:w="1728"/>
            <w:vAlign w:val="top"/>
          </w:tcPr>
          <w:p>
            <w:pPr>
              <w:spacing w:after="0"/>
            </w:pPr>
            <w:r/>
            <w:r>
              <w:rPr>
                <w:b w:val="0"/>
              </w:rPr>
              <w:t>50.0</w:t>
            </w:r>
          </w:p>
        </w:tc>
      </w:tr>
      <w:tr>
        <w:tc>
          <w:tcPr>
            <w:tcW w:type="dxa" w:w="1728"/>
            <w:vAlign w:val="top"/>
          </w:tcPr>
          <w:p>
            <w:pPr>
              <w:spacing w:after="0"/>
            </w:pPr>
            <w:r/>
            <w:r>
              <w:rPr>
                <w:b w:val="0"/>
              </w:rPr>
              <w:t>target_audience</w:t>
            </w:r>
          </w:p>
        </w:tc>
        <w:tc>
          <w:tcPr>
            <w:tcW w:type="dxa" w:w="1728"/>
            <w:vAlign w:val="top"/>
          </w:tcPr>
          <w:p>
            <w:pPr>
              <w:spacing w:after="0"/>
            </w:pPr>
            <w:r/>
            <w:r>
              <w:rPr>
                <w:b w:val="0"/>
              </w:rPr>
              <w:t>14.1</w:t>
            </w:r>
          </w:p>
        </w:tc>
        <w:tc>
          <w:tcPr>
            <w:tcW w:type="dxa" w:w="1728"/>
            <w:vAlign w:val="top"/>
          </w:tcPr>
          <w:p>
            <w:pPr>
              <w:spacing w:after="0"/>
            </w:pPr>
            <w:r/>
            <w:r>
              <w:rPr>
                <w:b w:val="0"/>
              </w:rPr>
              <w:t>100.0</w:t>
            </w:r>
          </w:p>
        </w:tc>
        <w:tc>
          <w:tcPr>
            <w:tcW w:type="dxa" w:w="1728"/>
            <w:vAlign w:val="top"/>
          </w:tcPr>
          <w:p>
            <w:pPr>
              <w:spacing w:after="0"/>
            </w:pPr>
            <w:r/>
            <w:r>
              <w:rPr>
                <w:b w:val="0"/>
              </w:rPr>
              <w:t>8.8</w:t>
            </w:r>
          </w:p>
        </w:tc>
        <w:tc>
          <w:tcPr>
            <w:tcW w:type="dxa" w:w="1728"/>
            <w:vAlign w:val="top"/>
          </w:tcPr>
          <w:p>
            <w:pPr>
              <w:spacing w:after="0"/>
            </w:pPr>
            <w:r/>
            <w:r>
              <w:rPr>
                <w:b w:val="0"/>
              </w:rPr>
              <w:t>100.0</w:t>
            </w:r>
          </w:p>
        </w:tc>
      </w:tr>
      <w:tr>
        <w:tc>
          <w:tcPr>
            <w:tcW w:type="dxa" w:w="1728"/>
            <w:vAlign w:val="top"/>
          </w:tcPr>
          <w:p>
            <w:pPr>
              <w:spacing w:after="0"/>
            </w:pPr>
            <w:r/>
            <w:r>
              <w:rPr>
                <w:b w:val="0"/>
              </w:rPr>
              <w:t>temporal_context</w:t>
            </w:r>
          </w:p>
        </w:tc>
        <w:tc>
          <w:tcPr>
            <w:tcW w:type="dxa" w:w="1728"/>
            <w:vAlign w:val="top"/>
          </w:tcPr>
          <w:p>
            <w:pPr>
              <w:spacing w:after="0"/>
            </w:pPr>
            <w:r/>
            <w:r>
              <w:rPr>
                <w:b w:val="0"/>
              </w:rPr>
              <w:t>0.0</w:t>
            </w:r>
          </w:p>
        </w:tc>
        <w:tc>
          <w:tcPr>
            <w:tcW w:type="dxa" w:w="1728"/>
            <w:vAlign w:val="top"/>
          </w:tcPr>
          <w:p>
            <w:pPr>
              <w:spacing w:after="0"/>
            </w:pPr>
            <w:r/>
            <w:r>
              <w:rPr>
                <w:b w:val="0"/>
              </w:rPr>
              <w:t>100.0</w:t>
            </w:r>
          </w:p>
        </w:tc>
        <w:tc>
          <w:tcPr>
            <w:tcW w:type="dxa" w:w="1728"/>
            <w:vAlign w:val="top"/>
          </w:tcPr>
          <w:p>
            <w:pPr>
              <w:spacing w:after="0"/>
            </w:pPr>
            <w:r/>
            <w:r>
              <w:rPr>
                <w:b w:val="0"/>
              </w:rPr>
              <w:t>0.0</w:t>
            </w:r>
          </w:p>
        </w:tc>
        <w:tc>
          <w:tcPr>
            <w:tcW w:type="dxa" w:w="1728"/>
            <w:vAlign w:val="top"/>
          </w:tcPr>
          <w:p>
            <w:pPr>
              <w:spacing w:after="0"/>
            </w:pPr>
            <w:r/>
            <w:r>
              <w:rPr>
                <w:b w:val="0"/>
              </w:rPr>
              <w:t>100.0</w:t>
            </w:r>
          </w:p>
        </w:tc>
      </w:tr>
      <w:tr>
        <w:tc>
          <w:tcPr>
            <w:tcW w:type="dxa" w:w="1728"/>
            <w:vAlign w:val="top"/>
          </w:tcPr>
          <w:p>
            <w:pPr>
              <w:spacing w:after="0"/>
            </w:pPr>
            <w:r/>
            <w:r>
              <w:rPr>
                <w:b w:val="0"/>
              </w:rPr>
              <w:t>n_overlaid_series</w:t>
            </w:r>
          </w:p>
        </w:tc>
        <w:tc>
          <w:tcPr>
            <w:tcW w:type="dxa" w:w="1728"/>
            <w:vAlign w:val="top"/>
          </w:tcPr>
          <w:p>
            <w:pPr>
              <w:spacing w:after="0"/>
            </w:pPr>
            <w:r/>
            <w:r>
              <w:rPr>
                <w:b w:val="0"/>
              </w:rPr>
              <w:t>22.2</w:t>
            </w:r>
          </w:p>
        </w:tc>
        <w:tc>
          <w:tcPr>
            <w:tcW w:type="dxa" w:w="1728"/>
            <w:vAlign w:val="top"/>
          </w:tcPr>
          <w:p>
            <w:pPr>
              <w:spacing w:after="0"/>
            </w:pPr>
            <w:r/>
            <w:r>
              <w:rPr>
                <w:b w:val="0"/>
              </w:rPr>
              <w:t>100.0</w:t>
            </w:r>
          </w:p>
        </w:tc>
        <w:tc>
          <w:tcPr>
            <w:tcW w:type="dxa" w:w="1728"/>
            <w:vAlign w:val="top"/>
          </w:tcPr>
          <w:p>
            <w:pPr>
              <w:spacing w:after="0"/>
            </w:pPr>
            <w:r/>
            <w:r>
              <w:rPr>
                <w:b w:val="0"/>
              </w:rPr>
              <w:t>22.2</w:t>
            </w:r>
          </w:p>
        </w:tc>
        <w:tc>
          <w:tcPr>
            <w:tcW w:type="dxa" w:w="1728"/>
            <w:vAlign w:val="top"/>
          </w:tcPr>
          <w:p>
            <w:pPr>
              <w:spacing w:after="0"/>
            </w:pPr>
            <w:r/>
            <w:r>
              <w:rPr>
                <w:b w:val="0"/>
              </w:rPr>
              <w:t>100.0</w:t>
            </w:r>
          </w:p>
        </w:tc>
      </w:tr>
      <w:tr>
        <w:tc>
          <w:tcPr>
            <w:tcW w:type="dxa" w:w="1728"/>
            <w:vAlign w:val="top"/>
          </w:tcPr>
          <w:p>
            <w:pPr>
              <w:spacing w:after="0"/>
            </w:pPr>
            <w:r/>
            <w:r>
              <w:rPr>
                <w:b w:val="0"/>
              </w:rPr>
              <w:t>n_comparison_levels</w:t>
            </w:r>
          </w:p>
        </w:tc>
        <w:tc>
          <w:tcPr>
            <w:tcW w:type="dxa" w:w="1728"/>
            <w:vAlign w:val="top"/>
          </w:tcPr>
          <w:p>
            <w:pPr>
              <w:spacing w:after="0"/>
            </w:pPr>
            <w:r/>
            <w:r>
              <w:rPr>
                <w:b w:val="0"/>
              </w:rPr>
              <w:t>9.4</w:t>
            </w:r>
          </w:p>
        </w:tc>
        <w:tc>
          <w:tcPr>
            <w:tcW w:type="dxa" w:w="1728"/>
            <w:vAlign w:val="top"/>
          </w:tcPr>
          <w:p>
            <w:pPr>
              <w:spacing w:after="0"/>
            </w:pPr>
            <w:r/>
            <w:r>
              <w:rPr>
                <w:b w:val="0"/>
              </w:rPr>
              <w:t>9.4</w:t>
            </w:r>
          </w:p>
        </w:tc>
        <w:tc>
          <w:tcPr>
            <w:tcW w:type="dxa" w:w="1728"/>
            <w:vAlign w:val="top"/>
          </w:tcPr>
          <w:p>
            <w:pPr>
              <w:spacing w:after="0"/>
            </w:pPr>
            <w:r/>
            <w:r>
              <w:rPr>
                <w:b w:val="0"/>
              </w:rPr>
              <w:t>10.3</w:t>
            </w:r>
          </w:p>
        </w:tc>
        <w:tc>
          <w:tcPr>
            <w:tcW w:type="dxa" w:w="1728"/>
            <w:vAlign w:val="top"/>
          </w:tcPr>
          <w:p>
            <w:pPr>
              <w:spacing w:after="0"/>
            </w:pPr>
            <w:r/>
            <w:r>
              <w:rPr>
                <w:b w:val="0"/>
              </w:rPr>
              <w:t>10.3</w:t>
            </w:r>
          </w:p>
        </w:tc>
      </w:tr>
      <w:tr>
        <w:tc>
          <w:tcPr>
            <w:tcW w:type="dxa" w:w="1728"/>
            <w:vAlign w:val="top"/>
          </w:tcPr>
          <w:p>
            <w:pPr>
              <w:spacing w:after="0"/>
            </w:pPr>
            <w:r/>
            <w:r>
              <w:rPr>
                <w:b w:val="0"/>
              </w:rPr>
              <w:t>n_compositional_parts</w:t>
            </w:r>
          </w:p>
        </w:tc>
        <w:tc>
          <w:tcPr>
            <w:tcW w:type="dxa" w:w="1728"/>
            <w:vAlign w:val="top"/>
          </w:tcPr>
          <w:p>
            <w:pPr>
              <w:spacing w:after="0"/>
            </w:pPr>
            <w:r/>
            <w:r>
              <w:rPr>
                <w:b w:val="0"/>
              </w:rPr>
              <w:t>33.3</w:t>
            </w:r>
          </w:p>
        </w:tc>
        <w:tc>
          <w:tcPr>
            <w:tcW w:type="dxa" w:w="1728"/>
            <w:vAlign w:val="top"/>
          </w:tcPr>
          <w:p>
            <w:pPr>
              <w:spacing w:after="0"/>
            </w:pPr>
            <w:r/>
            <w:r>
              <w:rPr>
                <w:b w:val="0"/>
              </w:rPr>
              <w:t>33.3</w:t>
            </w:r>
          </w:p>
        </w:tc>
        <w:tc>
          <w:tcPr>
            <w:tcW w:type="dxa" w:w="1728"/>
            <w:vAlign w:val="top"/>
          </w:tcPr>
          <w:p>
            <w:pPr>
              <w:spacing w:after="0"/>
            </w:pPr>
            <w:r/>
            <w:r>
              <w:rPr>
                <w:b w:val="0"/>
              </w:rPr>
              <w:t>33.3</w:t>
            </w:r>
          </w:p>
        </w:tc>
        <w:tc>
          <w:tcPr>
            <w:tcW w:type="dxa" w:w="1728"/>
            <w:vAlign w:val="top"/>
          </w:tcPr>
          <w:p>
            <w:pPr>
              <w:spacing w:after="0"/>
            </w:pPr>
            <w:r/>
            <w:r>
              <w:rPr>
                <w:b w:val="0"/>
              </w:rPr>
              <w:t>33.3</w:t>
            </w:r>
          </w:p>
        </w:tc>
      </w:tr>
    </w:tbl>
    <w:p/>
    <w:p>
      <w:pPr>
        <w:pStyle w:val="Heading1"/>
      </w:pPr>
      <w:r>
        <w:t>Interpretation</w:t>
      </w:r>
    </w:p>
    <w:p>
      <w:r>
        <w:t>The audit does not support removing decision points solely on the basis of the current path-to-output ratio. Several decision points have a direct effect on chart-family selection. Others affect the full recommendation by altering cautions, design notes, implementation guidance, or reporting context. The current structure should therefore be described as a decision-support workflow with layered outputs, rather than as a tree in which every question must produce a different chart name.</w:t>
      </w:r>
    </w:p>
    <w:p>
      <w:r>
        <w:t>One issue identified by the audit is that the displayed decision path is a condensed path summary. It does not always include all user inputs that affect the complete output. Future iterations could either expand the displayed path to include all relevant answers or use terminology such as "displayed/core decision path" when reporting the current counts.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