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Visualisation Examples Catalogue</w:t>
      </w:r>
    </w:p>
    <w:p>
      <w:pPr>
        <w:jc w:val="center"/>
      </w:pPr>
      <w:r>
        <w:rPr>
          <w:color w:val="56636F"/>
          <w:sz w:val="24"/>
        </w:rPr>
        <w:t>Decision-support toolkit for visualising accelerometer-derived movement behaviour data</w:t>
      </w:r>
    </w:p>
    <w:p>
      <w:pPr>
        <w:jc w:val="center"/>
      </w:pPr>
      <w:r>
        <w:rPr>
          <w:color w:val="17212B"/>
          <w:sz w:val="20"/>
        </w:rPr>
        <w:t>This document contains 32 generated visualisation examples: 9 worked case-study examples and 23 simulated data examples.</w:t>
      </w:r>
    </w:p>
    <w:p>
      <w:pPr>
        <w:shd w:fill="F2F7FB"/>
        <w:jc w:val="left"/>
      </w:pPr>
      <w:r>
        <w:rPr>
          <w:color w:val="17212B"/>
          <w:sz w:val="20"/>
        </w:rPr>
        <w:t>Worked case-study examples were generated from the reproduced NHANES 2011-2014 case-study outputs. Simulated data examples were generated from small mock datasets to illustrate recommendation-specific visual structures and should not be interpreted as evidence that the designs have been empirically tested.</w:t>
      </w:r>
    </w:p>
    <w:p>
      <w:r>
        <w:br w:type="page"/>
      </w:r>
    </w:p>
    <w:p>
      <w:pPr>
        <w:pStyle w:val="Heading1"/>
        <w:pBdr>
          <w:bottom w:val="single" w:sz="6" w:space="4" w:color="D9DEDB"/>
        </w:pBdr>
      </w:pPr>
      <w:r>
        <w:t>Worked case study examples</w:t>
      </w:r>
    </w:p>
    <w:p>
      <w:r>
        <w:rPr>
          <w:color w:val="56636F"/>
          <w:sz w:val="20"/>
        </w:rPr>
        <w:t>Figures generated from the reproduced NHANES case-study dataset and associated summary outputs.</w:t>
      </w:r>
    </w:p>
    <w:p>
      <w:pPr>
        <w:pStyle w:val="Heading2"/>
      </w:pPr>
      <w:r>
        <w:t>Worked example 1. Weekday and weekend-day physical activity by sample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4845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overall_weekday_weekend_mi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4845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Weighted mean daily MIMS-units on weekdays and weekend days for adults and children/adolescents. Points show estimates, horizontal intervals show 95% confidence intervals, and text labels report the descriptive weekday-minus-weekend difference. No statistical significance marker is shown.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2. Weekday-weekend physical activity difference by subgroup: Adults 20+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49674" cy="5074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difference_by_subgroup_ad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9674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Weighted weekday-minus-weekend MIMS-unit differences by subgroup for Adults 20+. Positive values indicate higher weekday physical activity. Points show estimates and horizontal intervals show 95% confidence intervals. Panel colours identify subgroup domains.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3. Weekday-weekend physical activity difference by subgroup: Children/adolescents 6-19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19253" cy="5074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difference_by_subgroup_children_adolesc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9253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Weighted weekday-minus-weekend MIMS-unit differences by subgroup for Children/adolescents 6-19. Positive values indicate higher weekday physical activity. Points show estimates and horizontal intervals show 95% confidence intervals. Panel colours identify subgroup domains.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4. Weekday and weekend-day physical activity by subgroup: Adults 20+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1942" cy="5074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weekday_weekend_means_by_subgroup_ad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1942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Weighted mean daily MIMS-units on weekdays and weekend days by subgroup for Adults 20+. Points show estimates and horizontal intervals show 95% confidence intervals. Panel colours identify subgroup domains.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5. Weekday and weekend-day physical activity by subgroup: Children/adolescents 6-19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1597" cy="5074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weekday_weekend_means_by_subgroup_children_adolesc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159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Weighted mean daily MIMS-units on weekdays and weekend days by subgroup for Children/adolescents 6-19. Points show estimates and horizontal intervals show 95% confidence intervals. Panel colours identify subgroup domains.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6. Distribution of individual weekday-weekend differences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96031" cy="5074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6_individual_difference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96031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Distribution of participant-level weekday-minus-weekend MIMS-unit differences for adults and children/adolescents. Positive values indicate higher weekday physical activity. The axis shows the central 98% of values for readability.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7. Participant-level relationship between weekday and weekend-day activity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4508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7_weekday_weekend_relationsh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450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Hexbin plots showing the participant-level relationship between mean weekend-day and weekday MIMS-units. The dashed line represents equal weekday and weekend-day activity; points above the line indicate higher weekday activity.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8. Percentage weekday-weekend difference by sample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43959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8_percentage_difference_summary_d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439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Reconstructed weekday-weekend percentage differences relative to weekday MIMS-units for adults and children/adolescents. Dots show weighted summary percentages without intervals.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2"/>
      </w:pPr>
      <w:r>
        <w:t>Worked example 9. Conditional bar-chart example: percentage difference by sample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43163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9_percentage_difference_bar_alternativ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4316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Conditional bar-chart version of the reconstructed weekday-weekend percentage differences relative to weekday MIMS-units. Bar length represents percentage difference from zero.</w:t>
      </w:r>
    </w:p>
    <w:p>
      <w:pPr>
        <w:pStyle w:val="FigureSource"/>
      </w:pPr>
      <w:r>
        <w:t>Source: Worked case study, reproduced NHANES 2011-2014 data.</w:t>
      </w:r>
    </w:p>
    <w:p>
      <w:r>
        <w:br w:type="page"/>
      </w:r>
    </w:p>
    <w:p>
      <w:pPr>
        <w:pStyle w:val="Heading1"/>
        <w:pBdr>
          <w:bottom w:val="single" w:sz="6" w:space="4" w:color="D9DEDB"/>
        </w:pBdr>
      </w:pPr>
      <w:r>
        <w:t>Simulated data examples</w:t>
      </w:r>
    </w:p>
    <w:p>
      <w:r>
        <w:rPr>
          <w:color w:val="56636F"/>
          <w:sz w:val="20"/>
        </w:rPr>
        <w:t>Figures generated from small simulated mock datasets to illustrate recommendation-specific visual structures.</w:t>
      </w:r>
    </w:p>
    <w:p>
      <w:pPr>
        <w:pStyle w:val="Heading2"/>
      </w:pPr>
      <w:r>
        <w:t>Simulated example 1. Behaviour timeline (tile plot)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20924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iour_timeline_tile_plo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209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Behaviour timeline (tile plot).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2. Behaviour-by-time heatmap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5053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iour_by_time_heat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5053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Behaviour-by-time heatmap.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3. Proportion-over-time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43342" cy="5074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rtion_over_time_prof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43342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Proportion-over-time profile.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4. Stacked area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43342" cy="5074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cked_area_prof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43342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Stacked area profile.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5. Time-series line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25417" cy="5074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series_line_plo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2541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Time-series line plot.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6. Observation-by-time heatmap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60224" cy="50749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servation_by_time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860224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Observation-by-time heatmap.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7. Small-multiple time-series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375098" cy="5074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ll_multiple_time_series_plo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75098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Small-multiple time-series plots.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8. Summary time profile with interval ribbon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25417" cy="50749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time_profile_with_interval_ribb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2541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Summary time profile with interval ribbon.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9. Summary time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25417" cy="50749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time_prof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72541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Summary time profile.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10. Empirical cumulative distribution (ECDF)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089395" cy="50749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irical_cumulative_distribution_ec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089395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Empirical cumulative distribution (ECDF).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11. Box or violin plot with raw points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679800" cy="5074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or_violin_plot_with_raw_poin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679800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Box or violin plot with raw points.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12. Faceted density or ECDF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35443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eted_density_or_ecdf_pl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3544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Faceted density or ECDF plot.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13. Repeated-measures line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7611" cy="50749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eated_measures_line_pl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927611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Repeated-measures line plot.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14. Dot plot with summary and interval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21494" cy="50749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t_plot_with_summary_and_interv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21494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Dot plot with summary and interval.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15. Dot plot of observed values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37608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t_plot_of_observed_valu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376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Dot plot of observed values.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16. Pie or doughnut 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13659" cy="50749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or_doughnut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913659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Pie or doughnut chart.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17. 100% stacked bar 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464788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_percent_stacked_bar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464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100% stacked bar chart.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18. Small-multiple composition bars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338731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ll_multiple_composition_ba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3387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Small-multiple composition bars.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19. Ternary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8489" cy="50749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nary_pl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8489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Ternary plot.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20. Scatter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95271" cy="5074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plo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95271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Scatter plot.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21. Event timeline or raster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1120" cy="505450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_timeline_or_raster_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5054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Event timeline or raster plot.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22. Event raster or time-bin heatmap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07433" cy="507492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_raster_or_time_bin_heatma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907433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Event raster or time-bin heatmap.</w:t>
      </w:r>
    </w:p>
    <w:p>
      <w:pPr>
        <w:pStyle w:val="FigureSource"/>
      </w:pPr>
      <w:r>
        <w:t>Source: Simulated mock data.</w:t>
      </w:r>
    </w:p>
    <w:p>
      <w:r>
        <w:br w:type="page"/>
      </w:r>
    </w:p>
    <w:p>
      <w:pPr>
        <w:pStyle w:val="Heading2"/>
      </w:pPr>
      <w:r>
        <w:t>Simulated example 23. Event-frequency time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25417" cy="50749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_frequency_time_profi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72541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 w:val="0"/>
        </w:rPr>
        <w:t>Simulated data example illustrating the visual structure for the recommendation: Event-frequency time profile.</w:t>
      </w:r>
    </w:p>
    <w:p>
      <w:pPr>
        <w:pStyle w:val="FigureSource"/>
      </w:pPr>
      <w:r>
        <w:t>Source: Simulated mock data.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72B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7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212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before="60" w:after="40" w:line="252" w:lineRule="auto"/>
    </w:pPr>
    <w:rPr>
      <w:rFonts w:ascii="Calibri" w:hAnsi="Calibri"/>
      <w:color w:val="17212B"/>
      <w:sz w:val="17"/>
    </w:rPr>
  </w:style>
  <w:style w:type="paragraph" w:customStyle="1" w:styleId="FigureSource">
    <w:name w:val="Figure Source"/>
    <w:pPr>
      <w:spacing w:after="80"/>
    </w:pPr>
    <w:rPr>
      <w:rFonts w:ascii="Calibri" w:hAnsi="Calibri"/>
      <w:i/>
      <w:color w:val="56636F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