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Competitive Battlecard: Acme vs. Legacy Enablement Tools</w:t>
      </w:r>
    </w:p>
    <w:p>
      <w:pPr>
        <w:spacing w:after="300"/>
      </w:pPr>
      <w:r>
        <w:t xml:space="preserve">Internal use only · Updated Q3</w:t>
      </w:r>
    </w:p>
    <w:p>
      <w:pPr>
        <w:pStyle w:val="Heading1"/>
      </w:pPr>
      <w:r>
        <w:t xml:space="preserve">Positioning</w:t>
      </w:r>
    </w:p>
    <w:p>
      <w:r>
        <w:t xml:space="preserve">Acme replaces closed enablement suites with an open, composable content platform. Assets live alongside the rest of your digital content, with structured metadata that powers search, filtering and reuse.</w:t>
      </w:r>
    </w:p>
    <w:p>
      <w:pPr>
        <w:pStyle w:val="Heading1"/>
      </w:pPr>
      <w:r>
        <w:t xml:space="preserve">Feature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Acme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Legacy tools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Any file type with preview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Reuse in web pages and articles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API-first / headless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Custom metadata model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</w:tr>
    </w:tbl>
    <w:p>
      <w:pPr>
        <w:pStyle w:val="Heading1"/>
      </w:pPr>
      <w:r>
        <w:t xml:space="preserve">Objection handling</w:t>
      </w:r>
    </w:p>
    <w:p>
      <w:pPr>
        <w:pStyle w:val="ListParagraph"/>
        <w:numPr>
          <w:ilvl w:val="0"/>
          <w:numId w:val="1"/>
        </w:numPr>
      </w:pPr>
      <w:r>
        <w:t xml:space="preserve">“We already have a sales content tool.” — Consolidating onto the CMS removes a license and keeps web and sales content in sync.</w:t>
      </w:r>
    </w:p>
    <w:p>
      <w:pPr>
        <w:pStyle w:val="ListParagraph"/>
        <w:numPr>
          <w:ilvl w:val="0"/>
          <w:numId w:val="1"/>
        </w:numPr>
      </w:pPr>
      <w:r>
        <w:t xml:space="preserve">“Migration sounds risky.” — Stable slugs mean every link keeps working after the move.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2026-10-22T21:21:31.714Z</dcterms:created>
  <dcterms:modified xsi:type="dcterms:W3CDTF">2026-10-22T21:21:31.714Z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