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4F46E5"/>
          <w:sz w:val="40"/>
          <w:szCs w:val="40"/>
        </w:rPr>
        <w:t xml:space="preserve">ByteBuddies</w:t>
      </w:r>
      <w:r>
        <w:rPr>
          <w:rFonts w:ascii="Calibri" w:cs="Calibri" w:eastAsia="Calibri" w:hAnsi="Calibri"/>
          <w:b w:val="false"/>
          <w:bCs w:val="false"/>
          <w:color w:val="374151"/>
          <w:sz w:val="32"/>
          <w:szCs w:val="32"/>
        </w:rPr>
        <w:t xml:space="preserve">  |  Data Handling Summary</w:t>
      </w:r>
    </w:p>
    <w:p>
      <w:pPr>
        <w:pBdr>
          <w:bottom w:val="single" w:color="4F46E5" w:sz="8"/>
        </w:pBdr>
        <w:spacing w:after="80" w:before="0"/>
      </w:pPr>
      <w:r>
        <w:rPr>
          <w:rFonts w:ascii="Calibri" w:cs="Calibri" w:eastAsia="Calibri" w:hAnsi="Calibri"/>
          <w:i/>
          <w:iCs/>
          <w:color w:val="6B7280"/>
          <w:sz w:val="18"/>
          <w:szCs w:val="18"/>
        </w:rPr>
        <w:t xml:space="preserve">In accordance with UAE Federal Decree-Law No. 45 of 2021 (Personal Data Protection Law)</w:t>
      </w:r>
    </w:p>
    <w:p>
      <w:pPr>
        <w:spacing w:after="0" w:before="160"/>
      </w:pPr>
    </w:p>
    <w:p>
      <w:pPr>
        <w:spacing w:after="160" w:before="400"/>
      </w:pPr>
      <w:r>
        <w:rPr>
          <w:rFonts w:ascii="Calibri" w:cs="Calibri" w:eastAsia="Calibri" w:hAnsi="Calibri"/>
          <w:b/>
          <w:bCs/>
          <w:color w:val="4F46E5"/>
          <w:sz w:val="28"/>
          <w:szCs w:val="28"/>
        </w:rPr>
        <w:t xml:space="preserve">1. Overview</w:t>
      </w:r>
    </w:p>
    <w:p>
      <w:pPr>
        <w:spacing w:after="120" w:before="80"/>
      </w:pPr>
      <w:r>
        <w:rPr>
          <w:rFonts w:ascii="Calibri" w:cs="Calibri" w:eastAsia="Calibri" w:hAnsi="Calibri"/>
          <w:color w:val="374151"/>
          <w:sz w:val="20"/>
          <w:szCs w:val="20"/>
        </w:rPr>
        <w:t xml:space="preserve">ByteBuddies is a cloud-based educational coding platform designed for students aged 8 to 18, sold to schools across the UAE and beyond. The platform is hosted on Oracle Cloud Infrastructure in the UAE Central region (Abu Dhabi).</w:t>
      </w:r>
    </w:p>
    <w:p>
      <w:pPr>
        <w:spacing w:after="120" w:before="80"/>
      </w:pPr>
      <w:r>
        <w:rPr>
          <w:rFonts w:ascii="Calibri" w:cs="Calibri" w:eastAsia="Calibri" w:hAnsi="Calibri"/>
          <w:color w:val="374151"/>
          <w:sz w:val="20"/>
          <w:szCs w:val="20"/>
        </w:rPr>
        <w:t xml:space="preserve">ByteBuddies operates as a Data Processor under the UAE Personal Data Protection Law (PDPL). Schools that deploy ByteBuddies act as Data Controllers and are responsible for ensuring appropriate legal basis and consent for processing their students' personal data.</w:t>
      </w:r>
    </w:p>
    <w:p>
      <w:pPr>
        <w:spacing w:after="0" w:before="120"/>
      </w:pPr>
    </w:p>
    <w:p>
      <w:pPr>
        <w:spacing w:after="160" w:before="400"/>
      </w:pPr>
      <w:r>
        <w:rPr>
          <w:rFonts w:ascii="Calibri" w:cs="Calibri" w:eastAsia="Calibri" w:hAnsi="Calibri"/>
          <w:b/>
          <w:bCs/>
          <w:color w:val="4F46E5"/>
          <w:sz w:val="28"/>
          <w:szCs w:val="28"/>
        </w:rPr>
        <w:t xml:space="preserve">2. Data We Collect</w:t>
      </w:r>
    </w:p>
    <w:p>
      <w:pPr>
        <w:spacing w:after="120" w:before="80"/>
      </w:pPr>
      <w:r>
        <w:rPr>
          <w:rFonts w:ascii="Calibri" w:cs="Calibri" w:eastAsia="Calibri" w:hAnsi="Calibri"/>
          <w:color w:val="374151"/>
          <w:sz w:val="20"/>
          <w:szCs w:val="20"/>
        </w:rPr>
        <w:t xml:space="preserve">The table below summarises the personal data collected, its purpose, legal basis, and retention period:</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0%"/>
            <w:tcBorders>
              <w:top w:val="single" w:color="D1D5DB" w:sz="4"/>
              <w:left w:val="single" w:color="D1D5DB" w:sz="4"/>
              <w:bottom w:val="single" w:color="D1D5DB" w:sz="4"/>
              <w:right w:val="single" w:color="D1D5DB" w:sz="4"/>
            </w:tcBorders>
            <w:shd w:fill="4F46E5" w:color="4F46E5" w:val="solid"/>
            <w:tcMar>
              <w:top w:type="dxa" w:w="113"/>
              <w:left w:type="dxa" w:w="170"/>
              <w:bottom w:type="dxa" w:w="113"/>
              <w:right w:type="dxa" w:w="170"/>
            </w:tcMar>
            <w:vAlign w:val="center"/>
          </w:tcPr>
          <w:p>
            <w:pPr>
              <w:spacing w:after="80" w:before="80"/>
            </w:pPr>
            <w:r>
              <w:rPr>
                <w:rFonts w:ascii="Calibri" w:cs="Calibri" w:eastAsia="Calibri" w:hAnsi="Calibri"/>
                <w:b/>
                <w:bCs/>
                <w:color w:val="FFFFFF"/>
                <w:sz w:val="18"/>
                <w:szCs w:val="18"/>
              </w:rPr>
              <w:t xml:space="preserve">Data Type</w:t>
            </w:r>
          </w:p>
        </w:tc>
        <w:tc>
          <w:tcPr>
            <w:tcW w:type="pct" w:w="25%"/>
            <w:tcBorders>
              <w:top w:val="single" w:color="D1D5DB" w:sz="4"/>
              <w:left w:val="single" w:color="D1D5DB" w:sz="4"/>
              <w:bottom w:val="single" w:color="D1D5DB" w:sz="4"/>
              <w:right w:val="single" w:color="D1D5DB" w:sz="4"/>
            </w:tcBorders>
            <w:shd w:fill="4F46E5" w:color="4F46E5" w:val="solid"/>
            <w:tcMar>
              <w:top w:type="dxa" w:w="113"/>
              <w:left w:type="dxa" w:w="170"/>
              <w:bottom w:type="dxa" w:w="113"/>
              <w:right w:type="dxa" w:w="170"/>
            </w:tcMar>
            <w:vAlign w:val="center"/>
          </w:tcPr>
          <w:p>
            <w:pPr>
              <w:spacing w:after="80" w:before="80"/>
            </w:pPr>
            <w:r>
              <w:rPr>
                <w:rFonts w:ascii="Calibri" w:cs="Calibri" w:eastAsia="Calibri" w:hAnsi="Calibri"/>
                <w:b/>
                <w:bCs/>
                <w:color w:val="FFFFFF"/>
                <w:sz w:val="18"/>
                <w:szCs w:val="18"/>
              </w:rPr>
              <w:t xml:space="preserve">Purpose</w:t>
            </w:r>
          </w:p>
        </w:tc>
        <w:tc>
          <w:tcPr>
            <w:tcW w:type="pct" w:w="28%"/>
            <w:tcBorders>
              <w:top w:val="single" w:color="D1D5DB" w:sz="4"/>
              <w:left w:val="single" w:color="D1D5DB" w:sz="4"/>
              <w:bottom w:val="single" w:color="D1D5DB" w:sz="4"/>
              <w:right w:val="single" w:color="D1D5DB" w:sz="4"/>
            </w:tcBorders>
            <w:shd w:fill="4F46E5" w:color="4F46E5" w:val="solid"/>
            <w:tcMar>
              <w:top w:type="dxa" w:w="113"/>
              <w:left w:type="dxa" w:w="170"/>
              <w:bottom w:type="dxa" w:w="113"/>
              <w:right w:type="dxa" w:w="170"/>
            </w:tcMar>
            <w:vAlign w:val="center"/>
          </w:tcPr>
          <w:p>
            <w:pPr>
              <w:spacing w:after="80" w:before="80"/>
            </w:pPr>
            <w:r>
              <w:rPr>
                <w:rFonts w:ascii="Calibri" w:cs="Calibri" w:eastAsia="Calibri" w:hAnsi="Calibri"/>
                <w:b/>
                <w:bCs/>
                <w:color w:val="FFFFFF"/>
                <w:sz w:val="18"/>
                <w:szCs w:val="18"/>
              </w:rPr>
              <w:t xml:space="preserve">Legal Basis</w:t>
            </w:r>
          </w:p>
        </w:tc>
        <w:tc>
          <w:tcPr>
            <w:tcW w:type="pct" w:w="27%"/>
            <w:tcBorders>
              <w:top w:val="single" w:color="D1D5DB" w:sz="4"/>
              <w:left w:val="single" w:color="D1D5DB" w:sz="4"/>
              <w:bottom w:val="single" w:color="D1D5DB" w:sz="4"/>
              <w:right w:val="single" w:color="D1D5DB" w:sz="4"/>
            </w:tcBorders>
            <w:shd w:fill="4F46E5" w:color="4F46E5" w:val="solid"/>
            <w:tcMar>
              <w:top w:type="dxa" w:w="113"/>
              <w:left w:type="dxa" w:w="170"/>
              <w:bottom w:type="dxa" w:w="113"/>
              <w:right w:type="dxa" w:w="170"/>
            </w:tcMar>
            <w:vAlign w:val="center"/>
          </w:tcPr>
          <w:p>
            <w:pPr>
              <w:spacing w:after="80" w:before="80"/>
            </w:pPr>
            <w:r>
              <w:rPr>
                <w:rFonts w:ascii="Calibri" w:cs="Calibri" w:eastAsia="Calibri" w:hAnsi="Calibri"/>
                <w:b/>
                <w:bCs/>
                <w:color w:val="FFFFFF"/>
                <w:sz w:val="18"/>
                <w:szCs w:val="18"/>
              </w:rPr>
              <w:t xml:space="preserve">Retention Period</w:t>
            </w:r>
          </w:p>
        </w:tc>
      </w:tr>
      <w:tr>
        <w:tc>
          <w:tcPr>
            <w:tcW w:type="pct" w:w="20%"/>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Full Name</w:t>
            </w:r>
          </w:p>
        </w:tc>
        <w:tc>
          <w:tcPr>
            <w:tcW w:type="pct" w:w="25%"/>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User identification and personalisation</w:t>
            </w:r>
          </w:p>
        </w:tc>
        <w:tc>
          <w:tcPr>
            <w:tcW w:type="pct" w:w="28%"/>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Contractual necessity / School consent</w:t>
            </w:r>
          </w:p>
        </w:tc>
        <w:tc>
          <w:tcPr>
            <w:tcW w:type="pct" w:w="27%"/>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Duration of school subscription + 1 year</w:t>
            </w:r>
          </w:p>
        </w:tc>
      </w:tr>
      <w:tr>
        <w:tc>
          <w:tcPr>
            <w:tcW w:type="pct" w:w="20%"/>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Email Address</w:t>
            </w:r>
          </w:p>
        </w:tc>
        <w:tc>
          <w:tcPr>
            <w:tcW w:type="pct" w:w="25%"/>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Authentication and account access</w:t>
            </w:r>
          </w:p>
        </w:tc>
        <w:tc>
          <w:tcPr>
            <w:tcW w:type="pct" w:w="28%"/>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Contractual necessity</w:t>
            </w:r>
          </w:p>
        </w:tc>
        <w:tc>
          <w:tcPr>
            <w:tcW w:type="pct" w:w="27%"/>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Duration of school subscription + 1 year</w:t>
            </w:r>
          </w:p>
        </w:tc>
      </w:tr>
      <w:tr>
        <w:tc>
          <w:tcPr>
            <w:tcW w:type="pct" w:w="20%"/>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Google Account Information (via Firebase)</w:t>
            </w:r>
          </w:p>
        </w:tc>
        <w:tc>
          <w:tcPr>
            <w:tcW w:type="pct" w:w="25%"/>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Single sign-on authentication</w:t>
            </w:r>
          </w:p>
        </w:tc>
        <w:tc>
          <w:tcPr>
            <w:tcW w:type="pct" w:w="28%"/>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User consent</w:t>
            </w:r>
          </w:p>
        </w:tc>
        <w:tc>
          <w:tcPr>
            <w:tcW w:type="pct" w:w="27%"/>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Session-based; token refreshed on login</w:t>
            </w:r>
          </w:p>
        </w:tc>
      </w:tr>
      <w:tr>
        <w:tc>
          <w:tcPr>
            <w:tcW w:type="pct" w:w="20%"/>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Learning Progress &amp; XP</w:t>
            </w:r>
          </w:p>
        </w:tc>
        <w:tc>
          <w:tcPr>
            <w:tcW w:type="pct" w:w="25%"/>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Track coding skill development and gamification</w:t>
            </w:r>
          </w:p>
        </w:tc>
        <w:tc>
          <w:tcPr>
            <w:tcW w:type="pct" w:w="28%"/>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Legitimate interest (educational)</w:t>
            </w:r>
          </w:p>
        </w:tc>
        <w:tc>
          <w:tcPr>
            <w:tcW w:type="pct" w:w="27%"/>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Duration of school subscription + 1 year</w:t>
            </w:r>
          </w:p>
        </w:tc>
      </w:tr>
      <w:tr>
        <w:tc>
          <w:tcPr>
            <w:tcW w:type="pct" w:w="20%"/>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Concept Mastery Data</w:t>
            </w:r>
          </w:p>
        </w:tc>
        <w:tc>
          <w:tcPr>
            <w:tcW w:type="pct" w:w="25%"/>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Identify which coding concepts students have used</w:t>
            </w:r>
          </w:p>
        </w:tc>
        <w:tc>
          <w:tcPr>
            <w:tcW w:type="pct" w:w="28%"/>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Legitimate interest (educational)</w:t>
            </w:r>
          </w:p>
        </w:tc>
        <w:tc>
          <w:tcPr>
            <w:tcW w:type="pct" w:w="27%"/>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Duration of school subscription + 1 year</w:t>
            </w:r>
          </w:p>
        </w:tc>
      </w:tr>
      <w:tr>
        <w:tc>
          <w:tcPr>
            <w:tcW w:type="pct" w:w="20%"/>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Game &amp; Project Data</w:t>
            </w:r>
          </w:p>
        </w:tc>
        <w:tc>
          <w:tcPr>
            <w:tcW w:type="pct" w:w="25%"/>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Store student-created games and workspace code</w:t>
            </w:r>
          </w:p>
        </w:tc>
        <w:tc>
          <w:tcPr>
            <w:tcW w:type="pct" w:w="28%"/>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Contractual necessity</w:t>
            </w:r>
          </w:p>
        </w:tc>
        <w:tc>
          <w:tcPr>
            <w:tcW w:type="pct" w:w="27%"/>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Duration of school subscription + 1 year</w:t>
            </w:r>
          </w:p>
        </w:tc>
      </w:tr>
      <w:tr>
        <w:tc>
          <w:tcPr>
            <w:tcW w:type="pct" w:w="20%"/>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Usage Logs</w:t>
            </w:r>
          </w:p>
        </w:tc>
        <w:tc>
          <w:tcPr>
            <w:tcW w:type="pct" w:w="25%"/>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Platform security and performance monitoring</w:t>
            </w:r>
          </w:p>
        </w:tc>
        <w:tc>
          <w:tcPr>
            <w:tcW w:type="pct" w:w="28%"/>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Legitimate interest (security)</w:t>
            </w:r>
          </w:p>
        </w:tc>
        <w:tc>
          <w:tcPr>
            <w:tcW w:type="pct" w:w="27%"/>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90 days</w:t>
            </w:r>
          </w:p>
        </w:tc>
      </w:tr>
    </w:tbl>
    <w:p>
      <w:pPr>
        <w:spacing w:after="0" w:before="160"/>
      </w:pPr>
    </w:p>
    <w:p>
      <w:pPr>
        <w:spacing w:after="160" w:before="400"/>
      </w:pPr>
      <w:r>
        <w:rPr>
          <w:rFonts w:ascii="Calibri" w:cs="Calibri" w:eastAsia="Calibri" w:hAnsi="Calibri"/>
          <w:b/>
          <w:bCs/>
          <w:color w:val="4F46E5"/>
          <w:sz w:val="28"/>
          <w:szCs w:val="28"/>
        </w:rPr>
        <w:t xml:space="preserve">3. Data Storage &amp; Security</w:t>
      </w:r>
    </w:p>
    <w:p>
      <w:pPr>
        <w:spacing w:after="120" w:before="80"/>
      </w:pPr>
      <w:r>
        <w:rPr>
          <w:rFonts w:ascii="Calibri" w:cs="Calibri" w:eastAsia="Calibri" w:hAnsi="Calibri"/>
          <w:color w:val="374151"/>
          <w:sz w:val="20"/>
          <w:szCs w:val="20"/>
        </w:rPr>
        <w:t xml:space="preserve">All personal data is stored on Oracle Cloud Infrastructure, UAE Central (Abu Dhabi region). Data does not leave the UAE, except for authentication tokens processed by Firebase (Google), as detailed in Section 4.</w:t>
      </w:r>
    </w:p>
    <w:p>
      <w:pPr>
        <w:spacing w:after="80" w:before="80"/>
      </w:pPr>
      <w:r>
        <w:rPr>
          <w:rFonts w:ascii="Calibri" w:cs="Calibri" w:eastAsia="Calibri" w:hAnsi="Calibri"/>
          <w:color w:val="374151"/>
          <w:sz w:val="20"/>
          <w:szCs w:val="20"/>
        </w:rPr>
        <w:t xml:space="preserve">Key security measures include:</w:t>
      </w:r>
    </w:p>
    <w:p>
      <w:pPr>
        <w:pStyle w:val="ListParagraph"/>
        <w:numPr>
          <w:ilvl w:val="0"/>
          <w:numId w:val="1"/>
        </w:numPr>
        <w:spacing w:after="60" w:before="60"/>
      </w:pPr>
      <w:r>
        <w:rPr>
          <w:rFonts w:ascii="Calibri" w:cs="Calibri" w:eastAsia="Calibri" w:hAnsi="Calibri"/>
          <w:color w:val="374151"/>
          <w:sz w:val="20"/>
          <w:szCs w:val="20"/>
        </w:rPr>
        <w:t xml:space="preserve">TLS 1.3 encryption for all data in transit</w:t>
      </w:r>
    </w:p>
    <w:p>
      <w:pPr>
        <w:pStyle w:val="ListParagraph"/>
        <w:numPr>
          <w:ilvl w:val="0"/>
          <w:numId w:val="1"/>
        </w:numPr>
        <w:spacing w:after="60" w:before="60"/>
      </w:pPr>
      <w:r>
        <w:rPr>
          <w:rFonts w:ascii="Calibri" w:cs="Calibri" w:eastAsia="Calibri" w:hAnsi="Calibri"/>
          <w:color w:val="374151"/>
          <w:sz w:val="20"/>
          <w:szCs w:val="20"/>
        </w:rPr>
        <w:t xml:space="preserve">Access controls and role-based authentication via Firebase</w:t>
      </w:r>
    </w:p>
    <w:p>
      <w:pPr>
        <w:pStyle w:val="ListParagraph"/>
        <w:numPr>
          <w:ilvl w:val="0"/>
          <w:numId w:val="1"/>
        </w:numPr>
        <w:spacing w:after="60" w:before="60"/>
      </w:pPr>
      <w:r>
        <w:rPr>
          <w:rFonts w:ascii="Calibri" w:cs="Calibri" w:eastAsia="Calibri" w:hAnsi="Calibri"/>
          <w:color w:val="374151"/>
          <w:sz w:val="20"/>
          <w:szCs w:val="20"/>
        </w:rPr>
        <w:t xml:space="preserve">Secure Oracle Cloud Infrastructure with restricted access</w:t>
      </w:r>
    </w:p>
    <w:p>
      <w:pPr>
        <w:pStyle w:val="ListParagraph"/>
        <w:numPr>
          <w:ilvl w:val="0"/>
          <w:numId w:val="1"/>
        </w:numPr>
        <w:spacing w:after="60" w:before="60"/>
      </w:pPr>
      <w:r>
        <w:rPr>
          <w:rFonts w:ascii="Calibri" w:cs="Calibri" w:eastAsia="Calibri" w:hAnsi="Calibri"/>
          <w:color w:val="374151"/>
          <w:sz w:val="20"/>
          <w:szCs w:val="20"/>
        </w:rPr>
        <w:t xml:space="preserve">No data stored outside the UAE (primary data storage)</w:t>
      </w:r>
    </w:p>
    <w:p>
      <w:pPr>
        <w:spacing w:after="0" w:before="120"/>
      </w:pPr>
    </w:p>
    <w:p>
      <w:pPr>
        <w:spacing w:after="160" w:before="400"/>
      </w:pPr>
      <w:r>
        <w:rPr>
          <w:rFonts w:ascii="Calibri" w:cs="Calibri" w:eastAsia="Calibri" w:hAnsi="Calibri"/>
          <w:b/>
          <w:bCs/>
          <w:color w:val="4F46E5"/>
          <w:sz w:val="28"/>
          <w:szCs w:val="28"/>
        </w:rPr>
        <w:t xml:space="preserve">4. Third-Party Processors</w:t>
      </w:r>
    </w:p>
    <w:p>
      <w:pPr>
        <w:spacing w:after="120" w:before="80"/>
      </w:pPr>
      <w:r>
        <w:rPr>
          <w:rFonts w:ascii="Calibri" w:cs="Calibri" w:eastAsia="Calibri" w:hAnsi="Calibri"/>
          <w:color w:val="374151"/>
          <w:sz w:val="20"/>
          <w:szCs w:val="20"/>
        </w:rPr>
        <w:t xml:space="preserve">ByteBuddies engages the following sub-processors to deliver platform services:</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0%"/>
            <w:tcBorders>
              <w:top w:val="single" w:color="D1D5DB" w:sz="4"/>
              <w:left w:val="single" w:color="D1D5DB" w:sz="4"/>
              <w:bottom w:val="single" w:color="D1D5DB" w:sz="4"/>
              <w:right w:val="single" w:color="D1D5DB" w:sz="4"/>
            </w:tcBorders>
            <w:shd w:fill="4F46E5" w:color="4F46E5" w:val="solid"/>
            <w:tcMar>
              <w:top w:type="dxa" w:w="113"/>
              <w:left w:type="dxa" w:w="170"/>
              <w:bottom w:type="dxa" w:w="113"/>
              <w:right w:type="dxa" w:w="170"/>
            </w:tcMar>
            <w:vAlign w:val="center"/>
          </w:tcPr>
          <w:p>
            <w:pPr>
              <w:spacing w:after="80" w:before="80"/>
            </w:pPr>
            <w:r>
              <w:rPr>
                <w:rFonts w:ascii="Calibri" w:cs="Calibri" w:eastAsia="Calibri" w:hAnsi="Calibri"/>
                <w:b/>
                <w:bCs/>
                <w:color w:val="FFFFFF"/>
                <w:sz w:val="18"/>
                <w:szCs w:val="18"/>
              </w:rPr>
              <w:t xml:space="preserve">Processor</w:t>
            </w:r>
          </w:p>
        </w:tc>
        <w:tc>
          <w:tcPr>
            <w:tcW w:type="pct" w:w="20%"/>
            <w:tcBorders>
              <w:top w:val="single" w:color="D1D5DB" w:sz="4"/>
              <w:left w:val="single" w:color="D1D5DB" w:sz="4"/>
              <w:bottom w:val="single" w:color="D1D5DB" w:sz="4"/>
              <w:right w:val="single" w:color="D1D5DB" w:sz="4"/>
            </w:tcBorders>
            <w:shd w:fill="4F46E5" w:color="4F46E5" w:val="solid"/>
            <w:tcMar>
              <w:top w:type="dxa" w:w="113"/>
              <w:left w:type="dxa" w:w="170"/>
              <w:bottom w:type="dxa" w:w="113"/>
              <w:right w:type="dxa" w:w="170"/>
            </w:tcMar>
            <w:vAlign w:val="center"/>
          </w:tcPr>
          <w:p>
            <w:pPr>
              <w:spacing w:after="80" w:before="80"/>
            </w:pPr>
            <w:r>
              <w:rPr>
                <w:rFonts w:ascii="Calibri" w:cs="Calibri" w:eastAsia="Calibri" w:hAnsi="Calibri"/>
                <w:b/>
                <w:bCs/>
                <w:color w:val="FFFFFF"/>
                <w:sz w:val="18"/>
                <w:szCs w:val="18"/>
              </w:rPr>
              <w:t xml:space="preserve">Purpose</w:t>
            </w:r>
          </w:p>
        </w:tc>
        <w:tc>
          <w:tcPr>
            <w:tcW w:type="pct" w:w="25%"/>
            <w:tcBorders>
              <w:top w:val="single" w:color="D1D5DB" w:sz="4"/>
              <w:left w:val="single" w:color="D1D5DB" w:sz="4"/>
              <w:bottom w:val="single" w:color="D1D5DB" w:sz="4"/>
              <w:right w:val="single" w:color="D1D5DB" w:sz="4"/>
            </w:tcBorders>
            <w:shd w:fill="4F46E5" w:color="4F46E5" w:val="solid"/>
            <w:tcMar>
              <w:top w:type="dxa" w:w="113"/>
              <w:left w:type="dxa" w:w="170"/>
              <w:bottom w:type="dxa" w:w="113"/>
              <w:right w:type="dxa" w:w="170"/>
            </w:tcMar>
            <w:vAlign w:val="center"/>
          </w:tcPr>
          <w:p>
            <w:pPr>
              <w:spacing w:after="80" w:before="80"/>
            </w:pPr>
            <w:r>
              <w:rPr>
                <w:rFonts w:ascii="Calibri" w:cs="Calibri" w:eastAsia="Calibri" w:hAnsi="Calibri"/>
                <w:b/>
                <w:bCs/>
                <w:color w:val="FFFFFF"/>
                <w:sz w:val="18"/>
                <w:szCs w:val="18"/>
              </w:rPr>
              <w:t xml:space="preserve">Location</w:t>
            </w:r>
          </w:p>
        </w:tc>
        <w:tc>
          <w:tcPr>
            <w:tcW w:type="pct" w:w="35%"/>
            <w:tcBorders>
              <w:top w:val="single" w:color="D1D5DB" w:sz="4"/>
              <w:left w:val="single" w:color="D1D5DB" w:sz="4"/>
              <w:bottom w:val="single" w:color="D1D5DB" w:sz="4"/>
              <w:right w:val="single" w:color="D1D5DB" w:sz="4"/>
            </w:tcBorders>
            <w:shd w:fill="4F46E5" w:color="4F46E5" w:val="solid"/>
            <w:tcMar>
              <w:top w:type="dxa" w:w="113"/>
              <w:left w:type="dxa" w:w="170"/>
              <w:bottom w:type="dxa" w:w="113"/>
              <w:right w:type="dxa" w:w="170"/>
            </w:tcMar>
            <w:vAlign w:val="center"/>
          </w:tcPr>
          <w:p>
            <w:pPr>
              <w:spacing w:after="80" w:before="80"/>
            </w:pPr>
            <w:r>
              <w:rPr>
                <w:rFonts w:ascii="Calibri" w:cs="Calibri" w:eastAsia="Calibri" w:hAnsi="Calibri"/>
                <w:b/>
                <w:bCs/>
                <w:color w:val="FFFFFF"/>
                <w:sz w:val="18"/>
                <w:szCs w:val="18"/>
              </w:rPr>
              <w:t xml:space="preserve">Safeguard</w:t>
            </w:r>
          </w:p>
        </w:tc>
      </w:tr>
      <w:tr>
        <w:tc>
          <w:tcPr>
            <w:tcW w:type="pct" w:w="20%"/>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Firebase (Google)</w:t>
            </w:r>
          </w:p>
        </w:tc>
        <w:tc>
          <w:tcPr>
            <w:tcW w:type="pct" w:w="20%"/>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Authentication</w:t>
            </w:r>
          </w:p>
        </w:tc>
        <w:tc>
          <w:tcPr>
            <w:tcW w:type="pct" w:w="25%"/>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USA (Google servers)</w:t>
            </w:r>
          </w:p>
        </w:tc>
        <w:tc>
          <w:tcPr>
            <w:tcW w:type="pct" w:w="35%"/>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Google Cloud DPA, Standard Contractual Clauses</w:t>
            </w:r>
          </w:p>
        </w:tc>
      </w:tr>
      <w:tr>
        <w:tc>
          <w:tcPr>
            <w:tcW w:type="pct" w:w="20%"/>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Oracle Cloud</w:t>
            </w:r>
          </w:p>
        </w:tc>
        <w:tc>
          <w:tcPr>
            <w:tcW w:type="pct" w:w="20%"/>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Hosting &amp; storage</w:t>
            </w:r>
          </w:p>
        </w:tc>
        <w:tc>
          <w:tcPr>
            <w:tcW w:type="pct" w:w="25%"/>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UAE - Abu Dhabi</w:t>
            </w:r>
          </w:p>
        </w:tc>
        <w:tc>
          <w:tcPr>
            <w:tcW w:type="pct" w:w="35%"/>
            <w:tcBorders>
              <w:top w:val="single" w:color="D1D5DB" w:sz="4"/>
              <w:left w:val="single" w:color="D1D5DB" w:sz="4"/>
              <w:bottom w:val="single" w:color="D1D5DB" w:sz="4"/>
              <w:right w:val="single" w:color="D1D5DB" w:sz="4"/>
            </w:tcBorders>
            <w:shd w:fill="FFFFFF" w:color="FFFFFF" w:val="solid"/>
            <w:tcMar>
              <w:top w:type="dxa" w:w="113"/>
              <w:left w:type="dxa" w:w="170"/>
              <w:bottom w:type="dxa" w:w="113"/>
              <w:right w:type="dxa" w:w="170"/>
            </w:tcMar>
            <w:vAlign w:val="center"/>
          </w:tcPr>
          <w:p>
            <w:pPr>
              <w:spacing w:after="80" w:before="80"/>
            </w:pPr>
            <w:r>
              <w:rPr>
                <w:rFonts w:ascii="Calibri" w:cs="Calibri" w:eastAsia="Calibri" w:hAnsi="Calibri"/>
                <w:b w:val="false"/>
                <w:bCs w:val="false"/>
                <w:color w:val="374151"/>
                <w:sz w:val="18"/>
                <w:szCs w:val="18"/>
              </w:rPr>
              <w:t xml:space="preserve">Oracle Cloud DPA</w:t>
            </w:r>
          </w:p>
        </w:tc>
      </w:tr>
    </w:tbl>
    <w:p>
      <w:pPr>
        <w:spacing w:after="0" w:before="160"/>
      </w:pPr>
    </w:p>
    <w:p>
      <w:pPr>
        <w:spacing w:after="160" w:before="400"/>
      </w:pPr>
      <w:r>
        <w:rPr>
          <w:rFonts w:ascii="Calibri" w:cs="Calibri" w:eastAsia="Calibri" w:hAnsi="Calibri"/>
          <w:b/>
          <w:bCs/>
          <w:color w:val="4F46E5"/>
          <w:sz w:val="28"/>
          <w:szCs w:val="28"/>
        </w:rPr>
        <w:t xml:space="preserve">5. Children's Data</w:t>
      </w:r>
    </w:p>
    <w:p>
      <w:pPr>
        <w:spacing w:after="120" w:before="80"/>
      </w:pPr>
      <w:r>
        <w:rPr>
          <w:rFonts w:ascii="Calibri" w:cs="Calibri" w:eastAsia="Calibri" w:hAnsi="Calibri"/>
          <w:color w:val="374151"/>
          <w:sz w:val="20"/>
          <w:szCs w:val="20"/>
        </w:rPr>
        <w:t xml:space="preserve">ByteBuddies is designed for students aged 8 to 18. All student accounts are created and managed through schools. Schools are responsible for obtaining appropriate parental or guardian consent prior to onboarding students onto the platform.</w:t>
      </w:r>
    </w:p>
    <w:p>
      <w:pPr>
        <w:spacing w:after="120" w:before="80"/>
      </w:pPr>
      <w:r>
        <w:rPr>
          <w:rFonts w:ascii="Calibri" w:cs="Calibri" w:eastAsia="Calibri" w:hAnsi="Calibri"/>
          <w:color w:val="374151"/>
          <w:sz w:val="20"/>
          <w:szCs w:val="20"/>
        </w:rPr>
        <w:t xml:space="preserve">ByteBuddies does not knowingly collect personal data from children without school authorisation. Student data is not used for advertising, profiling, or any purpose other than educational service delivery. Minimum age for platform use: 8 years.</w:t>
      </w:r>
    </w:p>
    <w:p>
      <w:pPr>
        <w:spacing w:after="0" w:before="120"/>
      </w:pPr>
    </w:p>
    <w:p>
      <w:pPr>
        <w:spacing w:after="160" w:before="400"/>
      </w:pPr>
      <w:r>
        <w:rPr>
          <w:rFonts w:ascii="Calibri" w:cs="Calibri" w:eastAsia="Calibri" w:hAnsi="Calibri"/>
          <w:b/>
          <w:bCs/>
          <w:color w:val="4F46E5"/>
          <w:sz w:val="28"/>
          <w:szCs w:val="28"/>
        </w:rPr>
        <w:t xml:space="preserve">6. Data Subject Rights (UAE PDPL Art. 8-14)</w:t>
      </w:r>
    </w:p>
    <w:p>
      <w:pPr>
        <w:spacing w:after="120" w:before="80"/>
      </w:pPr>
      <w:r>
        <w:rPr>
          <w:rFonts w:ascii="Calibri" w:cs="Calibri" w:eastAsia="Calibri" w:hAnsi="Calibri"/>
          <w:color w:val="374151"/>
          <w:sz w:val="20"/>
          <w:szCs w:val="20"/>
        </w:rPr>
        <w:t xml:space="preserve">Under the UAE PDPL, data subjects (students, parents, teachers) have the following rights:</w:t>
      </w:r>
    </w:p>
    <w:p>
      <w:pPr>
        <w:pStyle w:val="ListParagraph"/>
        <w:numPr>
          <w:ilvl w:val="0"/>
          <w:numId w:val="1"/>
        </w:numPr>
        <w:spacing w:after="60" w:before="60"/>
      </w:pPr>
      <w:r>
        <w:rPr>
          <w:rFonts w:ascii="Calibri" w:cs="Calibri" w:eastAsia="Calibri" w:hAnsi="Calibri"/>
          <w:color w:val="374151"/>
          <w:sz w:val="20"/>
          <w:szCs w:val="20"/>
        </w:rPr>
        <w:t xml:space="preserve">Right to Access: Request a copy of personal data held</w:t>
      </w:r>
    </w:p>
    <w:p>
      <w:pPr>
        <w:pStyle w:val="ListParagraph"/>
        <w:numPr>
          <w:ilvl w:val="0"/>
          <w:numId w:val="1"/>
        </w:numPr>
        <w:spacing w:after="60" w:before="60"/>
      </w:pPr>
      <w:r>
        <w:rPr>
          <w:rFonts w:ascii="Calibri" w:cs="Calibri" w:eastAsia="Calibri" w:hAnsi="Calibri"/>
          <w:color w:val="374151"/>
          <w:sz w:val="20"/>
          <w:szCs w:val="20"/>
        </w:rPr>
        <w:t xml:space="preserve">Right to Correction: Request correction of inaccurate or incomplete data</w:t>
      </w:r>
    </w:p>
    <w:p>
      <w:pPr>
        <w:pStyle w:val="ListParagraph"/>
        <w:numPr>
          <w:ilvl w:val="0"/>
          <w:numId w:val="1"/>
        </w:numPr>
        <w:spacing w:after="60" w:before="60"/>
      </w:pPr>
      <w:r>
        <w:rPr>
          <w:rFonts w:ascii="Calibri" w:cs="Calibri" w:eastAsia="Calibri" w:hAnsi="Calibri"/>
          <w:color w:val="374151"/>
          <w:sz w:val="20"/>
          <w:szCs w:val="20"/>
        </w:rPr>
        <w:t xml:space="preserve">Right to Deletion: Request erasure of personal data (subject to legal obligations)</w:t>
      </w:r>
    </w:p>
    <w:p>
      <w:pPr>
        <w:pStyle w:val="ListParagraph"/>
        <w:numPr>
          <w:ilvl w:val="0"/>
          <w:numId w:val="1"/>
        </w:numPr>
        <w:spacing w:after="60" w:before="60"/>
      </w:pPr>
      <w:r>
        <w:rPr>
          <w:rFonts w:ascii="Calibri" w:cs="Calibri" w:eastAsia="Calibri" w:hAnsi="Calibri"/>
          <w:color w:val="374151"/>
          <w:sz w:val="20"/>
          <w:szCs w:val="20"/>
        </w:rPr>
        <w:t xml:space="preserve">Right to Object: Object to certain processing activities</w:t>
      </w:r>
    </w:p>
    <w:p>
      <w:pPr>
        <w:pStyle w:val="ListParagraph"/>
        <w:numPr>
          <w:ilvl w:val="0"/>
          <w:numId w:val="1"/>
        </w:numPr>
        <w:spacing w:after="60" w:before="60"/>
      </w:pPr>
      <w:r>
        <w:rPr>
          <w:rFonts w:ascii="Calibri" w:cs="Calibri" w:eastAsia="Calibri" w:hAnsi="Calibri"/>
          <w:color w:val="374151"/>
          <w:sz w:val="20"/>
          <w:szCs w:val="20"/>
        </w:rPr>
        <w:t xml:space="preserve">Right to Data Portability: Request transfer of data in a machine-readable format</w:t>
      </w:r>
    </w:p>
    <w:p>
      <w:pPr>
        <w:spacing w:after="120" w:before="80"/>
      </w:pPr>
      <w:r>
        <w:rPr>
          <w:rFonts w:ascii="Calibri" w:cs="Calibri" w:eastAsia="Calibri" w:hAnsi="Calibri"/>
          <w:color w:val="374151"/>
          <w:sz w:val="20"/>
          <w:szCs w:val="20"/>
        </w:rPr>
        <w:t xml:space="preserve">Requests should be directed to the school administrator in the first instance, or submitted directly to ByteBuddies at: privacy@bytebuddies.technology. ByteBuddies will respond within 30 days as required by the UAE PDPL.</w:t>
      </w:r>
    </w:p>
    <w:p>
      <w:pPr>
        <w:spacing w:after="0" w:before="200"/>
      </w:pPr>
    </w:p>
    <w:p>
      <w:pPr>
        <w:pBdr>
          <w:top w:val="single" w:color="D1D5DB" w:sz="4"/>
        </w:pBdr>
        <w:spacing w:after="0" w:before="200"/>
        <w:jc w:val="right"/>
      </w:pPr>
      <w:r>
        <w:rPr>
          <w:rFonts w:ascii="Calibri" w:cs="Calibri" w:eastAsia="Calibri" w:hAnsi="Calibri"/>
          <w:i/>
          <w:iCs/>
          <w:color w:val="9CA3AF"/>
          <w:sz w:val="16"/>
          <w:szCs w:val="16"/>
        </w:rPr>
        <w:t xml:space="preserve">Last updated: March 2026  |  Version 1.0</w:t>
      </w:r>
    </w:p>
    <w:sectPr>
      <w:footerReference w:type="default" r:id="rId7"/>
      <w:pgSz w:w="11905" w:h="16837"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20"/>
      <w:jc w:val="center"/>
    </w:pPr>
    <w:r>
      <w:rPr>
        <w:rFonts w:ascii="Calibri" w:cs="Calibri" w:eastAsia="Calibri" w:hAnsi="Calibri"/>
        <w:color w:val="6B7280"/>
        <w:sz w:val="16"/>
        <w:szCs w:val="16"/>
      </w:rPr>
      <w:t xml:space="preserve">ByteBuddies | www.bytebuddies.technology | Data Handling Summary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2026-03-25T08:54:07.151Z</dcterms:created>
  <dcterms:modified xsi:type="dcterms:W3CDTF">2026-03-25T08:54:07.152Z</dcterms:modified>
</cp:coreProperties>
</file>

<file path=docProps/custom.xml><?xml version="1.0" encoding="utf-8"?>
<Properties xmlns="http://schemas.openxmlformats.org/officeDocument/2006/custom-properties" xmlns:vt="http://schemas.openxmlformats.org/officeDocument/2006/docPropsVTypes"/>
</file>