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1E3A5F"/>
          <w:sz w:val="44"/>
          <w:szCs w:val="44"/>
        </w:rPr>
        <w:t xml:space="preserve">ByteBuddies</w:t>
      </w:r>
    </w:p>
    <w:p>
      <w:pPr>
        <w:spacing w:after="80" w:before="0"/>
      </w:pPr>
      <w:r>
        <w:rPr>
          <w:rFonts w:ascii="Calibri" w:cs="Calibri" w:eastAsia="Calibri" w:hAnsi="Calibri"/>
          <w:b/>
          <w:bCs/>
          <w:color w:val="374151"/>
          <w:sz w:val="36"/>
          <w:szCs w:val="36"/>
        </w:rPr>
        <w:t xml:space="preserve">Privacy Policy</w:t>
      </w:r>
    </w:p>
    <w:p>
      <w:pPr>
        <w:pBdr>
          <w:bottom w:val="single" w:color="1E3A5F" w:sz="12"/>
        </w:pBdr>
        <w:spacing w:after="200" w:before="0"/>
      </w:pPr>
      <w:r>
        <w:rPr>
          <w:rFonts w:ascii="Calibri" w:cs="Calibri" w:eastAsia="Calibri" w:hAnsi="Calibri"/>
          <w:i/>
          <w:iCs/>
          <w:color w:val="6B7280"/>
          <w:sz w:val="20"/>
          <w:szCs w:val="20"/>
        </w:rPr>
        <w:t xml:space="preserve">UAE Federal Decree-Law No. 45 of 2021 (Personal Data Protection Law) Compliant</w:t>
      </w:r>
    </w:p>
    <w:p>
      <w:pPr>
        <w:pBdr>
          <w:bottom w:val="single" w:color="C7D2FE" w:sz="4"/>
        </w:pBdr>
        <w:spacing w:after="160" w:before="360"/>
      </w:pPr>
      <w:r>
        <w:rPr>
          <w:rFonts w:ascii="Calibri" w:cs="Calibri" w:eastAsia="Calibri" w:hAnsi="Calibri"/>
          <w:b/>
          <w:bCs/>
          <w:caps/>
          <w:color w:val="1E3A5F"/>
          <w:sz w:val="26"/>
          <w:szCs w:val="26"/>
        </w:rPr>
        <w:t xml:space="preserve">1. Introduction</w:t>
      </w:r>
    </w:p>
    <w:p>
      <w:pPr>
        <w:spacing w:after="100" w:before="60"/>
      </w:pPr>
      <w:r>
        <w:rPr>
          <w:rFonts w:ascii="Calibri" w:cs="Calibri" w:eastAsia="Calibri" w:hAnsi="Calibri"/>
          <w:color w:val="374151"/>
          <w:sz w:val="20"/>
          <w:szCs w:val="20"/>
        </w:rPr>
        <w:t xml:space="preserve">ByteBuddies ("we", "us", "our") is committed to protecting the personal data of students, teachers, and school administrators who use our platform. This Privacy Policy explains how we collect, use, store, and protect personal data in accordance with UAE Federal Decree-Law No. 45 of 2021 on Personal Data Protection (the "UAE PDPL") and its implementing regulations.</w:t>
      </w:r>
    </w:p>
    <w:p>
      <w:pPr>
        <w:spacing w:after="100" w:before="60"/>
      </w:pPr>
      <w:r>
        <w:rPr>
          <w:rFonts w:ascii="Calibri" w:cs="Calibri" w:eastAsia="Calibri" w:hAnsi="Calibri"/>
          <w:color w:val="374151"/>
          <w:sz w:val="20"/>
          <w:szCs w:val="20"/>
        </w:rPr>
        <w:t xml:space="preserve">By using the ByteBuddies platform at www.bytebuddies.technology, you agree to the practices described in this Privacy Policy.</w:t>
      </w:r>
    </w:p>
    <w:p>
      <w:pPr>
        <w:pBdr>
          <w:bottom w:val="single" w:color="C7D2FE" w:sz="4"/>
        </w:pBdr>
        <w:spacing w:after="160" w:before="360"/>
      </w:pPr>
      <w:r>
        <w:rPr>
          <w:rFonts w:ascii="Calibri" w:cs="Calibri" w:eastAsia="Calibri" w:hAnsi="Calibri"/>
          <w:b/>
          <w:bCs/>
          <w:caps/>
          <w:color w:val="1E3A5F"/>
          <w:sz w:val="26"/>
          <w:szCs w:val="26"/>
        </w:rPr>
        <w:t xml:space="preserve">2. Data Controller Information</w:t>
      </w:r>
    </w:p>
    <w:p>
      <w:pPr>
        <w:spacing w:after="100" w:before="60"/>
      </w:pPr>
      <w:r>
        <w:rPr>
          <w:rFonts w:ascii="Calibri" w:cs="Calibri" w:eastAsia="Calibri" w:hAnsi="Calibri"/>
          <w:color w:val="374151"/>
          <w:sz w:val="20"/>
          <w:szCs w:val="20"/>
        </w:rPr>
        <w:t xml:space="preserve">ByteBuddies operates as a Data Processor on behalf of schools, which act as Data Controllers under the UAE PDPL.</w:t>
      </w:r>
    </w:p>
    <w:p>
      <w:pPr>
        <w:spacing w:after="100" w:before="60"/>
      </w:pPr>
      <w:r>
        <w:rPr>
          <w:rFonts w:ascii="Calibri" w:cs="Calibri" w:eastAsia="Calibri" w:hAnsi="Calibri"/>
          <w:color w:val="374151"/>
          <w:sz w:val="20"/>
          <w:szCs w:val="20"/>
        </w:rPr>
        <w:t xml:space="preserve">Contact: privacy@bytebuddies.technology | www.bytebuddies.technology</w:t>
      </w:r>
    </w:p>
    <w:p>
      <w:pPr>
        <w:spacing w:after="100" w:before="60"/>
      </w:pPr>
      <w:r>
        <w:rPr>
          <w:rFonts w:ascii="Calibri" w:cs="Calibri" w:eastAsia="Calibri" w:hAnsi="Calibri"/>
          <w:color w:val="374151"/>
          <w:sz w:val="20"/>
          <w:szCs w:val="20"/>
        </w:rPr>
        <w:t xml:space="preserve">For data requests, contact your school administrator in the first instance.</w:t>
      </w:r>
    </w:p>
    <w:p>
      <w:pPr>
        <w:pBdr>
          <w:bottom w:val="single" w:color="C7D2FE" w:sz="4"/>
        </w:pBdr>
        <w:spacing w:after="160" w:before="360"/>
      </w:pPr>
      <w:r>
        <w:rPr>
          <w:rFonts w:ascii="Calibri" w:cs="Calibri" w:eastAsia="Calibri" w:hAnsi="Calibri"/>
          <w:b/>
          <w:bCs/>
          <w:caps/>
          <w:color w:val="1E3A5F"/>
          <w:sz w:val="26"/>
          <w:szCs w:val="26"/>
        </w:rPr>
        <w:t xml:space="preserve">3. Data We Collect</w:t>
      </w:r>
    </w:p>
    <w:p>
      <w:pPr>
        <w:spacing w:after="100" w:before="200"/>
      </w:pPr>
      <w:r>
        <w:rPr>
          <w:rFonts w:ascii="Calibri" w:cs="Calibri" w:eastAsia="Calibri" w:hAnsi="Calibri"/>
          <w:b/>
          <w:bCs/>
          <w:color w:val="1E3A5F"/>
          <w:sz w:val="20"/>
          <w:szCs w:val="20"/>
        </w:rPr>
        <w:t xml:space="preserve">3.1 Account Data</w:t>
      </w:r>
    </w:p>
    <w:p>
      <w:pPr>
        <w:spacing w:after="100" w:before="60"/>
      </w:pPr>
      <w:r>
        <w:rPr>
          <w:rFonts w:ascii="Calibri" w:cs="Calibri" w:eastAsia="Calibri" w:hAnsi="Calibri"/>
          <w:color w:val="374151"/>
          <w:sz w:val="20"/>
          <w:szCs w:val="20"/>
        </w:rPr>
        <w:t xml:space="preserve">Full name, email address, display name, profile information.</w:t>
      </w:r>
    </w:p>
    <w:p>
      <w:pPr>
        <w:spacing w:after="100" w:before="200"/>
      </w:pPr>
      <w:r>
        <w:rPr>
          <w:rFonts w:ascii="Calibri" w:cs="Calibri" w:eastAsia="Calibri" w:hAnsi="Calibri"/>
          <w:b/>
          <w:bCs/>
          <w:color w:val="1E3A5F"/>
          <w:sz w:val="20"/>
          <w:szCs w:val="20"/>
        </w:rPr>
        <w:t xml:space="preserve">3.2 Authentication Data</w:t>
      </w:r>
    </w:p>
    <w:p>
      <w:pPr>
        <w:spacing w:after="100" w:before="60"/>
      </w:pPr>
      <w:r>
        <w:rPr>
          <w:rFonts w:ascii="Calibri" w:cs="Calibri" w:eastAsia="Calibri" w:hAnsi="Calibri"/>
          <w:color w:val="374151"/>
          <w:sz w:val="20"/>
          <w:szCs w:val="20"/>
        </w:rPr>
        <w:t xml:space="preserve">Google account credentials processed via Firebase Authentication (Google LLC).</w:t>
      </w:r>
    </w:p>
    <w:p>
      <w:pPr>
        <w:spacing w:after="100" w:before="200"/>
      </w:pPr>
      <w:r>
        <w:rPr>
          <w:rFonts w:ascii="Calibri" w:cs="Calibri" w:eastAsia="Calibri" w:hAnsi="Calibri"/>
          <w:b/>
          <w:bCs/>
          <w:color w:val="1E3A5F"/>
          <w:sz w:val="20"/>
          <w:szCs w:val="20"/>
        </w:rPr>
        <w:t xml:space="preserve">3.3 Educational Data</w:t>
      </w:r>
    </w:p>
    <w:p>
      <w:pPr>
        <w:spacing w:after="100" w:before="60"/>
      </w:pPr>
      <w:r>
        <w:rPr>
          <w:rFonts w:ascii="Calibri" w:cs="Calibri" w:eastAsia="Calibri" w:hAnsi="Calibri"/>
          <w:color w:val="374151"/>
          <w:sz w:val="20"/>
          <w:szCs w:val="20"/>
        </w:rPr>
        <w:t xml:space="preserve">Coding projects, game builds, workspace content, block programs.</w:t>
      </w:r>
    </w:p>
    <w:p>
      <w:pPr>
        <w:spacing w:after="100" w:before="200"/>
      </w:pPr>
      <w:r>
        <w:rPr>
          <w:rFonts w:ascii="Calibri" w:cs="Calibri" w:eastAsia="Calibri" w:hAnsi="Calibri"/>
          <w:b/>
          <w:bCs/>
          <w:color w:val="1E3A5F"/>
          <w:sz w:val="20"/>
          <w:szCs w:val="20"/>
        </w:rPr>
        <w:t xml:space="preserve">3.4 Progress Data</w:t>
      </w:r>
    </w:p>
    <w:p>
      <w:pPr>
        <w:spacing w:after="100" w:before="60"/>
      </w:pPr>
      <w:r>
        <w:rPr>
          <w:rFonts w:ascii="Calibri" w:cs="Calibri" w:eastAsia="Calibri" w:hAnsi="Calibri"/>
          <w:color w:val="374151"/>
          <w:sz w:val="20"/>
          <w:szCs w:val="20"/>
        </w:rPr>
        <w:t xml:space="preserve">XP points, badges, skill levels, concept mastery tracking, quiz scores, streaks.</w:t>
      </w:r>
    </w:p>
    <w:p>
      <w:pPr>
        <w:spacing w:after="100" w:before="200"/>
      </w:pPr>
      <w:r>
        <w:rPr>
          <w:rFonts w:ascii="Calibri" w:cs="Calibri" w:eastAsia="Calibri" w:hAnsi="Calibri"/>
          <w:b/>
          <w:bCs/>
          <w:color w:val="1E3A5F"/>
          <w:sz w:val="20"/>
          <w:szCs w:val="20"/>
        </w:rPr>
        <w:t xml:space="preserve">3.5 Usage Data</w:t>
      </w:r>
    </w:p>
    <w:p>
      <w:pPr>
        <w:spacing w:after="100" w:before="60"/>
      </w:pPr>
      <w:r>
        <w:rPr>
          <w:rFonts w:ascii="Calibri" w:cs="Calibri" w:eastAsia="Calibri" w:hAnsi="Calibri"/>
          <w:color w:val="374151"/>
          <w:sz w:val="20"/>
          <w:szCs w:val="20"/>
        </w:rPr>
        <w:t xml:space="preserve">Login timestamps, pages visited, features used, session duration.</w:t>
      </w:r>
    </w:p>
    <w:p>
      <w:pPr>
        <w:spacing w:after="100" w:before="200"/>
      </w:pPr>
      <w:r>
        <w:rPr>
          <w:rFonts w:ascii="Calibri" w:cs="Calibri" w:eastAsia="Calibri" w:hAnsi="Calibri"/>
          <w:b/>
          <w:bCs/>
          <w:color w:val="1E3A5F"/>
          <w:sz w:val="20"/>
          <w:szCs w:val="20"/>
        </w:rPr>
        <w:t xml:space="preserve">3.6 Technical Data</w:t>
      </w:r>
    </w:p>
    <w:p>
      <w:pPr>
        <w:spacing w:after="100" w:before="60"/>
      </w:pPr>
      <w:r>
        <w:rPr>
          <w:rFonts w:ascii="Calibri" w:cs="Calibri" w:eastAsia="Calibri" w:hAnsi="Calibri"/>
          <w:color w:val="374151"/>
          <w:sz w:val="20"/>
          <w:szCs w:val="20"/>
        </w:rPr>
        <w:t xml:space="preserve">IP address, browser type, device type (for security and compatibility purposes).</w:t>
      </w:r>
    </w:p>
    <w:p>
      <w:pPr>
        <w:pBdr>
          <w:bottom w:val="single" w:color="C7D2FE" w:sz="4"/>
        </w:pBdr>
        <w:spacing w:after="160" w:before="360"/>
      </w:pPr>
      <w:r>
        <w:rPr>
          <w:rFonts w:ascii="Calibri" w:cs="Calibri" w:eastAsia="Calibri" w:hAnsi="Calibri"/>
          <w:b/>
          <w:bCs/>
          <w:caps/>
          <w:color w:val="1E3A5F"/>
          <w:sz w:val="26"/>
          <w:szCs w:val="26"/>
        </w:rPr>
        <w:t xml:space="preserve">4. How We Collect Data</w:t>
      </w:r>
    </w:p>
    <w:p>
      <w:pPr>
        <w:pStyle w:val="ListParagraph"/>
        <w:numPr>
          <w:ilvl w:val="0"/>
          <w:numId w:val="1"/>
        </w:numPr>
        <w:spacing w:after="40" w:before="40"/>
      </w:pPr>
      <w:r>
        <w:rPr>
          <w:rFonts w:ascii="Calibri" w:cs="Calibri" w:eastAsia="Calibri" w:hAnsi="Calibri"/>
          <w:color w:val="374151"/>
          <w:sz w:val="20"/>
          <w:szCs w:val="20"/>
        </w:rPr>
        <w:t xml:space="preserve">Directly from users when they register or use the platform</w:t>
      </w:r>
    </w:p>
    <w:p>
      <w:pPr>
        <w:pStyle w:val="ListParagraph"/>
        <w:numPr>
          <w:ilvl w:val="0"/>
          <w:numId w:val="1"/>
        </w:numPr>
        <w:spacing w:after="40" w:before="40"/>
      </w:pPr>
      <w:r>
        <w:rPr>
          <w:rFonts w:ascii="Calibri" w:cs="Calibri" w:eastAsia="Calibri" w:hAnsi="Calibri"/>
          <w:color w:val="374151"/>
          <w:sz w:val="20"/>
          <w:szCs w:val="20"/>
        </w:rPr>
        <w:t xml:space="preserve">Through Google Sign-In via Firebase Authentication</w:t>
      </w:r>
    </w:p>
    <w:p>
      <w:pPr>
        <w:pStyle w:val="ListParagraph"/>
        <w:numPr>
          <w:ilvl w:val="0"/>
          <w:numId w:val="1"/>
        </w:numPr>
        <w:spacing w:after="40" w:before="40"/>
      </w:pPr>
      <w:r>
        <w:rPr>
          <w:rFonts w:ascii="Calibri" w:cs="Calibri" w:eastAsia="Calibri" w:hAnsi="Calibri"/>
          <w:color w:val="374151"/>
          <w:sz w:val="20"/>
          <w:szCs w:val="20"/>
        </w:rPr>
        <w:t xml:space="preserve">Automatically through cookies and similar tracking technologies</w:t>
      </w:r>
    </w:p>
    <w:p>
      <w:pPr>
        <w:pStyle w:val="ListParagraph"/>
        <w:numPr>
          <w:ilvl w:val="0"/>
          <w:numId w:val="1"/>
        </w:numPr>
        <w:spacing w:after="40" w:before="40"/>
      </w:pPr>
      <w:r>
        <w:rPr>
          <w:rFonts w:ascii="Calibri" w:cs="Calibri" w:eastAsia="Calibri" w:hAnsi="Calibri"/>
          <w:color w:val="374151"/>
          <w:sz w:val="20"/>
          <w:szCs w:val="20"/>
        </w:rPr>
        <w:t xml:space="preserve">From schools when they set up classroom accounts</w:t>
      </w:r>
    </w:p>
    <w:p>
      <w:pPr>
        <w:pBdr>
          <w:bottom w:val="single" w:color="C7D2FE" w:sz="4"/>
        </w:pBdr>
        <w:spacing w:after="160" w:before="360"/>
      </w:pPr>
      <w:r>
        <w:rPr>
          <w:rFonts w:ascii="Calibri" w:cs="Calibri" w:eastAsia="Calibri" w:hAnsi="Calibri"/>
          <w:b/>
          <w:bCs/>
          <w:caps/>
          <w:color w:val="1E3A5F"/>
          <w:sz w:val="26"/>
          <w:szCs w:val="26"/>
        </w:rPr>
        <w:t xml:space="preserve">5. Legal Basis for Processing (UAE PDPL Art. 4)</w:t>
      </w:r>
    </w:p>
    <w:p>
      <w:pPr>
        <w:pStyle w:val="ListParagraph"/>
        <w:numPr>
          <w:ilvl w:val="0"/>
          <w:numId w:val="1"/>
        </w:numPr>
        <w:spacing w:after="40" w:before="40"/>
      </w:pPr>
      <w:r>
        <w:rPr>
          <w:rFonts w:ascii="Calibri" w:cs="Calibri" w:eastAsia="Calibri" w:hAnsi="Calibri"/>
          <w:color w:val="374151"/>
          <w:sz w:val="20"/>
          <w:szCs w:val="20"/>
        </w:rPr>
        <w:t xml:space="preserve">Contractual necessity: to provide the platform services agreed with the school</w:t>
      </w:r>
    </w:p>
    <w:p>
      <w:pPr>
        <w:pStyle w:val="ListParagraph"/>
        <w:numPr>
          <w:ilvl w:val="0"/>
          <w:numId w:val="1"/>
        </w:numPr>
        <w:spacing w:after="40" w:before="40"/>
      </w:pPr>
      <w:r>
        <w:rPr>
          <w:rFonts w:ascii="Calibri" w:cs="Calibri" w:eastAsia="Calibri" w:hAnsi="Calibri"/>
          <w:color w:val="374151"/>
          <w:sz w:val="20"/>
          <w:szCs w:val="20"/>
        </w:rPr>
        <w:t xml:space="preserve">Legitimate interests: platform security, fraud prevention, service improvement</w:t>
      </w:r>
    </w:p>
    <w:p>
      <w:pPr>
        <w:pStyle w:val="ListParagraph"/>
        <w:numPr>
          <w:ilvl w:val="0"/>
          <w:numId w:val="1"/>
        </w:numPr>
        <w:spacing w:after="40" w:before="40"/>
      </w:pPr>
      <w:r>
        <w:rPr>
          <w:rFonts w:ascii="Calibri" w:cs="Calibri" w:eastAsia="Calibri" w:hAnsi="Calibri"/>
          <w:color w:val="374151"/>
          <w:sz w:val="20"/>
          <w:szCs w:val="20"/>
        </w:rPr>
        <w:t xml:space="preserve">Consent: where required for children's data, obtained through schools/parents</w:t>
      </w:r>
    </w:p>
    <w:p>
      <w:pPr>
        <w:pStyle w:val="ListParagraph"/>
        <w:numPr>
          <w:ilvl w:val="0"/>
          <w:numId w:val="1"/>
        </w:numPr>
        <w:spacing w:after="40" w:before="40"/>
      </w:pPr>
      <w:r>
        <w:rPr>
          <w:rFonts w:ascii="Calibri" w:cs="Calibri" w:eastAsia="Calibri" w:hAnsi="Calibri"/>
          <w:color w:val="374151"/>
          <w:sz w:val="20"/>
          <w:szCs w:val="20"/>
        </w:rPr>
        <w:t xml:space="preserve">Legal obligation: compliance with UAE law</w:t>
      </w:r>
    </w:p>
    <w:p>
      <w:pPr>
        <w:pBdr>
          <w:bottom w:val="single" w:color="C7D2FE" w:sz="4"/>
        </w:pBdr>
        <w:spacing w:after="160" w:before="360"/>
      </w:pPr>
      <w:r>
        <w:rPr>
          <w:rFonts w:ascii="Calibri" w:cs="Calibri" w:eastAsia="Calibri" w:hAnsi="Calibri"/>
          <w:b/>
          <w:bCs/>
          <w:caps/>
          <w:color w:val="1E3A5F"/>
          <w:sz w:val="26"/>
          <w:szCs w:val="26"/>
        </w:rPr>
        <w:t xml:space="preserve">6. How We Use Personal Data</w:t>
      </w:r>
    </w:p>
    <w:p>
      <w:pPr>
        <w:pStyle w:val="ListParagraph"/>
        <w:numPr>
          <w:ilvl w:val="0"/>
          <w:numId w:val="1"/>
        </w:numPr>
        <w:spacing w:after="40" w:before="40"/>
      </w:pPr>
      <w:r>
        <w:rPr>
          <w:rFonts w:ascii="Calibri" w:cs="Calibri" w:eastAsia="Calibri" w:hAnsi="Calibri"/>
          <w:color w:val="374151"/>
          <w:sz w:val="20"/>
          <w:szCs w:val="20"/>
        </w:rPr>
        <w:t xml:space="preserve">To create and manage user accounts</w:t>
      </w:r>
    </w:p>
    <w:p>
      <w:pPr>
        <w:pStyle w:val="ListParagraph"/>
        <w:numPr>
          <w:ilvl w:val="0"/>
          <w:numId w:val="1"/>
        </w:numPr>
        <w:spacing w:after="40" w:before="40"/>
      </w:pPr>
      <w:r>
        <w:rPr>
          <w:rFonts w:ascii="Calibri" w:cs="Calibri" w:eastAsia="Calibri" w:hAnsi="Calibri"/>
          <w:color w:val="374151"/>
          <w:sz w:val="20"/>
          <w:szCs w:val="20"/>
        </w:rPr>
        <w:t xml:space="preserve">To deliver educational content and track learning progress</w:t>
      </w:r>
    </w:p>
    <w:p>
      <w:pPr>
        <w:pStyle w:val="ListParagraph"/>
        <w:numPr>
          <w:ilvl w:val="0"/>
          <w:numId w:val="1"/>
        </w:numPr>
        <w:spacing w:after="40" w:before="40"/>
      </w:pPr>
      <w:r>
        <w:rPr>
          <w:rFonts w:ascii="Calibri" w:cs="Calibri" w:eastAsia="Calibri" w:hAnsi="Calibri"/>
          <w:color w:val="374151"/>
          <w:sz w:val="20"/>
          <w:szCs w:val="20"/>
        </w:rPr>
        <w:t xml:space="preserve">To enable teachers to monitor student progress and assign work</w:t>
      </w:r>
    </w:p>
    <w:p>
      <w:pPr>
        <w:pStyle w:val="ListParagraph"/>
        <w:numPr>
          <w:ilvl w:val="0"/>
          <w:numId w:val="1"/>
        </w:numPr>
        <w:spacing w:after="40" w:before="40"/>
      </w:pPr>
      <w:r>
        <w:rPr>
          <w:rFonts w:ascii="Calibri" w:cs="Calibri" w:eastAsia="Calibri" w:hAnsi="Calibri"/>
          <w:color w:val="374151"/>
          <w:sz w:val="20"/>
          <w:szCs w:val="20"/>
        </w:rPr>
        <w:t xml:space="preserve">To provide gamification features (XP, badges, leaderboards)</w:t>
      </w:r>
    </w:p>
    <w:p>
      <w:pPr>
        <w:pStyle w:val="ListParagraph"/>
        <w:numPr>
          <w:ilvl w:val="0"/>
          <w:numId w:val="1"/>
        </w:numPr>
        <w:spacing w:after="40" w:before="40"/>
      </w:pPr>
      <w:r>
        <w:rPr>
          <w:rFonts w:ascii="Calibri" w:cs="Calibri" w:eastAsia="Calibri" w:hAnsi="Calibri"/>
          <w:color w:val="374151"/>
          <w:sz w:val="20"/>
          <w:szCs w:val="20"/>
        </w:rPr>
        <w:t xml:space="preserve">To maintain platform security and prevent abuse</w:t>
      </w:r>
    </w:p>
    <w:p>
      <w:pPr>
        <w:pStyle w:val="ListParagraph"/>
        <w:numPr>
          <w:ilvl w:val="0"/>
          <w:numId w:val="1"/>
        </w:numPr>
        <w:spacing w:after="40" w:before="40"/>
      </w:pPr>
      <w:r>
        <w:rPr>
          <w:rFonts w:ascii="Calibri" w:cs="Calibri" w:eastAsia="Calibri" w:hAnsi="Calibri"/>
          <w:color w:val="374151"/>
          <w:sz w:val="20"/>
          <w:szCs w:val="20"/>
        </w:rPr>
        <w:t xml:space="preserve">To improve our services through aggregated analytics</w:t>
      </w:r>
    </w:p>
    <w:p>
      <w:pPr>
        <w:pStyle w:val="ListParagraph"/>
        <w:numPr>
          <w:ilvl w:val="0"/>
          <w:numId w:val="1"/>
        </w:numPr>
        <w:spacing w:after="40" w:before="40"/>
      </w:pPr>
      <w:r>
        <w:rPr>
          <w:rFonts w:ascii="Calibri" w:cs="Calibri" w:eastAsia="Calibri" w:hAnsi="Calibri"/>
          <w:color w:val="374151"/>
          <w:sz w:val="20"/>
          <w:szCs w:val="20"/>
        </w:rPr>
        <w:t xml:space="preserve">To communicate service updates to school administrators</w:t>
      </w:r>
    </w:p>
    <w:p>
      <w:pPr>
        <w:pBdr>
          <w:bottom w:val="single" w:color="C7D2FE" w:sz="4"/>
        </w:pBdr>
        <w:spacing w:after="160" w:before="360"/>
      </w:pPr>
      <w:r>
        <w:rPr>
          <w:rFonts w:ascii="Calibri" w:cs="Calibri" w:eastAsia="Calibri" w:hAnsi="Calibri"/>
          <w:b/>
          <w:bCs/>
          <w:caps/>
          <w:color w:val="1E3A5F"/>
          <w:sz w:val="26"/>
          <w:szCs w:val="26"/>
        </w:rPr>
        <w:t xml:space="preserve">7. Data Sharing and Third Parties</w:t>
      </w:r>
    </w:p>
    <w:p>
      <w:pPr>
        <w:spacing w:after="100" w:before="60"/>
      </w:pPr>
      <w:r>
        <w:rPr>
          <w:rFonts w:ascii="Calibri" w:cs="Calibri" w:eastAsia="Calibri" w:hAnsi="Calibri"/>
          <w:color w:val="374151"/>
          <w:sz w:val="20"/>
          <w:szCs w:val="20"/>
        </w:rPr>
        <w:t xml:space="preserve">We do not sell personal data. We share data only with the following parties:</w:t>
      </w:r>
    </w:p>
    <w:p>
      <w:pPr>
        <w:spacing w:after="100" w:before="200"/>
      </w:pPr>
      <w:r>
        <w:rPr>
          <w:rFonts w:ascii="Calibri" w:cs="Calibri" w:eastAsia="Calibri" w:hAnsi="Calibri"/>
          <w:b/>
          <w:bCs/>
          <w:color w:val="1E3A5F"/>
          <w:sz w:val="20"/>
          <w:szCs w:val="20"/>
        </w:rPr>
        <w:t xml:space="preserve">7.1 Firebase (Google LLC)</w:t>
      </w:r>
    </w:p>
    <w:p>
      <w:pPr>
        <w:spacing w:after="100" w:before="60"/>
      </w:pPr>
      <w:r>
        <w:rPr>
          <w:rFonts w:ascii="Calibri" w:cs="Calibri" w:eastAsia="Calibri" w:hAnsi="Calibri"/>
          <w:color w:val="374151"/>
          <w:sz w:val="20"/>
          <w:szCs w:val="20"/>
        </w:rPr>
        <w:t xml:space="preserve">Authentication services. Google processes authentication tokens. Subject to Google's DPA and Standard Contractual Clauses.</w:t>
      </w:r>
    </w:p>
    <w:p>
      <w:pPr>
        <w:spacing w:after="100" w:before="200"/>
      </w:pPr>
      <w:r>
        <w:rPr>
          <w:rFonts w:ascii="Calibri" w:cs="Calibri" w:eastAsia="Calibri" w:hAnsi="Calibri"/>
          <w:b/>
          <w:bCs/>
          <w:color w:val="1E3A5F"/>
          <w:sz w:val="20"/>
          <w:szCs w:val="20"/>
        </w:rPr>
        <w:t xml:space="preserve">7.2 Oracle Cloud Infrastructure</w:t>
      </w:r>
    </w:p>
    <w:p>
      <w:pPr>
        <w:spacing w:after="100" w:before="60"/>
      </w:pPr>
      <w:r>
        <w:rPr>
          <w:rFonts w:ascii="Calibri" w:cs="Calibri" w:eastAsia="Calibri" w:hAnsi="Calibri"/>
          <w:color w:val="374151"/>
          <w:sz w:val="20"/>
          <w:szCs w:val="20"/>
        </w:rPr>
        <w:t xml:space="preserve">Platform hosting and data storage in UAE (Abu Dhabi). Subject to Oracle's DPA.</w:t>
      </w:r>
    </w:p>
    <w:p>
      <w:pPr>
        <w:spacing w:after="100" w:before="200"/>
      </w:pPr>
      <w:r>
        <w:rPr>
          <w:rFonts w:ascii="Calibri" w:cs="Calibri" w:eastAsia="Calibri" w:hAnsi="Calibri"/>
          <w:b/>
          <w:bCs/>
          <w:color w:val="1E3A5F"/>
          <w:sz w:val="20"/>
          <w:szCs w:val="20"/>
        </w:rPr>
        <w:t xml:space="preserve">7.3 Schools and Teachers</w:t>
      </w:r>
    </w:p>
    <w:p>
      <w:pPr>
        <w:spacing w:after="100" w:before="60"/>
      </w:pPr>
      <w:r>
        <w:rPr>
          <w:rFonts w:ascii="Calibri" w:cs="Calibri" w:eastAsia="Calibri" w:hAnsi="Calibri"/>
          <w:color w:val="374151"/>
          <w:sz w:val="20"/>
          <w:szCs w:val="20"/>
        </w:rPr>
        <w:t xml:space="preserve">Teachers can view their students' progress data within their classroom.</w:t>
      </w:r>
    </w:p>
    <w:p>
      <w:pPr>
        <w:spacing w:after="100" w:before="200"/>
      </w:pPr>
      <w:r>
        <w:rPr>
          <w:rFonts w:ascii="Calibri" w:cs="Calibri" w:eastAsia="Calibri" w:hAnsi="Calibri"/>
          <w:b/>
          <w:bCs/>
          <w:color w:val="1E3A5F"/>
          <w:sz w:val="20"/>
          <w:szCs w:val="20"/>
        </w:rPr>
        <w:t xml:space="preserve">7.4 Legal Requirements</w:t>
      </w:r>
    </w:p>
    <w:p>
      <w:pPr>
        <w:spacing w:after="100" w:before="60"/>
      </w:pPr>
      <w:r>
        <w:rPr>
          <w:rFonts w:ascii="Calibri" w:cs="Calibri" w:eastAsia="Calibri" w:hAnsi="Calibri"/>
          <w:color w:val="374151"/>
          <w:sz w:val="20"/>
          <w:szCs w:val="20"/>
        </w:rPr>
        <w:t xml:space="preserve">We may disclose data if required by UAE law or court order.</w:t>
      </w:r>
    </w:p>
    <w:p>
      <w:pPr>
        <w:pBdr>
          <w:bottom w:val="single" w:color="C7D2FE" w:sz="4"/>
        </w:pBdr>
        <w:spacing w:after="160" w:before="360"/>
      </w:pPr>
      <w:r>
        <w:rPr>
          <w:rFonts w:ascii="Calibri" w:cs="Calibri" w:eastAsia="Calibri" w:hAnsi="Calibri"/>
          <w:b/>
          <w:bCs/>
          <w:caps/>
          <w:color w:val="1E3A5F"/>
          <w:sz w:val="26"/>
          <w:szCs w:val="26"/>
        </w:rPr>
        <w:t xml:space="preserve">8. International Data Transfers</w:t>
      </w:r>
    </w:p>
    <w:p>
      <w:pPr>
        <w:spacing w:after="100" w:before="60"/>
      </w:pPr>
      <w:r>
        <w:rPr>
          <w:rFonts w:ascii="Calibri" w:cs="Calibri" w:eastAsia="Calibri" w:hAnsi="Calibri"/>
          <w:color w:val="374151"/>
          <w:sz w:val="20"/>
          <w:szCs w:val="20"/>
        </w:rPr>
        <w:t xml:space="preserve">Primary data is stored in Oracle Cloud UAE (Abu Dhabi) and does not leave the UAE. Firebase Authentication (Google) involves processing in the USA. This transfer is covered by Standard Contractual Clauses approved under applicable data protection law. We take all reasonable steps to ensure adequate protection for any international transfers.</w:t>
      </w:r>
    </w:p>
    <w:p>
      <w:pPr>
        <w:pBdr>
          <w:bottom w:val="single" w:color="C7D2FE" w:sz="4"/>
        </w:pBdr>
        <w:spacing w:after="160" w:before="360"/>
      </w:pPr>
      <w:r>
        <w:rPr>
          <w:rFonts w:ascii="Calibri" w:cs="Calibri" w:eastAsia="Calibri" w:hAnsi="Calibri"/>
          <w:b/>
          <w:bCs/>
          <w:caps/>
          <w:color w:val="1E3A5F"/>
          <w:sz w:val="26"/>
          <w:szCs w:val="26"/>
        </w:rPr>
        <w:t xml:space="preserve">9. Data Retention</w:t>
      </w:r>
    </w:p>
    <w:p>
      <w:pPr>
        <w:pStyle w:val="ListParagraph"/>
        <w:numPr>
          <w:ilvl w:val="0"/>
          <w:numId w:val="1"/>
        </w:numPr>
        <w:spacing w:after="40" w:before="40"/>
      </w:pPr>
      <w:r>
        <w:rPr>
          <w:rFonts w:ascii="Calibri" w:cs="Calibri" w:eastAsia="Calibri" w:hAnsi="Calibri"/>
          <w:color w:val="374151"/>
          <w:sz w:val="20"/>
          <w:szCs w:val="20"/>
        </w:rPr>
        <w:t xml:space="preserve">Student and teacher account data: retained for the duration of the school subscription plus 12 months</w:t>
      </w:r>
    </w:p>
    <w:p>
      <w:pPr>
        <w:pStyle w:val="ListParagraph"/>
        <w:numPr>
          <w:ilvl w:val="0"/>
          <w:numId w:val="1"/>
        </w:numPr>
        <w:spacing w:after="40" w:before="40"/>
      </w:pPr>
      <w:r>
        <w:rPr>
          <w:rFonts w:ascii="Calibri" w:cs="Calibri" w:eastAsia="Calibri" w:hAnsi="Calibri"/>
          <w:color w:val="374151"/>
          <w:sz w:val="20"/>
          <w:szCs w:val="20"/>
        </w:rPr>
        <w:t xml:space="preserve">Project and educational content: retained for the duration of the school subscription plus 12 months</w:t>
      </w:r>
    </w:p>
    <w:p>
      <w:pPr>
        <w:pStyle w:val="ListParagraph"/>
        <w:numPr>
          <w:ilvl w:val="0"/>
          <w:numId w:val="1"/>
        </w:numPr>
        <w:spacing w:after="40" w:before="40"/>
      </w:pPr>
      <w:r>
        <w:rPr>
          <w:rFonts w:ascii="Calibri" w:cs="Calibri" w:eastAsia="Calibri" w:hAnsi="Calibri"/>
          <w:color w:val="374151"/>
          <w:sz w:val="20"/>
          <w:szCs w:val="20"/>
        </w:rPr>
        <w:t xml:space="preserve">Usage logs: 90 days</w:t>
      </w:r>
    </w:p>
    <w:p>
      <w:pPr>
        <w:pStyle w:val="ListParagraph"/>
        <w:numPr>
          <w:ilvl w:val="0"/>
          <w:numId w:val="1"/>
        </w:numPr>
        <w:spacing w:after="40" w:before="40"/>
      </w:pPr>
      <w:r>
        <w:rPr>
          <w:rFonts w:ascii="Calibri" w:cs="Calibri" w:eastAsia="Calibri" w:hAnsi="Calibri"/>
          <w:color w:val="374151"/>
          <w:sz w:val="20"/>
          <w:szCs w:val="20"/>
        </w:rPr>
        <w:t xml:space="preserve">Authentication tokens: session-based</w:t>
      </w:r>
    </w:p>
    <w:p>
      <w:pPr>
        <w:pStyle w:val="ListParagraph"/>
        <w:numPr>
          <w:ilvl w:val="0"/>
          <w:numId w:val="1"/>
        </w:numPr>
        <w:spacing w:after="40" w:before="40"/>
      </w:pPr>
      <w:r>
        <w:rPr>
          <w:rFonts w:ascii="Calibri" w:cs="Calibri" w:eastAsia="Calibri" w:hAnsi="Calibri"/>
          <w:color w:val="374151"/>
          <w:sz w:val="20"/>
          <w:szCs w:val="20"/>
        </w:rPr>
        <w:t xml:space="preserve">After retention periods, data is securely deleted or anonymised</w:t>
      </w:r>
    </w:p>
    <w:p>
      <w:pPr>
        <w:pStyle w:val="ListParagraph"/>
        <w:numPr>
          <w:ilvl w:val="0"/>
          <w:numId w:val="1"/>
        </w:numPr>
        <w:spacing w:after="40" w:before="40"/>
      </w:pPr>
      <w:r>
        <w:rPr>
          <w:rFonts w:ascii="Calibri" w:cs="Calibri" w:eastAsia="Calibri" w:hAnsi="Calibri"/>
          <w:color w:val="374151"/>
          <w:sz w:val="20"/>
          <w:szCs w:val="20"/>
        </w:rPr>
        <w:t xml:space="preserve">Schools may request early deletion at any time</w:t>
      </w:r>
    </w:p>
    <w:p>
      <w:pPr>
        <w:pBdr>
          <w:bottom w:val="single" w:color="C7D2FE" w:sz="4"/>
        </w:pBdr>
        <w:spacing w:after="160" w:before="360"/>
      </w:pPr>
      <w:r>
        <w:rPr>
          <w:rFonts w:ascii="Calibri" w:cs="Calibri" w:eastAsia="Calibri" w:hAnsi="Calibri"/>
          <w:b/>
          <w:bCs/>
          <w:caps/>
          <w:color w:val="1E3A5F"/>
          <w:sz w:val="26"/>
          <w:szCs w:val="26"/>
        </w:rPr>
        <w:t xml:space="preserve">10. Children's Privacy</w:t>
      </w:r>
    </w:p>
    <w:p>
      <w:pPr>
        <w:spacing w:after="100" w:before="60"/>
      </w:pPr>
      <w:r>
        <w:rPr>
          <w:rFonts w:ascii="Calibri" w:cs="Calibri" w:eastAsia="Calibri" w:hAnsi="Calibri"/>
          <w:color w:val="374151"/>
          <w:sz w:val="20"/>
          <w:szCs w:val="20"/>
        </w:rPr>
        <w:t xml:space="preserve">ByteBuddies is designed for students aged 8 to 18. We take children's privacy seriously:</w:t>
      </w:r>
    </w:p>
    <w:p>
      <w:pPr>
        <w:pStyle w:val="ListParagraph"/>
        <w:numPr>
          <w:ilvl w:val="0"/>
          <w:numId w:val="1"/>
        </w:numPr>
        <w:spacing w:after="40" w:before="40"/>
      </w:pPr>
      <w:r>
        <w:rPr>
          <w:rFonts w:ascii="Calibri" w:cs="Calibri" w:eastAsia="Calibri" w:hAnsi="Calibri"/>
          <w:color w:val="374151"/>
          <w:sz w:val="20"/>
          <w:szCs w:val="20"/>
        </w:rPr>
        <w:t xml:space="preserve">All student accounts are created and managed by schools</w:t>
      </w:r>
    </w:p>
    <w:p>
      <w:pPr>
        <w:pStyle w:val="ListParagraph"/>
        <w:numPr>
          <w:ilvl w:val="0"/>
          <w:numId w:val="1"/>
        </w:numPr>
        <w:spacing w:after="40" w:before="40"/>
      </w:pPr>
      <w:r>
        <w:rPr>
          <w:rFonts w:ascii="Calibri" w:cs="Calibri" w:eastAsia="Calibri" w:hAnsi="Calibri"/>
          <w:color w:val="374151"/>
          <w:sz w:val="20"/>
          <w:szCs w:val="20"/>
        </w:rPr>
        <w:t xml:space="preserve">Schools are responsible for obtaining appropriate parental or guardian consent</w:t>
      </w:r>
    </w:p>
    <w:p>
      <w:pPr>
        <w:pStyle w:val="ListParagraph"/>
        <w:numPr>
          <w:ilvl w:val="0"/>
          <w:numId w:val="1"/>
        </w:numPr>
        <w:spacing w:after="40" w:before="40"/>
      </w:pPr>
      <w:r>
        <w:rPr>
          <w:rFonts w:ascii="Calibri" w:cs="Calibri" w:eastAsia="Calibri" w:hAnsi="Calibri"/>
          <w:color w:val="374151"/>
          <w:sz w:val="20"/>
          <w:szCs w:val="20"/>
        </w:rPr>
        <w:t xml:space="preserve">We do not knowingly collect data from children without school authorisation</w:t>
      </w:r>
    </w:p>
    <w:p>
      <w:pPr>
        <w:pStyle w:val="ListParagraph"/>
        <w:numPr>
          <w:ilvl w:val="0"/>
          <w:numId w:val="1"/>
        </w:numPr>
        <w:spacing w:after="40" w:before="40"/>
      </w:pPr>
      <w:r>
        <w:rPr>
          <w:rFonts w:ascii="Calibri" w:cs="Calibri" w:eastAsia="Calibri" w:hAnsi="Calibri"/>
          <w:color w:val="374151"/>
          <w:sz w:val="20"/>
          <w:szCs w:val="20"/>
        </w:rPr>
        <w:t xml:space="preserve">We do not use children's data for advertising or profiling purposes</w:t>
      </w:r>
    </w:p>
    <w:p>
      <w:pPr>
        <w:pStyle w:val="ListParagraph"/>
        <w:numPr>
          <w:ilvl w:val="0"/>
          <w:numId w:val="1"/>
        </w:numPr>
        <w:spacing w:after="40" w:before="40"/>
      </w:pPr>
      <w:r>
        <w:rPr>
          <w:rFonts w:ascii="Calibri" w:cs="Calibri" w:eastAsia="Calibri" w:hAnsi="Calibri"/>
          <w:color w:val="374151"/>
          <w:sz w:val="20"/>
          <w:szCs w:val="20"/>
        </w:rPr>
        <w:t xml:space="preserve">Teachers and administrators have oversight of all student data</w:t>
      </w:r>
    </w:p>
    <w:p>
      <w:pPr>
        <w:pStyle w:val="ListParagraph"/>
        <w:numPr>
          <w:ilvl w:val="0"/>
          <w:numId w:val="1"/>
        </w:numPr>
        <w:spacing w:after="40" w:before="40"/>
      </w:pPr>
      <w:r>
        <w:rPr>
          <w:rFonts w:ascii="Calibri" w:cs="Calibri" w:eastAsia="Calibri" w:hAnsi="Calibri"/>
          <w:color w:val="374151"/>
          <w:sz w:val="20"/>
          <w:szCs w:val="20"/>
        </w:rPr>
        <w:t xml:space="preserve">Parents may request access to or deletion of their child's data through their school</w:t>
      </w:r>
    </w:p>
    <w:p>
      <w:pPr>
        <w:pBdr>
          <w:bottom w:val="single" w:color="C7D2FE" w:sz="4"/>
        </w:pBdr>
        <w:spacing w:after="160" w:before="360"/>
      </w:pPr>
      <w:r>
        <w:rPr>
          <w:rFonts w:ascii="Calibri" w:cs="Calibri" w:eastAsia="Calibri" w:hAnsi="Calibri"/>
          <w:b/>
          <w:bCs/>
          <w:caps/>
          <w:color w:val="1E3A5F"/>
          <w:sz w:val="26"/>
          <w:szCs w:val="26"/>
        </w:rPr>
        <w:t xml:space="preserve">11. School and Teacher Responsibilities</w:t>
      </w:r>
    </w:p>
    <w:p>
      <w:pPr>
        <w:spacing w:after="100" w:before="60"/>
      </w:pPr>
      <w:r>
        <w:rPr>
          <w:rFonts w:ascii="Calibri" w:cs="Calibri" w:eastAsia="Calibri" w:hAnsi="Calibri"/>
          <w:color w:val="374151"/>
          <w:sz w:val="20"/>
          <w:szCs w:val="20"/>
        </w:rPr>
        <w:t xml:space="preserve">Schools using ByteBuddies act as Data Controllers and are responsible for:</w:t>
      </w:r>
    </w:p>
    <w:p>
      <w:pPr>
        <w:pStyle w:val="ListParagraph"/>
        <w:numPr>
          <w:ilvl w:val="0"/>
          <w:numId w:val="1"/>
        </w:numPr>
        <w:spacing w:after="40" w:before="40"/>
      </w:pPr>
      <w:r>
        <w:rPr>
          <w:rFonts w:ascii="Calibri" w:cs="Calibri" w:eastAsia="Calibri" w:hAnsi="Calibri"/>
          <w:color w:val="374151"/>
          <w:sz w:val="20"/>
          <w:szCs w:val="20"/>
        </w:rPr>
        <w:t xml:space="preserve">Ensuring appropriate legal basis exists for processing student data</w:t>
      </w:r>
    </w:p>
    <w:p>
      <w:pPr>
        <w:pStyle w:val="ListParagraph"/>
        <w:numPr>
          <w:ilvl w:val="0"/>
          <w:numId w:val="1"/>
        </w:numPr>
        <w:spacing w:after="40" w:before="40"/>
      </w:pPr>
      <w:r>
        <w:rPr>
          <w:rFonts w:ascii="Calibri" w:cs="Calibri" w:eastAsia="Calibri" w:hAnsi="Calibri"/>
          <w:color w:val="374151"/>
          <w:sz w:val="20"/>
          <w:szCs w:val="20"/>
        </w:rPr>
        <w:t xml:space="preserve">Obtaining necessary parental/guardian consents</w:t>
      </w:r>
    </w:p>
    <w:p>
      <w:pPr>
        <w:pStyle w:val="ListParagraph"/>
        <w:numPr>
          <w:ilvl w:val="0"/>
          <w:numId w:val="1"/>
        </w:numPr>
        <w:spacing w:after="40" w:before="40"/>
      </w:pPr>
      <w:r>
        <w:rPr>
          <w:rFonts w:ascii="Calibri" w:cs="Calibri" w:eastAsia="Calibri" w:hAnsi="Calibri"/>
          <w:color w:val="374151"/>
          <w:sz w:val="20"/>
          <w:szCs w:val="20"/>
        </w:rPr>
        <w:t xml:space="preserve">Ensuring students and parents are informed of this Privacy Policy</w:t>
      </w:r>
    </w:p>
    <w:p>
      <w:pPr>
        <w:pStyle w:val="ListParagraph"/>
        <w:numPr>
          <w:ilvl w:val="0"/>
          <w:numId w:val="1"/>
        </w:numPr>
        <w:spacing w:after="40" w:before="40"/>
      </w:pPr>
      <w:r>
        <w:rPr>
          <w:rFonts w:ascii="Calibri" w:cs="Calibri" w:eastAsia="Calibri" w:hAnsi="Calibri"/>
          <w:color w:val="374151"/>
          <w:sz w:val="20"/>
          <w:szCs w:val="20"/>
        </w:rPr>
        <w:t xml:space="preserve">Managing teacher access and permissions within the platform</w:t>
      </w:r>
    </w:p>
    <w:p>
      <w:pPr>
        <w:pStyle w:val="ListParagraph"/>
        <w:numPr>
          <w:ilvl w:val="0"/>
          <w:numId w:val="1"/>
        </w:numPr>
        <w:spacing w:after="40" w:before="40"/>
      </w:pPr>
      <w:r>
        <w:rPr>
          <w:rFonts w:ascii="Calibri" w:cs="Calibri" w:eastAsia="Calibri" w:hAnsi="Calibri"/>
          <w:color w:val="374151"/>
          <w:sz w:val="20"/>
          <w:szCs w:val="20"/>
        </w:rPr>
        <w:t xml:space="preserve">Submitting data subject requests on behalf of students</w:t>
      </w:r>
    </w:p>
    <w:p>
      <w:pPr>
        <w:pStyle w:val="ListParagraph"/>
        <w:numPr>
          <w:ilvl w:val="0"/>
          <w:numId w:val="1"/>
        </w:numPr>
        <w:spacing w:after="40" w:before="40"/>
      </w:pPr>
      <w:r>
        <w:rPr>
          <w:rFonts w:ascii="Calibri" w:cs="Calibri" w:eastAsia="Calibri" w:hAnsi="Calibri"/>
          <w:color w:val="374151"/>
          <w:sz w:val="20"/>
          <w:szCs w:val="20"/>
        </w:rPr>
        <w:t xml:space="preserve">Complying with UAE PDPL obligations as Data Controllers</w:t>
      </w:r>
    </w:p>
    <w:p>
      <w:pPr>
        <w:pBdr>
          <w:bottom w:val="single" w:color="C7D2FE" w:sz="4"/>
        </w:pBdr>
        <w:spacing w:after="160" w:before="360"/>
      </w:pPr>
      <w:r>
        <w:rPr>
          <w:rFonts w:ascii="Calibri" w:cs="Calibri" w:eastAsia="Calibri" w:hAnsi="Calibri"/>
          <w:b/>
          <w:bCs/>
          <w:caps/>
          <w:color w:val="1E3A5F"/>
          <w:sz w:val="26"/>
          <w:szCs w:val="26"/>
        </w:rPr>
        <w:t xml:space="preserve">12. User Rights Under UAE PDPL (Art. 8-14)</w:t>
      </w:r>
    </w:p>
    <w:p>
      <w:pPr>
        <w:spacing w:after="100" w:before="60"/>
      </w:pPr>
      <w:r>
        <w:rPr>
          <w:rFonts w:ascii="Calibri" w:cs="Calibri" w:eastAsia="Calibri" w:hAnsi="Calibri"/>
          <w:color w:val="374151"/>
          <w:sz w:val="20"/>
          <w:szCs w:val="20"/>
        </w:rPr>
        <w:t xml:space="preserve">Data subjects have the right to:</w:t>
      </w:r>
    </w:p>
    <w:p>
      <w:pPr>
        <w:spacing w:after="80" w:before="80"/>
      </w:pPr>
      <w:r>
        <w:rPr>
          <w:rFonts w:ascii="Calibri" w:cs="Calibri" w:eastAsia="Calibri" w:hAnsi="Calibri"/>
          <w:b/>
          <w:bCs/>
          <w:color w:val="1E3A5F"/>
          <w:sz w:val="20"/>
          <w:szCs w:val="20"/>
        </w:rPr>
        <w:t xml:space="preserve">12.1. </w:t>
      </w:r>
      <w:r>
        <w:rPr>
          <w:rFonts w:ascii="Calibri" w:cs="Calibri" w:eastAsia="Calibri" w:hAnsi="Calibri"/>
          <w:b/>
          <w:bCs/>
          <w:color w:val="374151"/>
          <w:sz w:val="20"/>
          <w:szCs w:val="20"/>
        </w:rPr>
        <w:t xml:space="preserve">Access: </w:t>
      </w:r>
      <w:r>
        <w:rPr>
          <w:rFonts w:ascii="Calibri" w:cs="Calibri" w:eastAsia="Calibri" w:hAnsi="Calibri"/>
          <w:color w:val="374151"/>
          <w:sz w:val="20"/>
          <w:szCs w:val="20"/>
        </w:rPr>
        <w:t xml:space="preserve">Request a copy of personal data we hold.</w:t>
      </w:r>
    </w:p>
    <w:p>
      <w:pPr>
        <w:spacing w:after="80" w:before="80"/>
      </w:pPr>
      <w:r>
        <w:rPr>
          <w:rFonts w:ascii="Calibri" w:cs="Calibri" w:eastAsia="Calibri" w:hAnsi="Calibri"/>
          <w:b/>
          <w:bCs/>
          <w:color w:val="1E3A5F"/>
          <w:sz w:val="20"/>
          <w:szCs w:val="20"/>
        </w:rPr>
        <w:t xml:space="preserve">12.2. </w:t>
      </w:r>
      <w:r>
        <w:rPr>
          <w:rFonts w:ascii="Calibri" w:cs="Calibri" w:eastAsia="Calibri" w:hAnsi="Calibri"/>
          <w:b/>
          <w:bCs/>
          <w:color w:val="374151"/>
          <w:sz w:val="20"/>
          <w:szCs w:val="20"/>
        </w:rPr>
        <w:t xml:space="preserve">Correction: </w:t>
      </w:r>
      <w:r>
        <w:rPr>
          <w:rFonts w:ascii="Calibri" w:cs="Calibri" w:eastAsia="Calibri" w:hAnsi="Calibri"/>
          <w:color w:val="374151"/>
          <w:sz w:val="20"/>
          <w:szCs w:val="20"/>
        </w:rPr>
        <w:t xml:space="preserve">Request correction of inaccurate or incomplete data.</w:t>
      </w:r>
    </w:p>
    <w:p>
      <w:pPr>
        <w:spacing w:after="80" w:before="80"/>
      </w:pPr>
      <w:r>
        <w:rPr>
          <w:rFonts w:ascii="Calibri" w:cs="Calibri" w:eastAsia="Calibri" w:hAnsi="Calibri"/>
          <w:b/>
          <w:bCs/>
          <w:color w:val="1E3A5F"/>
          <w:sz w:val="20"/>
          <w:szCs w:val="20"/>
        </w:rPr>
        <w:t xml:space="preserve">12.3. </w:t>
      </w:r>
      <w:r>
        <w:rPr>
          <w:rFonts w:ascii="Calibri" w:cs="Calibri" w:eastAsia="Calibri" w:hAnsi="Calibri"/>
          <w:b/>
          <w:bCs/>
          <w:color w:val="374151"/>
          <w:sz w:val="20"/>
          <w:szCs w:val="20"/>
        </w:rPr>
        <w:t xml:space="preserve">Deletion: </w:t>
      </w:r>
      <w:r>
        <w:rPr>
          <w:rFonts w:ascii="Calibri" w:cs="Calibri" w:eastAsia="Calibri" w:hAnsi="Calibri"/>
          <w:color w:val="374151"/>
          <w:sz w:val="20"/>
          <w:szCs w:val="20"/>
        </w:rPr>
        <w:t xml:space="preserve">Request deletion of personal data (subject to legal obligations).</w:t>
      </w:r>
    </w:p>
    <w:p>
      <w:pPr>
        <w:spacing w:after="80" w:before="80"/>
      </w:pPr>
      <w:r>
        <w:rPr>
          <w:rFonts w:ascii="Calibri" w:cs="Calibri" w:eastAsia="Calibri" w:hAnsi="Calibri"/>
          <w:b/>
          <w:bCs/>
          <w:color w:val="1E3A5F"/>
          <w:sz w:val="20"/>
          <w:szCs w:val="20"/>
        </w:rPr>
        <w:t xml:space="preserve">12.4. </w:t>
      </w:r>
      <w:r>
        <w:rPr>
          <w:rFonts w:ascii="Calibri" w:cs="Calibri" w:eastAsia="Calibri" w:hAnsi="Calibri"/>
          <w:b/>
          <w:bCs/>
          <w:color w:val="374151"/>
          <w:sz w:val="20"/>
          <w:szCs w:val="20"/>
        </w:rPr>
        <w:t xml:space="preserve">Objection: </w:t>
      </w:r>
      <w:r>
        <w:rPr>
          <w:rFonts w:ascii="Calibri" w:cs="Calibri" w:eastAsia="Calibri" w:hAnsi="Calibri"/>
          <w:color w:val="374151"/>
          <w:sz w:val="20"/>
          <w:szCs w:val="20"/>
        </w:rPr>
        <w:t xml:space="preserve">Object to certain processing activities.</w:t>
      </w:r>
    </w:p>
    <w:p>
      <w:pPr>
        <w:spacing w:after="80" w:before="80"/>
      </w:pPr>
      <w:r>
        <w:rPr>
          <w:rFonts w:ascii="Calibri" w:cs="Calibri" w:eastAsia="Calibri" w:hAnsi="Calibri"/>
          <w:b/>
          <w:bCs/>
          <w:color w:val="1E3A5F"/>
          <w:sz w:val="20"/>
          <w:szCs w:val="20"/>
        </w:rPr>
        <w:t xml:space="preserve">12.5. </w:t>
      </w:r>
      <w:r>
        <w:rPr>
          <w:rFonts w:ascii="Calibri" w:cs="Calibri" w:eastAsia="Calibri" w:hAnsi="Calibri"/>
          <w:b/>
          <w:bCs/>
          <w:color w:val="374151"/>
          <w:sz w:val="20"/>
          <w:szCs w:val="20"/>
        </w:rPr>
        <w:t xml:space="preserve">Data Portability: </w:t>
      </w:r>
      <w:r>
        <w:rPr>
          <w:rFonts w:ascii="Calibri" w:cs="Calibri" w:eastAsia="Calibri" w:hAnsi="Calibri"/>
          <w:color w:val="374151"/>
          <w:sz w:val="20"/>
          <w:szCs w:val="20"/>
        </w:rPr>
        <w:t xml:space="preserve">Request transfer of data in a machine-readable format.</w:t>
      </w:r>
    </w:p>
    <w:p>
      <w:pPr>
        <w:spacing w:after="80" w:before="80"/>
      </w:pPr>
      <w:r>
        <w:rPr>
          <w:rFonts w:ascii="Calibri" w:cs="Calibri" w:eastAsia="Calibri" w:hAnsi="Calibri"/>
          <w:b/>
          <w:bCs/>
          <w:color w:val="1E3A5F"/>
          <w:sz w:val="20"/>
          <w:szCs w:val="20"/>
        </w:rPr>
        <w:t xml:space="preserve">12.6. </w:t>
      </w:r>
      <w:r>
        <w:rPr>
          <w:rFonts w:ascii="Calibri" w:cs="Calibri" w:eastAsia="Calibri" w:hAnsi="Calibri"/>
          <w:b/>
          <w:bCs/>
          <w:color w:val="374151"/>
          <w:sz w:val="20"/>
          <w:szCs w:val="20"/>
        </w:rPr>
        <w:t xml:space="preserve">Withdraw Consent: </w:t>
      </w:r>
      <w:r>
        <w:rPr>
          <w:rFonts w:ascii="Calibri" w:cs="Calibri" w:eastAsia="Calibri" w:hAnsi="Calibri"/>
          <w:color w:val="374151"/>
          <w:sz w:val="20"/>
          <w:szCs w:val="20"/>
        </w:rPr>
        <w:t xml:space="preserve">Where processing is based on consent, withdraw it at any time.</w:t>
      </w:r>
    </w:p>
    <w:p>
      <w:pPr>
        <w:spacing w:after="100" w:before="60"/>
      </w:pPr>
      <w:r>
        <w:rPr>
          <w:rFonts w:ascii="Calibri" w:cs="Calibri" w:eastAsia="Calibri" w:hAnsi="Calibri"/>
          <w:color w:val="374151"/>
          <w:sz w:val="20"/>
          <w:szCs w:val="20"/>
        </w:rPr>
        <w:t xml:space="preserve">To exercise rights, students and parents should contact their school administrator. Schools may submit requests to privacy@bytebuddies.technology. We will respond within 30 days as required by UAE PDPL.</w:t>
      </w:r>
    </w:p>
    <w:p>
      <w:pPr>
        <w:pBdr>
          <w:bottom w:val="single" w:color="C7D2FE" w:sz="4"/>
        </w:pBdr>
        <w:spacing w:after="160" w:before="360"/>
      </w:pPr>
      <w:r>
        <w:rPr>
          <w:rFonts w:ascii="Calibri" w:cs="Calibri" w:eastAsia="Calibri" w:hAnsi="Calibri"/>
          <w:b/>
          <w:bCs/>
          <w:caps/>
          <w:color w:val="1E3A5F"/>
          <w:sz w:val="26"/>
          <w:szCs w:val="26"/>
        </w:rPr>
        <w:t xml:space="preserve">13. Cookies and Tracking</w:t>
      </w:r>
    </w:p>
    <w:p>
      <w:pPr>
        <w:spacing w:after="100" w:before="60"/>
      </w:pPr>
      <w:r>
        <w:rPr>
          <w:rFonts w:ascii="Calibri" w:cs="Calibri" w:eastAsia="Calibri" w:hAnsi="Calibri"/>
          <w:color w:val="374151"/>
          <w:sz w:val="20"/>
          <w:szCs w:val="20"/>
        </w:rPr>
        <w:t xml:space="preserve">We use essential cookies for:</w:t>
      </w:r>
    </w:p>
    <w:p>
      <w:pPr>
        <w:pStyle w:val="ListParagraph"/>
        <w:numPr>
          <w:ilvl w:val="0"/>
          <w:numId w:val="1"/>
        </w:numPr>
        <w:spacing w:after="40" w:before="40"/>
      </w:pPr>
      <w:r>
        <w:rPr>
          <w:rFonts w:ascii="Calibri" w:cs="Calibri" w:eastAsia="Calibri" w:hAnsi="Calibri"/>
          <w:color w:val="374151"/>
          <w:sz w:val="20"/>
          <w:szCs w:val="20"/>
        </w:rPr>
        <w:t xml:space="preserve">Session management and authentication</w:t>
      </w:r>
    </w:p>
    <w:p>
      <w:pPr>
        <w:pStyle w:val="ListParagraph"/>
        <w:numPr>
          <w:ilvl w:val="0"/>
          <w:numId w:val="1"/>
        </w:numPr>
        <w:spacing w:after="40" w:before="40"/>
      </w:pPr>
      <w:r>
        <w:rPr>
          <w:rFonts w:ascii="Calibri" w:cs="Calibri" w:eastAsia="Calibri" w:hAnsi="Calibri"/>
          <w:color w:val="374151"/>
          <w:sz w:val="20"/>
          <w:szCs w:val="20"/>
        </w:rPr>
        <w:t xml:space="preserve">Security and fraud prevention</w:t>
      </w:r>
    </w:p>
    <w:p>
      <w:pPr>
        <w:pStyle w:val="ListParagraph"/>
        <w:numPr>
          <w:ilvl w:val="0"/>
          <w:numId w:val="1"/>
        </w:numPr>
        <w:spacing w:after="40" w:before="40"/>
      </w:pPr>
      <w:r>
        <w:rPr>
          <w:rFonts w:ascii="Calibri" w:cs="Calibri" w:eastAsia="Calibri" w:hAnsi="Calibri"/>
          <w:color w:val="374151"/>
          <w:sz w:val="20"/>
          <w:szCs w:val="20"/>
        </w:rPr>
        <w:t xml:space="preserve">Remembering user preferences (theme, settings)</w:t>
      </w:r>
    </w:p>
    <w:p>
      <w:pPr>
        <w:spacing w:after="100" w:before="60"/>
      </w:pPr>
      <w:r>
        <w:rPr>
          <w:rFonts w:ascii="Calibri" w:cs="Calibri" w:eastAsia="Calibri" w:hAnsi="Calibri"/>
          <w:color w:val="374151"/>
          <w:sz w:val="20"/>
          <w:szCs w:val="20"/>
        </w:rPr>
        <w:t xml:space="preserve">We do not use advertising or third-party tracking cookies. Browser local storage is used to save user progress and settings.</w:t>
      </w:r>
    </w:p>
    <w:p>
      <w:pPr>
        <w:pBdr>
          <w:bottom w:val="single" w:color="C7D2FE" w:sz="4"/>
        </w:pBdr>
        <w:spacing w:after="160" w:before="360"/>
      </w:pPr>
      <w:r>
        <w:rPr>
          <w:rFonts w:ascii="Calibri" w:cs="Calibri" w:eastAsia="Calibri" w:hAnsi="Calibri"/>
          <w:b/>
          <w:bCs/>
          <w:caps/>
          <w:color w:val="1E3A5F"/>
          <w:sz w:val="26"/>
          <w:szCs w:val="26"/>
        </w:rPr>
        <w:t xml:space="preserve">14. Data Security</w:t>
      </w:r>
    </w:p>
    <w:p>
      <w:pPr>
        <w:spacing w:after="100" w:before="60"/>
      </w:pPr>
      <w:r>
        <w:rPr>
          <w:rFonts w:ascii="Calibri" w:cs="Calibri" w:eastAsia="Calibri" w:hAnsi="Calibri"/>
          <w:color w:val="374151"/>
          <w:sz w:val="20"/>
          <w:szCs w:val="20"/>
        </w:rPr>
        <w:t xml:space="preserve">We implement appropriate technical and organisational measures including:</w:t>
      </w:r>
    </w:p>
    <w:p>
      <w:pPr>
        <w:pStyle w:val="ListParagraph"/>
        <w:numPr>
          <w:ilvl w:val="0"/>
          <w:numId w:val="1"/>
        </w:numPr>
        <w:spacing w:after="40" w:before="40"/>
      </w:pPr>
      <w:r>
        <w:rPr>
          <w:rFonts w:ascii="Calibri" w:cs="Calibri" w:eastAsia="Calibri" w:hAnsi="Calibri"/>
          <w:color w:val="374151"/>
          <w:sz w:val="20"/>
          <w:szCs w:val="20"/>
        </w:rPr>
        <w:t xml:space="preserve">TLS 1.3 encryption for all data in transit</w:t>
      </w:r>
    </w:p>
    <w:p>
      <w:pPr>
        <w:pStyle w:val="ListParagraph"/>
        <w:numPr>
          <w:ilvl w:val="0"/>
          <w:numId w:val="1"/>
        </w:numPr>
        <w:spacing w:after="40" w:before="40"/>
      </w:pPr>
      <w:r>
        <w:rPr>
          <w:rFonts w:ascii="Calibri" w:cs="Calibri" w:eastAsia="Calibri" w:hAnsi="Calibri"/>
          <w:color w:val="374151"/>
          <w:sz w:val="20"/>
          <w:szCs w:val="20"/>
        </w:rPr>
        <w:t xml:space="preserve">Secure hosting on Oracle Cloud UAE with access controls</w:t>
      </w:r>
    </w:p>
    <w:p>
      <w:pPr>
        <w:pStyle w:val="ListParagraph"/>
        <w:numPr>
          <w:ilvl w:val="0"/>
          <w:numId w:val="1"/>
        </w:numPr>
        <w:spacing w:after="40" w:before="40"/>
      </w:pPr>
      <w:r>
        <w:rPr>
          <w:rFonts w:ascii="Calibri" w:cs="Calibri" w:eastAsia="Calibri" w:hAnsi="Calibri"/>
          <w:color w:val="374151"/>
          <w:sz w:val="20"/>
          <w:szCs w:val="20"/>
        </w:rPr>
        <w:t xml:space="preserve">Firebase Authentication with OAuth 2.0</w:t>
      </w:r>
    </w:p>
    <w:p>
      <w:pPr>
        <w:pStyle w:val="ListParagraph"/>
        <w:numPr>
          <w:ilvl w:val="0"/>
          <w:numId w:val="1"/>
        </w:numPr>
        <w:spacing w:after="40" w:before="40"/>
      </w:pPr>
      <w:r>
        <w:rPr>
          <w:rFonts w:ascii="Calibri" w:cs="Calibri" w:eastAsia="Calibri" w:hAnsi="Calibri"/>
          <w:color w:val="374151"/>
          <w:sz w:val="20"/>
          <w:szCs w:val="20"/>
        </w:rPr>
        <w:t xml:space="preserve">Regular security assessments</w:t>
      </w:r>
    </w:p>
    <w:p>
      <w:pPr>
        <w:pStyle w:val="ListParagraph"/>
        <w:numPr>
          <w:ilvl w:val="0"/>
          <w:numId w:val="1"/>
        </w:numPr>
        <w:spacing w:after="40" w:before="40"/>
      </w:pPr>
      <w:r>
        <w:rPr>
          <w:rFonts w:ascii="Calibri" w:cs="Calibri" w:eastAsia="Calibri" w:hAnsi="Calibri"/>
          <w:color w:val="374151"/>
          <w:sz w:val="20"/>
          <w:szCs w:val="20"/>
        </w:rPr>
        <w:t xml:space="preserve">Restricted staff access on a need-to-know basis</w:t>
      </w:r>
    </w:p>
    <w:p>
      <w:pPr>
        <w:pStyle w:val="ListParagraph"/>
        <w:numPr>
          <w:ilvl w:val="0"/>
          <w:numId w:val="1"/>
        </w:numPr>
        <w:spacing w:after="40" w:before="40"/>
      </w:pPr>
      <w:r>
        <w:rPr>
          <w:rFonts w:ascii="Calibri" w:cs="Calibri" w:eastAsia="Calibri" w:hAnsi="Calibri"/>
          <w:color w:val="374151"/>
          <w:sz w:val="20"/>
          <w:szCs w:val="20"/>
        </w:rPr>
        <w:t xml:space="preserve">Incident response procedures</w:t>
      </w:r>
    </w:p>
    <w:p>
      <w:pPr>
        <w:spacing w:after="100" w:before="60"/>
      </w:pPr>
      <w:r>
        <w:rPr>
          <w:rFonts w:ascii="Calibri" w:cs="Calibri" w:eastAsia="Calibri" w:hAnsi="Calibri"/>
          <w:color w:val="374151"/>
          <w:sz w:val="20"/>
          <w:szCs w:val="20"/>
        </w:rPr>
        <w:t xml:space="preserve">In the event of a data breach affecting personal data, we will notify affected schools and the UAE Data Office as required by law.</w:t>
      </w:r>
    </w:p>
    <w:p>
      <w:pPr>
        <w:pBdr>
          <w:bottom w:val="single" w:color="C7D2FE" w:sz="4"/>
        </w:pBdr>
        <w:spacing w:after="160" w:before="360"/>
      </w:pPr>
      <w:r>
        <w:rPr>
          <w:rFonts w:ascii="Calibri" w:cs="Calibri" w:eastAsia="Calibri" w:hAnsi="Calibri"/>
          <w:b/>
          <w:bCs/>
          <w:caps/>
          <w:color w:val="1E3A5F"/>
          <w:sz w:val="26"/>
          <w:szCs w:val="26"/>
        </w:rPr>
        <w:t xml:space="preserve">15. Changes to This Policy</w:t>
      </w:r>
    </w:p>
    <w:p>
      <w:pPr>
        <w:spacing w:after="100" w:before="60"/>
      </w:pPr>
      <w:r>
        <w:rPr>
          <w:rFonts w:ascii="Calibri" w:cs="Calibri" w:eastAsia="Calibri" w:hAnsi="Calibri"/>
          <w:color w:val="374151"/>
          <w:sz w:val="20"/>
          <w:szCs w:val="20"/>
        </w:rPr>
        <w:t xml:space="preserve">We may update this Privacy Policy from time to time. We will notify schools of material changes by email at least 30 days before they take effect. Continued use of the platform after changes constitutes acceptance of the updated policy. The current version is always available at www.bytebuddies.technology/privacy.</w:t>
      </w:r>
    </w:p>
    <w:p>
      <w:pPr>
        <w:pBdr>
          <w:bottom w:val="single" w:color="C7D2FE" w:sz="4"/>
        </w:pBdr>
        <w:spacing w:after="160" w:before="360"/>
      </w:pPr>
      <w:r>
        <w:rPr>
          <w:rFonts w:ascii="Calibri" w:cs="Calibri" w:eastAsia="Calibri" w:hAnsi="Calibri"/>
          <w:b/>
          <w:bCs/>
          <w:caps/>
          <w:color w:val="1E3A5F"/>
          <w:sz w:val="26"/>
          <w:szCs w:val="26"/>
        </w:rPr>
        <w:t xml:space="preserve">16. Contact Information</w:t>
      </w:r>
    </w:p>
    <w:p>
      <w:pPr>
        <w:spacing w:after="100" w:before="60"/>
      </w:pPr>
      <w:r>
        <w:rPr>
          <w:rFonts w:ascii="Calibri" w:cs="Calibri" w:eastAsia="Calibri" w:hAnsi="Calibri"/>
          <w:color w:val="374151"/>
          <w:sz w:val="20"/>
          <w:szCs w:val="20"/>
        </w:rPr>
        <w:t xml:space="preserve">For privacy-related queries:</w:t>
      </w:r>
    </w:p>
    <w:p>
      <w:pPr>
        <w:pStyle w:val="ListParagraph"/>
        <w:numPr>
          <w:ilvl w:val="0"/>
          <w:numId w:val="1"/>
        </w:numPr>
        <w:spacing w:after="40" w:before="40"/>
      </w:pPr>
      <w:r>
        <w:rPr>
          <w:rFonts w:ascii="Calibri" w:cs="Calibri" w:eastAsia="Calibri" w:hAnsi="Calibri"/>
          <w:color w:val="374151"/>
          <w:sz w:val="20"/>
          <w:szCs w:val="20"/>
        </w:rPr>
        <w:t xml:space="preserve">Email: privacy@bytebuddies.technology</w:t>
      </w:r>
    </w:p>
    <w:p>
      <w:pPr>
        <w:pStyle w:val="ListParagraph"/>
        <w:numPr>
          <w:ilvl w:val="0"/>
          <w:numId w:val="1"/>
        </w:numPr>
        <w:spacing w:after="40" w:before="40"/>
      </w:pPr>
      <w:r>
        <w:rPr>
          <w:rFonts w:ascii="Calibri" w:cs="Calibri" w:eastAsia="Calibri" w:hAnsi="Calibri"/>
          <w:color w:val="374151"/>
          <w:sz w:val="20"/>
          <w:szCs w:val="20"/>
        </w:rPr>
        <w:t xml:space="preserve">Website: www.bytebuddies.technology</w:t>
      </w:r>
    </w:p>
    <w:p>
      <w:pPr>
        <w:pStyle w:val="ListParagraph"/>
        <w:numPr>
          <w:ilvl w:val="0"/>
          <w:numId w:val="1"/>
        </w:numPr>
        <w:spacing w:after="40" w:before="40"/>
      </w:pPr>
      <w:r>
        <w:rPr>
          <w:rFonts w:ascii="Calibri" w:cs="Calibri" w:eastAsia="Calibri" w:hAnsi="Calibri"/>
          <w:color w:val="374151"/>
          <w:sz w:val="20"/>
          <w:szCs w:val="20"/>
        </w:rPr>
        <w:t xml:space="preserve">UAE Data Office: For unresolved complaints, you may contact the UAE Data Office at www.dataoffice.gov.ae</w:t>
      </w:r>
    </w:p>
    <w:p>
      <w:pPr>
        <w:spacing w:after="0" w:before="200"/>
      </w:pPr>
    </w:p>
    <w:p>
      <w:pPr>
        <w:pBdr>
          <w:top w:val="single" w:color="D1D5DB" w:sz="4"/>
        </w:pBdr>
        <w:spacing w:after="0" w:before="200"/>
        <w:jc w:val="right"/>
      </w:pPr>
      <w:r>
        <w:rPr>
          <w:rFonts w:ascii="Calibri" w:cs="Calibri" w:eastAsia="Calibri" w:hAnsi="Calibri"/>
          <w:i/>
          <w:iCs/>
          <w:color w:val="9CA3AF"/>
          <w:sz w:val="16"/>
          <w:szCs w:val="16"/>
        </w:rPr>
        <w:t xml:space="preserve">Last updated: March 2026  |  Version 1.0</w:t>
      </w:r>
    </w:p>
    <w:sectPr>
      <w:footerReference w:type="default" r:id="rId7"/>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center"/>
    </w:pPr>
    <w:r>
      <w:rPr>
        <w:rFonts w:ascii="Calibri" w:cs="Calibri" w:eastAsia="Calibri" w:hAnsi="Calibri"/>
        <w:color w:val="6B7280"/>
        <w:sz w:val="16"/>
        <w:szCs w:val="16"/>
      </w:rPr>
      <w:t xml:space="preserve">ByteBuddies | www.bytebuddies.technology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2026-03-25T08:55:30.520Z</dcterms:created>
  <dcterms:modified xsi:type="dcterms:W3CDTF">2026-03-25T08:55:30.521Z</dcterms:modified>
</cp:coreProperties>
</file>

<file path=docProps/custom.xml><?xml version="1.0" encoding="utf-8"?>
<Properties xmlns="http://schemas.openxmlformats.org/officeDocument/2006/custom-properties" xmlns:vt="http://schemas.openxmlformats.org/officeDocument/2006/docPropsVTypes"/>
</file>