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75B6"/>
          <w:sz w:val="48"/>
          <w:szCs w:val="48"/>
        </w:rPr>
        <w:t xml:space="preserve">CRIS</w:t>
      </w:r>
      <w:r>
        <w:rPr>
          <w:color w:val="666666"/>
          <w:sz w:val="24"/>
          <w:szCs w:val="24"/>
        </w:rPr>
        <w:t xml:space="preserve">  Collaborative Research &amp; Insight System</w:t>
      </w:r>
    </w:p>
    <w:p>
      <w:pPr>
        <w:spacing w:after="240"/>
      </w:pPr>
      <w:r>
        <w:rPr>
          <w:i/>
          <w:iCs/>
          <w:sz w:val="22"/>
          <w:szCs w:val="22"/>
        </w:rPr>
        <w:t xml:space="preserve">Research Observatory for Knowledge Workers at Scale</w:t>
      </w:r>
    </w:p>
    <w:p>
      <w:pPr>
        <w:spacing w:after="120"/>
      </w:pPr>
      <w:r>
        <w:rPr>
          <w:b/>
          <w:bCs/>
          <w:color w:val="2E75B6"/>
          <w:sz w:val="24"/>
          <w:szCs w:val="24"/>
        </w:rPr>
        <w:t xml:space="preserve">The Problem</w:t>
      </w:r>
    </w:p>
    <w:p>
      <w:pPr>
        <w:spacing w:after="180"/>
      </w:pPr>
      <w:r>
        <w:rPr>
          <w:sz w:val="20"/>
          <w:szCs w:val="20"/>
        </w:rPr>
        <w:t xml:space="preserve">You're processing 40-60 sources per week. Insights pile up. Citations blur. When you need to speak confidently in meetings or interviews, you can't quickly trace why you believe what you believe or where the evidence came from.</w:t>
      </w:r>
    </w:p>
    <w:p>
      <w:pPr>
        <w:spacing w:after="120"/>
      </w:pPr>
      <w:r>
        <w:rPr>
          <w:b/>
          <w:bCs/>
          <w:color w:val="2E75B6"/>
          <w:sz w:val="24"/>
          <w:szCs w:val="24"/>
        </w:rPr>
        <w:t xml:space="preserve">What CRIS Does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872"/>
        <w:gridCol w:w="8448"/>
      </w:tblGrid>
      <w:tr>
        <w:tc>
          <w:tcPr>
            <w:tcW w:type="dxa" w:w="1872"/>
            <w:tcBorders>
              <w:top w:val="none" w:sz="0"/>
              <w:left w:val="none" w:sz="0"/>
              <w:bottom w:val="none" w:sz="0"/>
              <w:right w:val="none" w:sz="0"/>
            </w:tcBorders>
            <w:tcMar>
              <w:top w:type="dxa" w:w="80"/>
              <w:left w:type="dxa" w:w="120"/>
              <w:bottom w:type="dxa" w:w="80"/>
              <w:right w:type="dxa" w:w="120"/>
            </w:tcMar>
          </w:tcPr>
          <w:p>
            <w:pPr>
              <w:jc w:val="left"/>
            </w:pPr>
            <w:r>
              <w:rPr>
                <w:b/>
                <w:bCs/>
                <w:color w:val="2E75B6"/>
                <w:sz w:val="20"/>
                <w:szCs w:val="20"/>
              </w:rPr>
              <w:t xml:space="preserve">Structured Capture</w:t>
            </w:r>
          </w:p>
        </w:tc>
        <w:tc>
          <w:tcPr>
            <w:tcW w:type="dxa" w:w="8448"/>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Automated extraction creates atomic data points with verbatim anchors</w:t>
            </w:r>
          </w:p>
        </w:tc>
      </w:tr>
      <w:tr>
        <w:tc>
          <w:tcPr>
            <w:tcW w:type="dxa" w:w="1872"/>
            <w:tcBorders>
              <w:top w:val="none" w:sz="0"/>
              <w:left w:val="none" w:sz="0"/>
              <w:bottom w:val="none" w:sz="0"/>
              <w:right w:val="none" w:sz="0"/>
            </w:tcBorders>
            <w:tcMar>
              <w:top w:type="dxa" w:w="80"/>
              <w:left w:type="dxa" w:w="120"/>
              <w:bottom w:type="dxa" w:w="80"/>
              <w:right w:type="dxa" w:w="120"/>
            </w:tcMar>
          </w:tcPr>
          <w:p>
            <w:pPr>
              <w:jc w:val="left"/>
            </w:pPr>
            <w:r>
              <w:rPr>
                <w:b/>
                <w:bCs/>
                <w:color w:val="2E75B6"/>
                <w:sz w:val="20"/>
                <w:szCs w:val="20"/>
              </w:rPr>
              <w:t xml:space="preserve">Multi-Layer Synthesis</w:t>
            </w:r>
          </w:p>
        </w:tc>
        <w:tc>
          <w:tcPr>
            <w:tcW w:type="dxa" w:w="8448"/>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3-session workflow synthesizes ACROSS sources by topic (not just within)</w:t>
            </w:r>
          </w:p>
        </w:tc>
      </w:tr>
      <w:tr>
        <w:tc>
          <w:tcPr>
            <w:tcW w:type="dxa" w:w="1872"/>
            <w:tcBorders>
              <w:top w:val="none" w:sz="0"/>
              <w:left w:val="none" w:sz="0"/>
              <w:bottom w:val="none" w:sz="0"/>
              <w:right w:val="none" w:sz="0"/>
            </w:tcBorders>
            <w:tcMar>
              <w:top w:type="dxa" w:w="80"/>
              <w:left w:type="dxa" w:w="120"/>
              <w:bottom w:type="dxa" w:w="80"/>
              <w:right w:type="dxa" w:w="120"/>
            </w:tcMar>
          </w:tcPr>
          <w:p>
            <w:pPr>
              <w:jc w:val="left"/>
            </w:pPr>
            <w:r>
              <w:rPr>
                <w:b/>
                <w:bCs/>
                <w:color w:val="2E75B6"/>
                <w:sz w:val="20"/>
                <w:szCs w:val="20"/>
              </w:rPr>
              <w:t xml:space="preserve">Linguistic Assets</w:t>
            </w:r>
          </w:p>
        </w:tc>
        <w:tc>
          <w:tcPr>
            <w:tcW w:type="dxa" w:w="8448"/>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Extracts frameworks, analogies, provocations for conversation-ready language</w:t>
            </w:r>
          </w:p>
        </w:tc>
      </w:tr>
      <w:tr>
        <w:tc>
          <w:tcPr>
            <w:tcW w:type="dxa" w:w="1872"/>
            <w:tcBorders>
              <w:top w:val="none" w:sz="0"/>
              <w:left w:val="none" w:sz="0"/>
              <w:bottom w:val="none" w:sz="0"/>
              <w:right w:val="none" w:sz="0"/>
            </w:tcBorders>
            <w:tcMar>
              <w:top w:type="dxa" w:w="80"/>
              <w:left w:type="dxa" w:w="120"/>
              <w:bottom w:type="dxa" w:w="80"/>
              <w:right w:type="dxa" w:w="120"/>
            </w:tcMar>
          </w:tcPr>
          <w:p>
            <w:pPr>
              <w:jc w:val="left"/>
            </w:pPr>
            <w:r>
              <w:rPr>
                <w:b/>
                <w:bCs/>
                <w:color w:val="2E75B6"/>
                <w:sz w:val="20"/>
                <w:szCs w:val="20"/>
              </w:rPr>
              <w:t xml:space="preserve">Verifiable Lineage</w:t>
            </w:r>
          </w:p>
        </w:tc>
        <w:tc>
          <w:tcPr>
            <w:tcW w:type="dxa" w:w="8448"/>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Every claim traces to extraction → data point → source (with page) in &lt;10 seconds</w:t>
            </w:r>
          </w:p>
        </w:tc>
      </w:tr>
      <w:tr>
        <w:tc>
          <w:tcPr>
            <w:tcW w:type="dxa" w:w="1872"/>
            <w:tcBorders>
              <w:top w:val="none" w:sz="0"/>
              <w:left w:val="none" w:sz="0"/>
              <w:bottom w:val="none" w:sz="0"/>
              <w:right w:val="none" w:sz="0"/>
            </w:tcBorders>
            <w:tcMar>
              <w:top w:type="dxa" w:w="80"/>
              <w:left w:type="dxa" w:w="120"/>
              <w:bottom w:type="dxa" w:w="80"/>
              <w:right w:type="dxa" w:w="120"/>
            </w:tcMar>
          </w:tcPr>
          <w:p>
            <w:pPr>
              <w:jc w:val="left"/>
            </w:pPr>
            <w:r>
              <w:rPr>
                <w:b/>
                <w:bCs/>
                <w:color w:val="2E75B6"/>
                <w:sz w:val="20"/>
                <w:szCs w:val="20"/>
              </w:rPr>
              <w:t xml:space="preserve">Research Observatory</w:t>
            </w:r>
          </w:p>
        </w:tc>
        <w:tc>
          <w:tcPr>
            <w:tcW w:type="dxa" w:w="8448"/>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Web UI with evidence tracing, compression filters, and inline citation context</w:t>
            </w:r>
          </w:p>
        </w:tc>
      </w:tr>
    </w:tbl>
    <w:p>
      <w:pPr>
        <w:spacing w:after="180"/>
      </w:pPr>
      <w:r>
        <w:t xml:space="preserve"/>
      </w:r>
    </w:p>
    <w:p>
      <w:pPr>
        <w:spacing w:after="120"/>
      </w:pPr>
      <w:r>
        <w:rPr>
          <w:b/>
          <w:bCs/>
          <w:color w:val="2E75B6"/>
          <w:sz w:val="24"/>
          <w:szCs w:val="24"/>
        </w:rPr>
        <w:t xml:space="preserve">Who Should Care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4080"/>
      </w:tblGrid>
      <w:tr>
        <w:tc>
          <w:tcPr>
            <w:tcW w:type="dxa" w:w="3120"/>
            <w:tcBorders>
              <w:top w:val="none" w:sz="0"/>
              <w:left w:val="none" w:sz="0"/>
              <w:bottom w:val="none" w:sz="0"/>
              <w:right w:val="none" w:sz="0"/>
            </w:tcBorders>
            <w:tcMar>
              <w:top w:type="dxa" w:w="80"/>
              <w:left w:type="dxa" w:w="120"/>
              <w:bottom w:type="dxa" w:w="80"/>
              <w:right w:type="dxa" w:w="120"/>
            </w:tcMar>
          </w:tcPr>
          <w:p>
            <w:pPr>
              <w:jc w:val="left"/>
            </w:pPr>
            <w:r>
              <w:rPr>
                <w:b/>
                <w:bCs/>
                <w:sz w:val="20"/>
                <w:szCs w:val="20"/>
              </w:rPr>
              <w:t xml:space="preserve">Knowledge Workers at Scale</w:t>
            </w:r>
          </w:p>
        </w:tc>
        <w:tc>
          <w:tcPr>
            <w:tcW w:type="dxa" w:w="3120"/>
            <w:tcBorders>
              <w:top w:val="none" w:sz="0"/>
              <w:left w:val="none" w:sz="0"/>
              <w:bottom w:val="none" w:sz="0"/>
              <w:right w:val="none" w:sz="0"/>
            </w:tcBorders>
            <w:tcMar>
              <w:top w:type="dxa" w:w="80"/>
              <w:left w:type="dxa" w:w="120"/>
              <w:bottom w:type="dxa" w:w="80"/>
              <w:right w:type="dxa" w:w="120"/>
            </w:tcMar>
          </w:tcPr>
          <w:p>
            <w:pPr>
              <w:jc w:val="left"/>
            </w:pPr>
            <w:r>
              <w:rPr>
                <w:b/>
                <w:bCs/>
                <w:sz w:val="20"/>
                <w:szCs w:val="20"/>
              </w:rPr>
              <w:t xml:space="preserve">Strategic Roles</w:t>
            </w:r>
          </w:p>
        </w:tc>
        <w:tc>
          <w:tcPr>
            <w:tcW w:type="dxa" w:w="4080"/>
            <w:tcBorders>
              <w:top w:val="none" w:sz="0"/>
              <w:left w:val="none" w:sz="0"/>
              <w:bottom w:val="none" w:sz="0"/>
              <w:right w:val="none" w:sz="0"/>
            </w:tcBorders>
            <w:tcMar>
              <w:top w:type="dxa" w:w="80"/>
              <w:left w:type="dxa" w:w="120"/>
              <w:bottom w:type="dxa" w:w="80"/>
              <w:right w:type="dxa" w:w="120"/>
            </w:tcMar>
          </w:tcPr>
          <w:p>
            <w:pPr>
              <w:jc w:val="left"/>
            </w:pPr>
            <w:r>
              <w:rPr>
                <w:b/>
                <w:bCs/>
                <w:sz w:val="20"/>
                <w:szCs w:val="20"/>
              </w:rPr>
              <w:t xml:space="preserve">Scale Challenges</w:t>
            </w:r>
          </w:p>
        </w:tc>
      </w:tr>
      <w:tr>
        <w:tc>
          <w:tcPr>
            <w:tcW w:type="dxa" w:w="3120"/>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Processing 20+ sources/week
Need cross-source synthesis
Must speak without re-reading</w:t>
            </w:r>
          </w:p>
        </w:tc>
        <w:tc>
          <w:tcPr>
            <w:tcW w:type="dxa" w:w="3120"/>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AI Strategy Leads
Product Strategists
Consultants &amp; Researchers</w:t>
            </w:r>
          </w:p>
        </w:tc>
        <w:tc>
          <w:tcPr>
            <w:tcW w:type="dxa" w:w="4080"/>
            <w:tcBorders>
              <w:top w:val="none" w:sz="0"/>
              <w:left w:val="none" w:sz="0"/>
              <w:bottom w:val="none" w:sz="0"/>
              <w:right w:val="none" w:sz="0"/>
            </w:tcBorders>
            <w:tcMar>
              <w:top w:type="dxa" w:w="80"/>
              <w:left w:type="dxa" w:w="120"/>
              <w:bottom w:type="dxa" w:w="80"/>
              <w:right w:type="dxa" w:w="120"/>
            </w:tcMar>
          </w:tcPr>
          <w:p>
            <w:pPr>
              <w:jc w:val="left"/>
            </w:pPr>
            <w:r>
              <w:rPr>
                <w:b w:val="false"/>
                <w:bCs w:val="false"/>
                <w:sz w:val="20"/>
                <w:szCs w:val="20"/>
              </w:rPr>
              <w:t xml:space="preserve">Citations breaking at scale
Synthesis getting shallower
Hours spent prepping</w:t>
            </w:r>
          </w:p>
        </w:tc>
      </w:tr>
    </w:tbl>
    <w:p>
      <w:pPr>
        <w:spacing w:after="180"/>
      </w:pPr>
      <w:r>
        <w:t xml:space="preserve"/>
      </w:r>
    </w:p>
    <w:p>
      <w:pPr>
        <w:spacing w:after="120"/>
      </w:pPr>
      <w:r>
        <w:rPr>
          <w:b/>
          <w:bCs/>
          <w:color w:val="2E75B6"/>
          <w:sz w:val="24"/>
          <w:szCs w:val="24"/>
        </w:rPr>
        <w:t xml:space="preserve">What Makes CRIS Different</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5160"/>
        <w:gridCol w:w="5160"/>
      </w:tblGrid>
      <w:tr>
        <w:tc>
          <w:tcPr>
            <w:tcW w:type="dxa" w:w="5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2"/>
                <w:szCs w:val="22"/>
              </w:rPr>
              <w:t xml:space="preserve">Traditional Tools</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2"/>
                <w:szCs w:val="22"/>
              </w:rPr>
              <w:t xml:space="preserve">CRIS</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Note-taking apps: Disconnected notes per source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Cross-source synthesis by topic with verifiable lineage</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Summarization tools: Within-source summaries only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3-session deep analysis synthesizing ACROSS sources</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Reference managers: Document-level metadata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Data-point-level lineage + conversation-ready outputs</w:t>
            </w:r>
          </w:p>
        </w:tc>
      </w:tr>
    </w:tbl>
    <w:p>
      <w:pPr>
        <w:spacing w:after="180"/>
      </w:pPr>
      <w:r>
        <w:t xml:space="preserve"/>
      </w:r>
    </w:p>
    <w:p>
      <w:pPr>
        <w:spacing w:after="120"/>
      </w:pPr>
      <w:r>
        <w:rPr>
          <w:b/>
          <w:bCs/>
          <w:color w:val="2E75B6"/>
          <w:sz w:val="24"/>
          <w:szCs w:val="24"/>
        </w:rPr>
        <w:t xml:space="preserve">Operational Reality (February 2026)</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060"/>
        <w:gridCol w:w="2060"/>
        <w:gridCol w:w="2060"/>
        <w:gridCol w:w="4140"/>
      </w:tblGrid>
      <w:tr>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Scale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Infrastructure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Time Investment</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sz w:val="20"/>
                <w:szCs w:val="20"/>
              </w:rPr>
              <w:t xml:space="preserve">Value Delivered</w:t>
            </w:r>
          </w:p>
        </w:tc>
      </w:tr>
      <w:tr>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117 sources
40-60/week
7 Active Ideas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 skills
Web app (4 views)
13 ADRs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2-4 hrs extraction
4-11 hrs synthesis
6-15 hrs/week</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&lt;10 sec claim tracing
Cross-source patterns
Conversation-ready language
Verifiable lineage</w:t>
            </w:r>
          </w:p>
        </w:tc>
      </w:tr>
    </w:tbl>
    <w:p>
      <w:pPr>
        <w:spacing w:after="120"/>
      </w:pPr>
      <w:r>
        <w:t xml:space="preserve"/>
      </w:r>
    </w:p>
    <w:p>
      <w:pPr>
        <w:pBdr>
          <w:top w:val="single" w:color="CCCCCC" w:sz="6" w:space="1"/>
        </w:pBdr>
        <w:spacing w:before="120"/>
        <w:jc w:val="center"/>
      </w:pPr>
      <w:r>
        <w:rPr>
          <w:color w:val="999999"/>
          <w:sz w:val="18"/>
          <w:szCs w:val="18"/>
        </w:rPr>
        <w:t xml:space="preserve">CRIS PRD v4.0  •  February 2026  •  </w:t>
      </w:r>
      <w:r>
        <w:rPr>
          <w:i/>
          <w:iCs/>
          <w:color w:val="2E75B6"/>
          <w:sz w:val="18"/>
          <w:szCs w:val="18"/>
        </w:rPr>
        <w:t xml:space="preserve">For full documentation: CRIS_PRD_v4.0.md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2026-02-17T16:43:10.330Z</dcterms:created>
  <dcterms:modified xsi:type="dcterms:W3CDTF">2026-02-17T16:43:10.330Z</dcterms:modified>
</cp:coreProperties>
</file>

<file path=docProps/custom.xml><?xml version="1.0" encoding="utf-8"?>
<Properties xmlns="http://schemas.openxmlformats.org/officeDocument/2006/custom-properties" xmlns:vt="http://schemas.openxmlformats.org/officeDocument/2006/docPropsVTypes"/>
</file>