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1"/>
              <w:left w:val="single" w:color="1B3A5C" w:sz="1"/>
              <w:bottom w:val="single" w:color="1B3A5C" w:sz="1"/>
              <w:right w:val="single" w:color="1B3A5C" w:sz="1"/>
            </w:tcBorders>
            <w:shd w:fill="1B3A5C" w:val="clear"/>
            <w:tcMar>
              <w:top w:type="dxa" w:w="240"/>
              <w:left w:type="dxa" w:w="280"/>
              <w:bottom w:type="dxa" w:w="240"/>
              <w:right w:type="dxa" w:w="280"/>
            </w:tcMar>
          </w:tcPr>
          <w:p>
            <w:pPr>
              <w:spacing w:after="60" w:before="0"/>
              <w:jc w:val="left"/>
            </w:pPr>
            <w:r>
              <w:rPr>
                <w:rFonts w:ascii="Arial" w:cs="Arial" w:eastAsia="Arial" w:hAnsi="Arial"/>
                <w:b/>
                <w:bCs/>
                <w:color w:val="FFFFFF"/>
                <w:sz w:val="36"/>
                <w:szCs w:val="36"/>
              </w:rPr>
              <w:t xml:space="preserve">NZTE: Research Evidence &amp; Insights</w:t>
            </w:r>
          </w:p>
          <w:p>
            <w:pPr>
              <w:spacing w:after="60" w:before="0"/>
              <w:jc w:val="left"/>
            </w:pPr>
            <w:r>
              <w:rPr>
                <w:rFonts w:ascii="Arial" w:cs="Arial" w:eastAsia="Arial" w:hAnsi="Arial"/>
                <w:color w:val="B8D4E8"/>
                <w:sz w:val="20"/>
                <w:szCs w:val="20"/>
              </w:rPr>
              <w:t xml:space="preserve">Surface-Level Findings from CRIS Research | Prepared for Next Meeting</w:t>
            </w:r>
          </w:p>
          <w:p>
            <w:pPr>
              <w:spacing w:after="0" w:before="0"/>
              <w:jc w:val="left"/>
            </w:pPr>
            <w:r>
              <w:rPr>
                <w:rFonts w:ascii="Arial" w:cs="Arial" w:eastAsia="Arial" w:hAnsi="Arial"/>
                <w:color w:val="7FB3D3"/>
                <w:sz w:val="18"/>
                <w:szCs w:val="18"/>
              </w:rPr>
              <w:t xml:space="preserve">Super by Design  |  March 2026</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12"/>
              <w:bottom w:val="single" w:color="2E75B6" w:sz="1"/>
              <w:right w:val="single" w:color="FFFFFF" w:sz="1"/>
            </w:tcBorders>
            <w:shd w:fill="D5E8F0" w:val="clear"/>
            <w:tcMar>
              <w:top w:type="dxa" w:w="100"/>
              <w:left w:type="dxa" w:w="140"/>
              <w:bottom w:type="dxa" w:w="100"/>
              <w:right w:type="dxa" w:w="140"/>
            </w:tcMar>
          </w:tcPr>
          <w:p>
            <w:pPr>
              <w:spacing w:after="40" w:before="40"/>
            </w:pPr>
            <w:r>
              <w:rPr>
                <w:rFonts w:ascii="Arial" w:cs="Arial" w:eastAsia="Arial" w:hAnsi="Arial"/>
                <w:b/>
                <w:bCs/>
                <w:color w:val="2E75B6"/>
                <w:sz w:val="19"/>
                <w:szCs w:val="19"/>
              </w:rPr>
              <w:t xml:space="preserve">Context: </w:t>
            </w:r>
            <w:r>
              <w:rPr>
                <w:rFonts w:ascii="Arial" w:cs="Arial" w:eastAsia="Arial" w:hAnsi="Arial"/>
                <w:color w:val="333333"/>
                <w:sz w:val="19"/>
                <w:szCs w:val="19"/>
              </w:rPr>
              <w:t xml:space="preserve">These findings are drawn from CRIS research — 155+ sources, ~3,000 data points processed through February 2026. This brief surfaces what's most relevant to NZTE's 4 KPIs and portfolio company initiatives. It is intentionally surface-level until the Vida session reveals the 6 regional projects.</w:t>
            </w:r>
          </w:p>
        </w:tc>
      </w:tr>
    </w:tbl>
    <w:p>
      <w:pPr>
        <w:spacing w:after="160" w:before="0"/>
      </w:pPr>
      <w:r>
        <w:t xml:space="preserve"/>
      </w:r>
    </w:p>
    <w:p>
      <w:pPr>
        <w:pStyle w:val="Heading1"/>
        <w:pBdr>
          <w:bottom w:val="single" w:color="2E75B6" w:sz="6" w:space="4"/>
        </w:pBdr>
        <w:spacing w:after="160" w:before="360"/>
      </w:pPr>
      <w:r>
        <w:rPr>
          <w:rFonts w:ascii="Arial" w:cs="Arial" w:eastAsia="Arial" w:hAnsi="Arial"/>
          <w:b/>
          <w:bCs/>
          <w:color w:val="1B3A5C"/>
          <w:sz w:val="28"/>
          <w:szCs w:val="28"/>
        </w:rPr>
        <w:t xml:space="preserve">Section 1: NZTE's 4 KPIs — What the Research Reveals</w:t>
      </w:r>
    </w:p>
    <w:p>
      <w:pPr>
        <w:spacing w:after="80" w:before="60"/>
        <w:jc w:val="left"/>
      </w:pPr>
      <w:r>
        <w:rPr>
          <w:rFonts w:ascii="Arial" w:cs="Arial" w:eastAsia="Arial" w:hAnsi="Arial"/>
          <w:b w:val="false"/>
          <w:bCs w:val="false"/>
          <w:i w:val="false"/>
          <w:iCs w:val="false"/>
          <w:color w:val="000000"/>
          <w:sz w:val="20"/>
          <w:szCs w:val="20"/>
        </w:rPr>
        <w:t xml:space="preserve">Each of NZTE's four KPIs measures something real. The research reveals what each type of metric reliably signals — and where each can mislead if treated as the primary measure of success.</w:t>
      </w:r>
    </w:p>
    <w:p>
      <w:pPr>
        <w:spacing w:after="8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2880"/>
        <w:gridCol w:w="2880"/>
      </w:tblGrid>
      <w:tr>
        <w:trPr>
          <w:tblHeader/>
        </w:trPr>
        <w:tc>
          <w:tcPr>
            <w:tcW w:type="dxa" w:w="21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KPI</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What It Measures</w:t>
            </w:r>
          </w:p>
        </w:tc>
        <w:tc>
          <w:tcPr>
            <w:tcW w:type="dxa" w:w="288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What CRIS Research Shows</w:t>
            </w:r>
          </w:p>
        </w:tc>
        <w:tc>
          <w:tcPr>
            <w:tcW w:type="dxa" w:w="288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Key Risk</w:t>
            </w:r>
          </w:p>
        </w:tc>
      </w:tr>
      <w:tr>
        <w:tc>
          <w:tcPr>
            <w:tcW w:type="dxa" w:w="2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30" w:before="30"/>
            </w:pPr>
            <w:r>
              <w:rPr>
                <w:rFonts w:ascii="Arial" w:cs="Arial" w:eastAsia="Arial" w:hAnsi="Arial"/>
                <w:b/>
                <w:bCs/>
                <w:color w:val="000000"/>
                <w:sz w:val="19"/>
                <w:szCs w:val="19"/>
              </w:rPr>
              <w:t xml:space="preserve">Adoption Rate</w:t>
            </w:r>
          </w:p>
          <w:p>
            <w:pPr>
              <w:spacing w:after="30" w:before="30"/>
            </w:pPr>
            <w:r>
              <w:rPr>
                <w:rFonts w:ascii="Arial" w:cs="Arial" w:eastAsia="Arial" w:hAnsi="Arial"/>
                <w:b w:val="false"/>
                <w:bCs w:val="false"/>
                <w:color w:val="555555"/>
                <w:sz w:val="19"/>
                <w:szCs w:val="19"/>
              </w:rPr>
              <w:t xml:space="preserve">% of BDMs using tool weekly</w:t>
            </w:r>
          </w:p>
        </w:tc>
        <w:tc>
          <w:tcPr>
            <w:tcW w:type="dxa" w:w="18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40" w:before="40"/>
            </w:pPr>
            <w:r>
              <w:rPr>
                <w:rFonts w:ascii="Arial" w:cs="Arial" w:eastAsia="Arial" w:hAnsi="Arial"/>
                <w:b w:val="false"/>
                <w:bCs w:val="false"/>
                <w:color w:val="000000"/>
                <w:sz w:val="19"/>
                <w:szCs w:val="19"/>
              </w:rPr>
              <w:t xml:space="preserve">Behavioral compliance</w:t>
            </w:r>
          </w:p>
        </w:tc>
        <w:tc>
          <w:tcPr>
            <w:tcW w:type="dxa" w:w="28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30" w:before="30"/>
            </w:pPr>
            <w:r>
              <w:rPr>
                <w:rFonts w:ascii="Arial" w:cs="Arial" w:eastAsia="Arial" w:hAnsi="Arial"/>
                <w:b w:val="false"/>
                <w:bCs w:val="false"/>
                <w:color w:val="000000"/>
                <w:sz w:val="19"/>
                <w:szCs w:val="19"/>
              </w:rPr>
              <w:t xml:space="preserve">88% of organizations report AI deployment — yet only 23% of Americans use AI regularly despite 63% having tried it. (YouGov, Feb 2026)</w:t>
            </w:r>
          </w:p>
          <w:p>
            <w:pPr>
              <w:spacing w:after="30" w:before="30"/>
            </w:pPr>
            <w:r>
              <w:rPr>
                <w:rFonts w:ascii="Arial" w:cs="Arial" w:eastAsia="Arial" w:hAnsi="Arial"/>
                <w:b w:val="false"/>
                <w:bCs w:val="false"/>
                <w:color w:val="000000"/>
                <w:sz w:val="19"/>
                <w:szCs w:val="19"/>
              </w:rPr>
              <w:t xml:space="preserve"/>
            </w:r>
          </w:p>
          <w:p>
            <w:pPr>
              <w:spacing w:after="30" w:before="30"/>
            </w:pPr>
            <w:r>
              <w:rPr>
                <w:rFonts w:ascii="Arial" w:cs="Arial" w:eastAsia="Arial" w:hAnsi="Arial"/>
                <w:b w:val="false"/>
                <w:bCs w:val="false"/>
                <w:color w:val="000000"/>
                <w:sz w:val="19"/>
                <w:szCs w:val="19"/>
              </w:rPr>
              <w:t xml:space="preserve">HBR: Anxious employees use AI 65% of the time vs. 42% for non-anxious employees. Fear drives usage, not value. (HBR WhyAIAdoptionStalls, Feb 2026)</w:t>
            </w:r>
          </w:p>
        </w:tc>
        <w:tc>
          <w:tcPr>
            <w:tcW w:type="dxa" w:w="288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spacing w:after="30" w:before="30"/>
            </w:pPr>
            <w:r>
              <w:rPr>
                <w:rFonts w:ascii="Arial" w:cs="Arial" w:eastAsia="Arial" w:hAnsi="Arial"/>
                <w:b/>
                <w:bCs/>
                <w:color w:val="C55A11"/>
                <w:sz w:val="19"/>
                <w:szCs w:val="19"/>
              </w:rPr>
              <w:t xml:space="preserve">High adoption rate may be measuring fear-driven compliance, not genuine value creation.</w:t>
            </w:r>
          </w:p>
          <w:p>
            <w:pPr>
              <w:spacing w:after="30" w:before="30"/>
            </w:pPr>
            <w:r>
              <w:rPr>
                <w:rFonts w:ascii="Arial" w:cs="Arial" w:eastAsia="Arial" w:hAnsi="Arial"/>
                <w:b w:val="false"/>
                <w:bCs w:val="false"/>
                <w:color w:val="000000"/>
                <w:sz w:val="19"/>
                <w:szCs w:val="19"/>
              </w:rPr>
              <w:t xml:space="preserve"/>
            </w:r>
          </w:p>
          <w:p>
            <w:pPr>
              <w:spacing w:after="30" w:before="30"/>
            </w:pPr>
            <w:r>
              <w:rPr>
                <w:rFonts w:ascii="Arial" w:cs="Arial" w:eastAsia="Arial" w:hAnsi="Arial"/>
                <w:b w:val="false"/>
                <w:bCs w:val="false"/>
                <w:color w:val="000000"/>
                <w:sz w:val="19"/>
                <w:szCs w:val="19"/>
              </w:rPr>
              <w:t xml:space="preserve">Microsoft Copilot: 85% pilot adoption collapsed to 5% at enterprise scale — the same tool, the same capability. (AINewsStrategyDaily, Feb 2026)</w:t>
            </w:r>
          </w:p>
        </w:tc>
      </w:tr>
      <w:tr>
        <w:tc>
          <w:tcPr>
            <w:tcW w:type="dxa" w:w="2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30" w:before="30"/>
            </w:pPr>
            <w:r>
              <w:rPr>
                <w:rFonts w:ascii="Arial" w:cs="Arial" w:eastAsia="Arial" w:hAnsi="Arial"/>
                <w:b/>
                <w:bCs/>
                <w:color w:val="000000"/>
                <w:sz w:val="19"/>
                <w:szCs w:val="19"/>
              </w:rPr>
              <w:t xml:space="preserve">User Rating</w:t>
            </w:r>
          </w:p>
          <w:p>
            <w:pPr>
              <w:spacing w:after="30" w:before="30"/>
            </w:pPr>
            <w:r>
              <w:rPr>
                <w:rFonts w:ascii="Arial" w:cs="Arial" w:eastAsia="Arial" w:hAnsi="Arial"/>
                <w:b w:val="false"/>
                <w:bCs w:val="false"/>
                <w:color w:val="555555"/>
                <w:sz w:val="19"/>
                <w:szCs w:val="19"/>
              </w:rPr>
              <w:t xml:space="preserve">Avg. satisfaction ≥ 4/5</w:t>
            </w:r>
          </w:p>
        </w:tc>
        <w:tc>
          <w:tcPr>
            <w:tcW w:type="dxa" w:w="18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40" w:before="40"/>
            </w:pPr>
            <w:r>
              <w:rPr>
                <w:rFonts w:ascii="Arial" w:cs="Arial" w:eastAsia="Arial" w:hAnsi="Arial"/>
                <w:b w:val="false"/>
                <w:bCs w:val="false"/>
                <w:color w:val="000000"/>
                <w:sz w:val="19"/>
                <w:szCs w:val="19"/>
              </w:rPr>
              <w:t xml:space="preserve">User experience quality</w:t>
            </w:r>
          </w:p>
        </w:tc>
        <w:tc>
          <w:tcPr>
            <w:tcW w:type="dxa" w:w="28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30" w:before="30"/>
            </w:pPr>
            <w:r>
              <w:rPr>
                <w:rFonts w:ascii="Arial" w:cs="Arial" w:eastAsia="Arial" w:hAnsi="Arial"/>
                <w:b w:val="false"/>
                <w:bCs w:val="false"/>
                <w:color w:val="000000"/>
                <w:sz w:val="19"/>
                <w:szCs w:val="19"/>
              </w:rPr>
              <w:t xml:space="preserve">Satisfaction correlates with tool design and ease of use — not with business outcomes.</w:t>
            </w:r>
          </w:p>
          <w:p>
            <w:pPr>
              <w:spacing w:after="30" w:before="30"/>
            </w:pPr>
            <w:r>
              <w:rPr>
                <w:rFonts w:ascii="Arial" w:cs="Arial" w:eastAsia="Arial" w:hAnsi="Arial"/>
                <w:b w:val="false"/>
                <w:bCs w:val="false"/>
                <w:color w:val="000000"/>
                <w:sz w:val="19"/>
                <w:szCs w:val="19"/>
              </w:rPr>
              <w:t xml:space="preserve"/>
            </w:r>
          </w:p>
          <w:p>
            <w:pPr>
              <w:spacing w:after="30" w:before="30"/>
            </w:pPr>
            <w:r>
              <w:rPr>
                <w:rFonts w:ascii="Arial" w:cs="Arial" w:eastAsia="Arial" w:hAnsi="Arial"/>
                <w:b w:val="false"/>
                <w:bCs w:val="false"/>
                <w:color w:val="000000"/>
                <w:sz w:val="19"/>
                <w:szCs w:val="19"/>
              </w:rPr>
              <w:t xml:space="preserve">Klarna: Customer service agent scored well on speed metrics while destroying customer relationships. (AINewsStrategyDaily IntentEngineering, Feb 2026)</w:t>
            </w:r>
          </w:p>
        </w:tc>
        <w:tc>
          <w:tcPr>
            <w:tcW w:type="dxa" w:w="288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spacing w:after="30" w:before="30"/>
            </w:pPr>
            <w:r>
              <w:rPr>
                <w:rFonts w:ascii="Arial" w:cs="Arial" w:eastAsia="Arial" w:hAnsi="Arial"/>
                <w:b/>
                <w:bCs/>
                <w:color w:val="C55A11"/>
                <w:sz w:val="19"/>
                <w:szCs w:val="19"/>
              </w:rPr>
              <w:t xml:space="preserve">A rating of 4+/5 can coexist with zero business impact — if the tool is pleasant to use but not embedded in meaningful workflows.</w:t>
            </w:r>
          </w:p>
        </w:tc>
      </w:tr>
      <w:tr>
        <w:tc>
          <w:tcPr>
            <w:tcW w:type="dxa" w:w="2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30" w:before="30"/>
            </w:pPr>
            <w:r>
              <w:rPr>
                <w:rFonts w:ascii="Arial" w:cs="Arial" w:eastAsia="Arial" w:hAnsi="Arial"/>
                <w:b/>
                <w:bCs/>
                <w:color w:val="000000"/>
                <w:sz w:val="19"/>
                <w:szCs w:val="19"/>
              </w:rPr>
              <w:t xml:space="preserve">Repeat Usage</w:t>
            </w:r>
          </w:p>
          <w:p>
            <w:pPr>
              <w:spacing w:after="30" w:before="30"/>
            </w:pPr>
            <w:r>
              <w:rPr>
                <w:rFonts w:ascii="Arial" w:cs="Arial" w:eastAsia="Arial" w:hAnsi="Arial"/>
                <w:b w:val="false"/>
                <w:bCs w:val="false"/>
                <w:color w:val="555555"/>
                <w:sz w:val="19"/>
                <w:szCs w:val="19"/>
              </w:rPr>
              <w:t xml:space="preserve">% returning multiple times/week</w:t>
            </w:r>
          </w:p>
        </w:tc>
        <w:tc>
          <w:tcPr>
            <w:tcW w:type="dxa" w:w="18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40" w:before="40"/>
            </w:pPr>
            <w:r>
              <w:rPr>
                <w:rFonts w:ascii="Arial" w:cs="Arial" w:eastAsia="Arial" w:hAnsi="Arial"/>
                <w:b w:val="false"/>
                <w:bCs w:val="false"/>
                <w:color w:val="000000"/>
                <w:sz w:val="19"/>
                <w:szCs w:val="19"/>
              </w:rPr>
              <w:t xml:space="preserve">Stickiness / habit</w:t>
            </w:r>
          </w:p>
        </w:tc>
        <w:tc>
          <w:tcPr>
            <w:tcW w:type="dxa" w:w="28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30" w:before="30"/>
            </w:pPr>
            <w:r>
              <w:rPr>
                <w:rFonts w:ascii="Arial" w:cs="Arial" w:eastAsia="Arial" w:hAnsi="Arial"/>
                <w:b w:val="false"/>
                <w:bCs w:val="false"/>
                <w:color w:val="000000"/>
                <w:sz w:val="19"/>
                <w:szCs w:val="19"/>
              </w:rPr>
              <w:t xml:space="preserve">HBR: Usage does not equal adoption. 88% of companies report AI deployment but 84% have NOT redesigned jobs around AI. (Deloitte State of AI 2026, 3,235 respondents)</w:t>
            </w:r>
          </w:p>
          <w:p>
            <w:pPr>
              <w:spacing w:after="30" w:before="30"/>
            </w:pPr>
            <w:r>
              <w:rPr>
                <w:rFonts w:ascii="Arial" w:cs="Arial" w:eastAsia="Arial" w:hAnsi="Arial"/>
                <w:b w:val="false"/>
                <w:bCs w:val="false"/>
                <w:color w:val="000000"/>
                <w:sz w:val="19"/>
                <w:szCs w:val="19"/>
              </w:rPr>
              <w:t xml:space="preserve"/>
            </w:r>
          </w:p>
          <w:p>
            <w:pPr>
              <w:spacing w:after="30" w:before="30"/>
            </w:pPr>
            <w:r>
              <w:rPr>
                <w:rFonts w:ascii="Arial" w:cs="Arial" w:eastAsia="Arial" w:hAnsi="Arial"/>
                <w:b w:val="false"/>
                <w:bCs w:val="false"/>
                <w:color w:val="000000"/>
                <w:sz w:val="19"/>
                <w:szCs w:val="19"/>
              </w:rPr>
              <w:t xml:space="preserve">Repeat usage is high when the tool replaces a recurring task — whether or not that task was the right one to target.</w:t>
            </w:r>
          </w:p>
        </w:tc>
        <w:tc>
          <w:tcPr>
            <w:tcW w:type="dxa" w:w="288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spacing w:after="30" w:before="30"/>
            </w:pPr>
            <w:r>
              <w:rPr>
                <w:rFonts w:ascii="Arial" w:cs="Arial" w:eastAsia="Arial" w:hAnsi="Arial"/>
                <w:b/>
                <w:bCs/>
                <w:color w:val="C55A11"/>
                <w:sz w:val="19"/>
                <w:szCs w:val="19"/>
              </w:rPr>
              <w:t xml:space="preserve">Habitual use of a tool that solves the wrong problem is a lagging indicator of misaligned specification — not success.</w:t>
            </w:r>
          </w:p>
        </w:tc>
      </w:tr>
      <w:tr>
        <w:tc>
          <w:tcPr>
            <w:tcW w:type="dxa" w:w="2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30" w:before="30"/>
            </w:pPr>
            <w:r>
              <w:rPr>
                <w:rFonts w:ascii="Arial" w:cs="Arial" w:eastAsia="Arial" w:hAnsi="Arial"/>
                <w:b/>
                <w:bCs/>
                <w:color w:val="000000"/>
                <w:sz w:val="19"/>
                <w:szCs w:val="19"/>
              </w:rPr>
              <w:t xml:space="preserve">Time Saving</w:t>
            </w:r>
          </w:p>
          <w:p>
            <w:pPr>
              <w:spacing w:after="30" w:before="30"/>
            </w:pPr>
            <w:r>
              <w:rPr>
                <w:rFonts w:ascii="Arial" w:cs="Arial" w:eastAsia="Arial" w:hAnsi="Arial"/>
                <w:b w:val="false"/>
                <w:bCs w:val="false"/>
                <w:color w:val="555555"/>
                <w:sz w:val="19"/>
                <w:szCs w:val="19"/>
              </w:rPr>
              <w:t xml:space="preserve">Self-reported % reduction</w:t>
            </w:r>
          </w:p>
        </w:tc>
        <w:tc>
          <w:tcPr>
            <w:tcW w:type="dxa" w:w="18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40" w:before="40"/>
            </w:pPr>
            <w:r>
              <w:rPr>
                <w:rFonts w:ascii="Arial" w:cs="Arial" w:eastAsia="Arial" w:hAnsi="Arial"/>
                <w:b w:val="false"/>
                <w:bCs w:val="false"/>
                <w:color w:val="000000"/>
                <w:sz w:val="19"/>
                <w:szCs w:val="19"/>
              </w:rPr>
              <w:t xml:space="preserve">Productivity proxy</w:t>
            </w:r>
          </w:p>
        </w:tc>
        <w:tc>
          <w:tcPr>
            <w:tcW w:type="dxa" w:w="28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30" w:before="30"/>
            </w:pPr>
            <w:r>
              <w:rPr>
                <w:rFonts w:ascii="Arial" w:cs="Arial" w:eastAsia="Arial" w:hAnsi="Arial"/>
                <w:b w:val="false"/>
                <w:bCs w:val="false"/>
                <w:color w:val="000000"/>
                <w:sz w:val="19"/>
                <w:szCs w:val="19"/>
              </w:rPr>
              <w:t xml:space="preserve">METR productivity study: time savings self-reports collapsed from 77% to 20% when rigorously measured over time. (Earlier CRIS research, Feb 2026)</w:t>
            </w:r>
          </w:p>
          <w:p>
            <w:pPr>
              <w:spacing w:after="30" w:before="30"/>
            </w:pPr>
            <w:r>
              <w:rPr>
                <w:rFonts w:ascii="Arial" w:cs="Arial" w:eastAsia="Arial" w:hAnsi="Arial"/>
                <w:b w:val="false"/>
                <w:bCs w:val="false"/>
                <w:color w:val="000000"/>
                <w:sz w:val="19"/>
                <w:szCs w:val="19"/>
              </w:rPr>
              <w:t xml:space="preserve"/>
            </w:r>
          </w:p>
          <w:p>
            <w:pPr>
              <w:spacing w:after="30" w:before="30"/>
            </w:pPr>
            <w:r>
              <w:rPr>
                <w:rFonts w:ascii="Arial" w:cs="Arial" w:eastAsia="Arial" w:hAnsi="Arial"/>
                <w:b w:val="false"/>
                <w:bCs w:val="false"/>
                <w:color w:val="000000"/>
                <w:sz w:val="19"/>
                <w:szCs w:val="19"/>
              </w:rPr>
              <w:t xml:space="preserve">57% of companies allocated $700M to AI — 74% reported no tangible value. Individual gains: ~30%. Organizational gains with redesign: ~300%. (AINewsStrategyDaily, Feb 2026)</w:t>
            </w:r>
          </w:p>
        </w:tc>
        <w:tc>
          <w:tcPr>
            <w:tcW w:type="dxa" w:w="288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spacing w:after="30" w:before="30"/>
            </w:pPr>
            <w:r>
              <w:rPr>
                <w:rFonts w:ascii="Arial" w:cs="Arial" w:eastAsia="Arial" w:hAnsi="Arial"/>
                <w:b/>
                <w:bCs/>
                <w:color w:val="C55A11"/>
                <w:sz w:val="19"/>
                <w:szCs w:val="19"/>
              </w:rPr>
              <w:t xml:space="preserve">Self-reported time savings systematically overstates early results and decays over time. It measures the tool's speed, not workflow value.</w:t>
            </w:r>
          </w:p>
          <w:p>
            <w:pPr>
              <w:spacing w:after="30" w:before="30"/>
            </w:pPr>
            <w:r>
              <w:rPr>
                <w:rFonts w:ascii="Arial" w:cs="Arial" w:eastAsia="Arial" w:hAnsi="Arial"/>
                <w:b w:val="false"/>
                <w:bCs w:val="false"/>
                <w:color w:val="000000"/>
                <w:sz w:val="19"/>
                <w:szCs w:val="19"/>
              </w:rPr>
              <w:t xml:space="preserve"/>
            </w:r>
          </w:p>
          <w:p>
            <w:pPr>
              <w:spacing w:after="30" w:before="30"/>
            </w:pPr>
            <w:r>
              <w:rPr>
                <w:rFonts w:ascii="Arial" w:cs="Arial" w:eastAsia="Arial" w:hAnsi="Arial"/>
                <w:b w:val="false"/>
                <w:bCs w:val="false"/>
                <w:color w:val="555555"/>
                <w:sz w:val="19"/>
                <w:szCs w:val="19"/>
              </w:rPr>
              <w:t xml:space="preserve">The 10x gap between individual and org gains means the tool alone is not the driver.</w:t>
            </w:r>
          </w:p>
        </w:tc>
      </w:tr>
    </w:tbl>
    <w:p>
      <w:pP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thick" w:color="375623" w:sz="12"/>
              <w:bottom w:val="single" w:color="375623" w:sz="1"/>
              <w:right w:val="single" w:color="FFFFFF" w:sz="1"/>
            </w:tcBorders>
            <w:shd w:fill="E2EFDA" w:val="clear"/>
            <w:tcMar>
              <w:top w:type="dxa" w:w="100"/>
              <w:left w:type="dxa" w:w="140"/>
              <w:bottom w:type="dxa" w:w="100"/>
              <w:right w:type="dxa" w:w="140"/>
            </w:tcMar>
          </w:tcPr>
          <w:p>
            <w:pPr>
              <w:spacing w:after="40" w:before="40"/>
            </w:pPr>
            <w:r>
              <w:rPr>
                <w:rFonts w:ascii="Arial" w:cs="Arial" w:eastAsia="Arial" w:hAnsi="Arial"/>
                <w:b/>
                <w:bCs/>
                <w:color w:val="375623"/>
                <w:sz w:val="19"/>
                <w:szCs w:val="19"/>
              </w:rPr>
              <w:t xml:space="preserve">The missing second layer: </w:t>
            </w:r>
            <w:r>
              <w:rPr>
                <w:rFonts w:ascii="Arial" w:cs="Arial" w:eastAsia="Arial" w:hAnsi="Arial"/>
                <w:color w:val="333333"/>
                <w:sz w:val="19"/>
                <w:szCs w:val="19"/>
              </w:rPr>
              <w:t xml:space="preserve">Both Jo and Basil acknowledged this in our first meeting. Research confirms it. NZTE's 4 KPIs measure tool usage. The second layer measures customer and portfolio company outcomes: Did meeting quality improve? Did portfolio companies make faster decisions? Did clients perceive more value? These questions are harder to measure — and far more important.</w:t>
            </w:r>
          </w:p>
        </w:tc>
      </w:tr>
    </w:tbl>
    <w:p>
      <w:pPr>
        <w:spacing w:after="160" w:before="0"/>
      </w:pPr>
      <w:r>
        <w:t xml:space="preserve"/>
      </w:r>
    </w:p>
    <w:p>
      <w:r>
        <w:br w:type="page"/>
      </w:r>
    </w:p>
    <w:p>
      <w:pPr>
        <w:pStyle w:val="Heading1"/>
        <w:pBdr>
          <w:bottom w:val="single" w:color="2E75B6" w:sz="6" w:space="4"/>
        </w:pBdr>
        <w:spacing w:after="160" w:before="360"/>
      </w:pPr>
      <w:r>
        <w:rPr>
          <w:rFonts w:ascii="Arial" w:cs="Arial" w:eastAsia="Arial" w:hAnsi="Arial"/>
          <w:b/>
          <w:bCs/>
          <w:color w:val="1B3A5C"/>
          <w:sz w:val="28"/>
          <w:szCs w:val="28"/>
        </w:rPr>
        <w:t xml:space="preserve">Section 2: Three High-Relevance Case Studies</w:t>
      </w:r>
    </w:p>
    <w:p>
      <w:pPr>
        <w:spacing w:after="80" w:before="60"/>
        <w:jc w:val="left"/>
      </w:pPr>
      <w:r>
        <w:rPr>
          <w:rFonts w:ascii="Arial" w:cs="Arial" w:eastAsia="Arial" w:hAnsi="Arial"/>
          <w:b w:val="false"/>
          <w:bCs w:val="false"/>
          <w:i w:val="false"/>
          <w:iCs w:val="false"/>
          <w:color w:val="000000"/>
          <w:sz w:val="20"/>
          <w:szCs w:val="20"/>
        </w:rPr>
        <w:t xml:space="preserve">These three cases from the research are the most directly relevant to NZTE's situation — two failure modes and one success model.</w:t>
      </w:r>
    </w:p>
    <w:p>
      <w:pPr>
        <w:spacing w:after="80" w:before="0"/>
      </w:pPr>
      <w:r>
        <w:t xml:space="preserve"/>
      </w:r>
    </w:p>
    <w:p>
      <w:pPr>
        <w:pStyle w:val="Heading2"/>
        <w:spacing w:after="120" w:before="280"/>
      </w:pPr>
      <w:r>
        <w:rPr>
          <w:rFonts w:ascii="Arial" w:cs="Arial" w:eastAsia="Arial" w:hAnsi="Arial"/>
          <w:b/>
          <w:bCs/>
          <w:color w:val="2E75B6"/>
          <w:sz w:val="24"/>
          <w:szCs w:val="24"/>
        </w:rPr>
        <w:t xml:space="preserve">Case Study 1: Klarna — Measuring Speed, Destroying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12"/>
              <w:bottom w:val="single" w:color="2E75B6" w:sz="1"/>
              <w:right w:val="single" w:color="FFFFFF" w:sz="1"/>
            </w:tcBorders>
            <w:shd w:fill="D5E8F0" w:val="clear"/>
            <w:tcMar>
              <w:top w:type="dxa" w:w="100"/>
              <w:left w:type="dxa" w:w="140"/>
              <w:bottom w:type="dxa" w:w="100"/>
              <w:right w:type="dxa" w:w="140"/>
            </w:tcMar>
          </w:tcPr>
          <w:p>
            <w:pPr>
              <w:spacing w:after="40" w:before="40"/>
            </w:pPr>
            <w:r>
              <w:rPr>
                <w:rFonts w:ascii="Arial" w:cs="Arial" w:eastAsia="Arial" w:hAnsi="Arial"/>
                <w:b/>
                <w:bCs/>
                <w:color w:val="2E75B6"/>
                <w:sz w:val="19"/>
                <w:szCs w:val="19"/>
              </w:rPr>
              <w:t xml:space="preserve">Situation: </w:t>
            </w:r>
            <w:r>
              <w:rPr>
                <w:rFonts w:ascii="Arial" w:cs="Arial" w:eastAsia="Arial" w:hAnsi="Arial"/>
                <w:color w:val="333333"/>
                <w:sz w:val="19"/>
                <w:szCs w:val="19"/>
              </w:rPr>
              <w:t xml:space="preserve">Customer service AI agent deployed at scale.</w:t>
            </w:r>
          </w:p>
        </w:tc>
      </w:tr>
    </w:tbl>
    <w:p>
      <w:pPr>
        <w:spacing w:after="6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80"/>
        <w:gridCol w:w="6840"/>
      </w:tblGrid>
      <w:tr>
        <w:tc>
          <w:tcPr>
            <w:tcW w:type="dxa" w:w="288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What happened</w:t>
            </w:r>
          </w:p>
        </w:tc>
        <w:tc>
          <w:tcPr>
            <w:tcW w:type="dxa" w:w="684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Detail</w:t>
            </w:r>
          </w:p>
        </w:tc>
      </w:tr>
      <w:tr>
        <w:tc>
          <w:tcPr>
            <w:tcW w:type="dxa" w:w="28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40" w:before="40"/>
            </w:pPr>
            <w:r>
              <w:rPr>
                <w:rFonts w:ascii="Arial" w:cs="Arial" w:eastAsia="Arial" w:hAnsi="Arial"/>
                <w:b/>
                <w:bCs/>
                <w:color w:val="000000"/>
                <w:sz w:val="19"/>
                <w:szCs w:val="19"/>
              </w:rPr>
              <w:t xml:space="preserve">The tool</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19"/>
                <w:szCs w:val="19"/>
              </w:rPr>
              <w:t xml:space="preserve">Klarna deployed an AI customer service agent to handle customer inquiries at scale.</w:t>
            </w:r>
          </w:p>
        </w:tc>
      </w:tr>
      <w:tr>
        <w:tc>
          <w:tcPr>
            <w:tcW w:type="dxa" w:w="28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40" w:before="40"/>
            </w:pPr>
            <w:r>
              <w:rPr>
                <w:rFonts w:ascii="Arial" w:cs="Arial" w:eastAsia="Arial" w:hAnsi="Arial"/>
                <w:b/>
                <w:bCs/>
                <w:color w:val="000000"/>
                <w:sz w:val="19"/>
                <w:szCs w:val="19"/>
              </w:rPr>
              <w:t xml:space="preserve">The metrics</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19"/>
                <w:szCs w:val="19"/>
              </w:rPr>
              <w:t xml:space="preserve">2.3 million conversations resolved. Speed metrics showed a massive success.</w:t>
            </w:r>
          </w:p>
        </w:tc>
      </w:tr>
      <w:tr>
        <w:tc>
          <w:tcPr>
            <w:tcW w:type="dxa" w:w="288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spacing w:after="40" w:before="40"/>
            </w:pPr>
            <w:r>
              <w:rPr>
                <w:rFonts w:ascii="Arial" w:cs="Arial" w:eastAsia="Arial" w:hAnsi="Arial"/>
                <w:b/>
                <w:bCs/>
                <w:color w:val="C55A11"/>
                <w:sz w:val="19"/>
                <w:szCs w:val="19"/>
              </w:rPr>
              <w:t xml:space="preserve">The outcome</w:t>
            </w:r>
          </w:p>
        </w:tc>
        <w:tc>
          <w:tcPr>
            <w:tcW w:type="dxa" w:w="684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spacing w:after="40" w:before="40"/>
            </w:pPr>
            <w:r>
              <w:rPr>
                <w:rFonts w:ascii="Arial" w:cs="Arial" w:eastAsia="Arial" w:hAnsi="Arial"/>
                <w:b w:val="false"/>
                <w:bCs w:val="false"/>
                <w:color w:val="000000"/>
                <w:sz w:val="19"/>
                <w:szCs w:val="19"/>
              </w:rPr>
              <w:t xml:space="preserve">The agent was optimized for resolution speed, not customer satisfaction. It destroyed customer relationships while the dashboard looked excellent. (Source: AINewsStrategyDaily_IntentEngineering, Feb 28, 2026)</w:t>
            </w:r>
          </w:p>
        </w:tc>
      </w:tr>
      <w:tr>
        <w:tc>
          <w:tcPr>
            <w:tcW w:type="dxa" w:w="28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40" w:before="40"/>
            </w:pPr>
            <w:r>
              <w:rPr>
                <w:rFonts w:ascii="Arial" w:cs="Arial" w:eastAsia="Arial" w:hAnsi="Arial"/>
                <w:b/>
                <w:bCs/>
                <w:color w:val="000000"/>
                <w:sz w:val="19"/>
                <w:szCs w:val="19"/>
              </w:rPr>
              <w:t xml:space="preserve">The cause</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19"/>
                <w:szCs w:val="19"/>
              </w:rPr>
              <w:t xml:space="preserve">Specification failure — the organization told the tool to resolve conversations fast. It did exactly that. The intent (maintain customer relationships) was never specified.</w:t>
            </w:r>
          </w:p>
        </w:tc>
      </w:tr>
    </w:tbl>
    <w:p>
      <w:pPr>
        <w:spacing w:after="80" w:before="0"/>
      </w:pPr>
      <w:r>
        <w:t xml:space="preserve"/>
      </w:r>
    </w:p>
    <w:p>
      <w:pPr>
        <w:spacing w:after="80" w:before="220"/>
      </w:pPr>
      <w:r>
        <w:rPr>
          <w:rFonts w:ascii="Arial" w:cs="Arial" w:eastAsia="Arial" w:hAnsi="Arial"/>
          <w:b/>
          <w:bCs/>
          <w:color w:val="1B3A5C"/>
          <w:sz w:val="22"/>
          <w:szCs w:val="22"/>
        </w:rPr>
        <w:t xml:space="preserve">Why this matters to NZTE</w:t>
      </w:r>
    </w:p>
    <w:p>
      <w:pPr>
        <w:spacing w:after="80" w:before="60"/>
        <w:jc w:val="left"/>
      </w:pPr>
      <w:r>
        <w:rPr>
          <w:rFonts w:ascii="Arial" w:cs="Arial" w:eastAsia="Arial" w:hAnsi="Arial"/>
          <w:b w:val="false"/>
          <w:bCs w:val="false"/>
          <w:i w:val="false"/>
          <w:iCs w:val="false"/>
          <w:color w:val="000000"/>
          <w:sz w:val="20"/>
          <w:szCs w:val="20"/>
        </w:rPr>
        <w:t xml:space="preserve">The 'Slide Deck Builder' and 'Meeting Maker' tools create decks and summarize meetings quickly — those are the Klarna speed metrics. The real question is: are BDMs having higher-quality client conversations as a result? Are portfolio relationships improving? If those questions aren't in the measurement framework, NZTE risks the same pattern: usage metrics that look great while the actual goal is untracked.</w:t>
      </w:r>
    </w:p>
    <w:p>
      <w:pPr>
        <w:spacing w:after="120" w:before="0"/>
      </w:pPr>
      <w:r>
        <w:t xml:space="preserve"/>
      </w:r>
    </w:p>
    <w:p>
      <w:pPr>
        <w:pStyle w:val="Heading2"/>
        <w:spacing w:after="120" w:before="280"/>
      </w:pPr>
      <w:r>
        <w:rPr>
          <w:rFonts w:ascii="Arial" w:cs="Arial" w:eastAsia="Arial" w:hAnsi="Arial"/>
          <w:b/>
          <w:bCs/>
          <w:color w:val="2E75B6"/>
          <w:sz w:val="24"/>
          <w:szCs w:val="24"/>
        </w:rPr>
        <w:t xml:space="preserve">Case Study 2: Microsoft Copilot — 85% Pilot, 5% Enterprise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12"/>
              <w:bottom w:val="single" w:color="2E75B6" w:sz="1"/>
              <w:right w:val="single" w:color="FFFFFF" w:sz="1"/>
            </w:tcBorders>
            <w:shd w:fill="D5E8F0" w:val="clear"/>
            <w:tcMar>
              <w:top w:type="dxa" w:w="100"/>
              <w:left w:type="dxa" w:w="140"/>
              <w:bottom w:type="dxa" w:w="100"/>
              <w:right w:type="dxa" w:w="140"/>
            </w:tcMar>
          </w:tcPr>
          <w:p>
            <w:pPr>
              <w:spacing w:after="40" w:before="40"/>
            </w:pPr>
            <w:r>
              <w:rPr>
                <w:rFonts w:ascii="Arial" w:cs="Arial" w:eastAsia="Arial" w:hAnsi="Arial"/>
                <w:b/>
                <w:bCs/>
                <w:color w:val="2E75B6"/>
                <w:sz w:val="19"/>
                <w:szCs w:val="19"/>
              </w:rPr>
              <w:t xml:space="preserve">Situation: </w:t>
            </w:r>
            <w:r>
              <w:rPr>
                <w:rFonts w:ascii="Arial" w:cs="Arial" w:eastAsia="Arial" w:hAnsi="Arial"/>
                <w:color w:val="333333"/>
                <w:sz w:val="19"/>
                <w:szCs w:val="19"/>
              </w:rPr>
              <w:t xml:space="preserve">Enterprise AI deployment of Microsoft 365 Copilot.</w:t>
            </w:r>
          </w:p>
        </w:tc>
      </w:tr>
    </w:tbl>
    <w:p>
      <w:pPr>
        <w:spacing w:after="6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80"/>
        <w:gridCol w:w="6840"/>
      </w:tblGrid>
      <w:tr>
        <w:tc>
          <w:tcPr>
            <w:tcW w:type="dxa" w:w="288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What happened</w:t>
            </w:r>
          </w:p>
        </w:tc>
        <w:tc>
          <w:tcPr>
            <w:tcW w:type="dxa" w:w="684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Detail</w:t>
            </w:r>
          </w:p>
        </w:tc>
      </w:tr>
      <w:tr>
        <w:tc>
          <w:tcPr>
            <w:tcW w:type="dxa" w:w="28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40" w:before="40"/>
            </w:pPr>
            <w:r>
              <w:rPr>
                <w:rFonts w:ascii="Arial" w:cs="Arial" w:eastAsia="Arial" w:hAnsi="Arial"/>
                <w:b/>
                <w:bCs/>
                <w:color w:val="000000"/>
                <w:sz w:val="19"/>
                <w:szCs w:val="19"/>
              </w:rPr>
              <w:t xml:space="preserve">The pilot</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19"/>
                <w:szCs w:val="19"/>
              </w:rPr>
              <w:t xml:space="preserve">Copilot achieved 85% adoption in controlled pilot programs with enthusiastic early adopters.</w:t>
            </w:r>
          </w:p>
        </w:tc>
      </w:tr>
      <w:tr>
        <w:tc>
          <w:tcPr>
            <w:tcW w:type="dxa" w:w="288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spacing w:after="40" w:before="40"/>
            </w:pPr>
            <w:r>
              <w:rPr>
                <w:rFonts w:ascii="Arial" w:cs="Arial" w:eastAsia="Arial" w:hAnsi="Arial"/>
                <w:b/>
                <w:bCs/>
                <w:color w:val="C55A11"/>
                <w:sz w:val="19"/>
                <w:szCs w:val="19"/>
              </w:rPr>
              <w:t xml:space="preserve">At enterprise scale</w:t>
            </w:r>
          </w:p>
        </w:tc>
        <w:tc>
          <w:tcPr>
            <w:tcW w:type="dxa" w:w="684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spacing w:after="40" w:before="40"/>
            </w:pPr>
            <w:r>
              <w:rPr>
                <w:rFonts w:ascii="Arial" w:cs="Arial" w:eastAsia="Arial" w:hAnsi="Arial"/>
                <w:b w:val="false"/>
                <w:bCs w:val="false"/>
                <w:color w:val="000000"/>
                <w:sz w:val="19"/>
                <w:szCs w:val="19"/>
              </w:rPr>
              <w:t xml:space="preserve">The same tool, the same capability — collapsed to 5% adoption across the enterprise. (Source: AINewsStrategyDaily_IntentEngineering, Feb 28, 2026)</w:t>
            </w:r>
          </w:p>
        </w:tc>
      </w:tr>
      <w:tr>
        <w:tc>
          <w:tcPr>
            <w:tcW w:type="dxa" w:w="28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40" w:before="40"/>
            </w:pPr>
            <w:r>
              <w:rPr>
                <w:rFonts w:ascii="Arial" w:cs="Arial" w:eastAsia="Arial" w:hAnsi="Arial"/>
                <w:b/>
                <w:bCs/>
                <w:color w:val="000000"/>
                <w:sz w:val="19"/>
                <w:szCs w:val="19"/>
              </w:rPr>
              <w:t xml:space="preserve">Why the gap</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19"/>
                <w:szCs w:val="19"/>
              </w:rPr>
              <w:t xml:space="preserve">Pilot programs select motivated adopters with high alignment costs already paid. Enterprise scale introduces job redesign requirements, governance gaps, and unclear value propositions for the median user.</w:t>
            </w:r>
          </w:p>
        </w:tc>
      </w:tr>
    </w:tbl>
    <w:p>
      <w:pPr>
        <w:spacing w:after="80" w:before="0"/>
      </w:pPr>
      <w:r>
        <w:t xml:space="preserve"/>
      </w:r>
    </w:p>
    <w:p>
      <w:pPr>
        <w:spacing w:after="80" w:before="220"/>
      </w:pPr>
      <w:r>
        <w:rPr>
          <w:rFonts w:ascii="Arial" w:cs="Arial" w:eastAsia="Arial" w:hAnsi="Arial"/>
          <w:b/>
          <w:bCs/>
          <w:color w:val="1B3A5C"/>
          <w:sz w:val="22"/>
          <w:szCs w:val="22"/>
        </w:rPr>
        <w:t xml:space="preserve">Why this matters to NZTE</w:t>
      </w:r>
    </w:p>
    <w:p>
      <w:pPr>
        <w:spacing w:after="80" w:before="60"/>
        <w:jc w:val="left"/>
      </w:pPr>
      <w:r>
        <w:rPr>
          <w:rFonts w:ascii="Arial" w:cs="Arial" w:eastAsia="Arial" w:hAnsi="Arial"/>
          <w:b w:val="false"/>
          <w:bCs w:val="false"/>
          <w:i w:val="false"/>
          <w:iCs w:val="false"/>
          <w:color w:val="000000"/>
          <w:sz w:val="20"/>
          <w:szCs w:val="20"/>
        </w:rPr>
        <w:t xml:space="preserve">NZTE's two tracks — Maude's regional team (startup mentality, test-and-fail-fast) and the organizational track (cautious, sprint-based) — are structurally the pilot vs. enterprise gap. The 85% metric will likely appear in the regional track. The 5% risk is what happens when those same tools get deployed to the broader BDM population without redesigning how BDMs actually prepare for meetings, create deliverables, and build relationships.</w:t>
      </w:r>
    </w:p>
    <w:p>
      <w:pPr>
        <w:spacing w:after="80" w:before="60"/>
        <w:jc w:val="left"/>
      </w:pPr>
      <w:r>
        <w:rPr>
          <w:rFonts w:ascii="Arial" w:cs="Arial" w:eastAsia="Arial" w:hAnsi="Arial"/>
          <w:b w:val="false"/>
          <w:bCs w:val="false"/>
          <w:i w:val="false"/>
          <w:iCs w:val="false"/>
          <w:color w:val="000000"/>
          <w:sz w:val="20"/>
          <w:szCs w:val="20"/>
        </w:rPr>
        <w:t xml:space="preserve">Note: NZTE runs on Microsoft 365 Copilot organizationally. This case is not abstract — it is the same platform.</w:t>
      </w:r>
    </w:p>
    <w:p>
      <w:pPr>
        <w:spacing w:after="120" w:before="0"/>
      </w:pPr>
      <w:r>
        <w:t xml:space="preserve"/>
      </w:r>
    </w:p>
    <w:p>
      <w:pPr>
        <w:pStyle w:val="Heading2"/>
        <w:spacing w:after="120" w:before="280"/>
      </w:pPr>
      <w:r>
        <w:rPr>
          <w:rFonts w:ascii="Arial" w:cs="Arial" w:eastAsia="Arial" w:hAnsi="Arial"/>
          <w:b/>
          <w:bCs/>
          <w:color w:val="2E75B6"/>
          <w:sz w:val="24"/>
          <w:szCs w:val="24"/>
        </w:rPr>
        <w:t xml:space="preserve">Case Study 3: ServiceNow IT Automation — Governance First, Then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12"/>
              <w:bottom w:val="single" w:color="2E75B6" w:sz="1"/>
              <w:right w:val="single" w:color="FFFFFF" w:sz="1"/>
            </w:tcBorders>
            <w:shd w:fill="D5E8F0" w:val="clear"/>
            <w:tcMar>
              <w:top w:type="dxa" w:w="100"/>
              <w:left w:type="dxa" w:w="140"/>
              <w:bottom w:type="dxa" w:w="100"/>
              <w:right w:type="dxa" w:w="140"/>
            </w:tcMar>
          </w:tcPr>
          <w:p>
            <w:pPr>
              <w:spacing w:after="40" w:before="40"/>
            </w:pPr>
            <w:r>
              <w:rPr>
                <w:rFonts w:ascii="Arial" w:cs="Arial" w:eastAsia="Arial" w:hAnsi="Arial"/>
                <w:b/>
                <w:bCs/>
                <w:color w:val="2E75B6"/>
                <w:sz w:val="19"/>
                <w:szCs w:val="19"/>
              </w:rPr>
              <w:t xml:space="preserve">Situation: </w:t>
            </w:r>
            <w:r>
              <w:rPr>
                <w:rFonts w:ascii="Arial" w:cs="Arial" w:eastAsia="Arial" w:hAnsi="Arial"/>
                <w:color w:val="333333"/>
                <w:sz w:val="19"/>
                <w:szCs w:val="19"/>
              </w:rPr>
              <w:t xml:space="preserve">Enterprise IT operations automation with AI agents.</w:t>
            </w:r>
          </w:p>
        </w:tc>
      </w:tr>
    </w:tbl>
    <w:p>
      <w:pPr>
        <w:spacing w:after="6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80"/>
        <w:gridCol w:w="6840"/>
      </w:tblGrid>
      <w:tr>
        <w:tc>
          <w:tcPr>
            <w:tcW w:type="dxa" w:w="288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What happened</w:t>
            </w:r>
          </w:p>
        </w:tc>
        <w:tc>
          <w:tcPr>
            <w:tcW w:type="dxa" w:w="684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Detail</w:t>
            </w:r>
          </w:p>
        </w:tc>
      </w:tr>
      <w:tr>
        <w:tc>
          <w:tcPr>
            <w:tcW w:type="dxa" w:w="28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40" w:before="40"/>
            </w:pPr>
            <w:r>
              <w:rPr>
                <w:rFonts w:ascii="Arial" w:cs="Arial" w:eastAsia="Arial" w:hAnsi="Arial"/>
                <w:b/>
                <w:bCs/>
                <w:color w:val="000000"/>
                <w:sz w:val="19"/>
                <w:szCs w:val="19"/>
              </w:rPr>
              <w:t xml:space="preserve">The challenge</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19"/>
                <w:szCs w:val="19"/>
              </w:rPr>
              <w:t xml:space="preserve">Three years of pilot programs stalling at the execution layer. Could not move from pilot to production.</w:t>
            </w:r>
          </w:p>
        </w:tc>
      </w:tr>
      <w:tr>
        <w:tc>
          <w:tcPr>
            <w:tcW w:type="dxa" w:w="288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spacing w:after="40" w:before="40"/>
            </w:pPr>
            <w:r>
              <w:rPr>
                <w:rFonts w:ascii="Arial" w:cs="Arial" w:eastAsia="Arial" w:hAnsi="Arial"/>
                <w:b/>
                <w:bCs/>
                <w:color w:val="375623"/>
                <w:sz w:val="19"/>
                <w:szCs w:val="19"/>
              </w:rPr>
              <w:t xml:space="preserve">The breakthrough</w:t>
            </w:r>
          </w:p>
        </w:tc>
        <w:tc>
          <w:tcPr>
            <w:tcW w:type="dxa" w:w="684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spacing w:after="40" w:before="40"/>
            </w:pPr>
            <w:r>
              <w:rPr>
                <w:rFonts w:ascii="Arial" w:cs="Arial" w:eastAsia="Arial" w:hAnsi="Arial"/>
                <w:b w:val="false"/>
                <w:bCs w:val="false"/>
                <w:color w:val="000000"/>
                <w:sz w:val="19"/>
                <w:szCs w:val="19"/>
              </w:rPr>
              <w:t xml:space="preserve">ServiceNow embedded governance in the execution layer — not as policy sitting on top of tools. Created a three-tier agent hierarchy with confidence-based intervention. (Source: VentureBeat_ServiceNowITAutonomy, Feb 28, 2026)</w:t>
            </w:r>
          </w:p>
        </w:tc>
      </w:tr>
      <w:tr>
        <w:tc>
          <w:tcPr>
            <w:tcW w:type="dxa" w:w="288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spacing w:after="40" w:before="40"/>
            </w:pPr>
            <w:r>
              <w:rPr>
                <w:rFonts w:ascii="Arial" w:cs="Arial" w:eastAsia="Arial" w:hAnsi="Arial"/>
                <w:b/>
                <w:bCs/>
                <w:color w:val="375623"/>
                <w:sz w:val="19"/>
                <w:szCs w:val="19"/>
              </w:rPr>
              <w:t xml:space="preserve">The result</w:t>
            </w:r>
          </w:p>
        </w:tc>
        <w:tc>
          <w:tcPr>
            <w:tcW w:type="dxa" w:w="684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spacing w:after="40" w:before="40"/>
            </w:pPr>
            <w:r>
              <w:rPr>
                <w:rFonts w:ascii="Arial" w:cs="Arial" w:eastAsia="Arial" w:hAnsi="Arial"/>
                <w:b w:val="false"/>
                <w:bCs w:val="false"/>
                <w:color w:val="000000"/>
                <w:sz w:val="19"/>
                <w:szCs w:val="19"/>
              </w:rPr>
              <w:t xml:space="preserve">90% autonomy at 99% faster speed. What had been stalling for three years scaled successfully.</w:t>
            </w:r>
          </w:p>
        </w:tc>
      </w:tr>
      <w:tr>
        <w:tc>
          <w:tcPr>
            <w:tcW w:type="dxa" w:w="28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40" w:before="40"/>
            </w:pPr>
            <w:r>
              <w:rPr>
                <w:rFonts w:ascii="Arial" w:cs="Arial" w:eastAsia="Arial" w:hAnsi="Arial"/>
                <w:b/>
                <w:bCs/>
                <w:color w:val="000000"/>
                <w:sz w:val="19"/>
                <w:szCs w:val="19"/>
              </w:rPr>
              <w:t xml:space="preserve">The lesson</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19"/>
                <w:szCs w:val="19"/>
              </w:rPr>
              <w:t xml:space="preserve">Good governance enables more deployment — it is not compliance overhead. Organizations that build governance infrastructure first scale faster.</w:t>
            </w:r>
          </w:p>
        </w:tc>
      </w:tr>
    </w:tbl>
    <w:p>
      <w:pPr>
        <w:spacing w:after="80" w:before="0"/>
      </w:pPr>
      <w:r>
        <w:t xml:space="preserve"/>
      </w:r>
    </w:p>
    <w:p>
      <w:pPr>
        <w:spacing w:after="80" w:before="220"/>
      </w:pPr>
      <w:r>
        <w:rPr>
          <w:rFonts w:ascii="Arial" w:cs="Arial" w:eastAsia="Arial" w:hAnsi="Arial"/>
          <w:b/>
          <w:bCs/>
          <w:color w:val="1B3A5C"/>
          <w:sz w:val="22"/>
          <w:szCs w:val="22"/>
        </w:rPr>
        <w:t xml:space="preserve">Why this matters to NZTE</w:t>
      </w:r>
    </w:p>
    <w:p>
      <w:pPr>
        <w:spacing w:after="80" w:before="60"/>
        <w:jc w:val="left"/>
      </w:pPr>
      <w:r>
        <w:rPr>
          <w:rFonts w:ascii="Arial" w:cs="Arial" w:eastAsia="Arial" w:hAnsi="Arial"/>
          <w:b w:val="false"/>
          <w:bCs w:val="false"/>
          <w:i w:val="false"/>
          <w:iCs w:val="false"/>
          <w:color w:val="000000"/>
          <w:sz w:val="20"/>
          <w:szCs w:val="20"/>
        </w:rPr>
        <w:t xml:space="preserve">The path from enthusiastic pilot adoption (Maude's regional team) to organization-wide transformation requires governance embedded in the workflow, not bolted on top. The question for the Vida session is not just 'what are the 6 projects?' — it's 'what is the governance model for each project, and is it built into the tool or added as policy after?'</w:t>
      </w:r>
    </w:p>
    <w:p>
      <w:pPr>
        <w:spacing w:after="160" w:before="0"/>
      </w:pPr>
      <w:r>
        <w:t xml:space="preserve"/>
      </w:r>
    </w:p>
    <w:p>
      <w:r>
        <w:br w:type="page"/>
      </w:r>
    </w:p>
    <w:p>
      <w:pPr>
        <w:pStyle w:val="Heading1"/>
        <w:pBdr>
          <w:bottom w:val="single" w:color="2E75B6" w:sz="6" w:space="4"/>
        </w:pBdr>
        <w:spacing w:after="160" w:before="360"/>
      </w:pPr>
      <w:r>
        <w:rPr>
          <w:rFonts w:ascii="Arial" w:cs="Arial" w:eastAsia="Arial" w:hAnsi="Arial"/>
          <w:b/>
          <w:bCs/>
          <w:color w:val="1B3A5C"/>
          <w:sz w:val="28"/>
          <w:szCs w:val="28"/>
        </w:rPr>
        <w:t xml:space="preserve">Section 3: Why Portfolio Company Workshops Don't Convert — and What Does</w:t>
      </w:r>
    </w:p>
    <w:p>
      <w:pPr>
        <w:spacing w:after="80" w:before="60"/>
        <w:jc w:val="left"/>
      </w:pPr>
      <w:r>
        <w:rPr>
          <w:rFonts w:ascii="Arial" w:cs="Arial" w:eastAsia="Arial" w:hAnsi="Arial"/>
          <w:b w:val="false"/>
          <w:bCs w:val="false"/>
          <w:i w:val="false"/>
          <w:iCs w:val="false"/>
          <w:color w:val="000000"/>
          <w:sz w:val="20"/>
          <w:szCs w:val="20"/>
        </w:rPr>
        <w:t xml:space="preserve">Jo sees interest in AI workshops and webinars but limited follow-through action. This is the most documented pattern in current AI adoption research — and the research suggests a clear mechanism.</w:t>
      </w:r>
    </w:p>
    <w:p>
      <w:pPr>
        <w:spacing w:after="80" w:before="0"/>
      </w:pPr>
      <w:r>
        <w:t xml:space="preserve"/>
      </w:r>
    </w:p>
    <w:p>
      <w:pPr>
        <w:pStyle w:val="Heading2"/>
        <w:spacing w:after="120" w:before="280"/>
      </w:pPr>
      <w:r>
        <w:rPr>
          <w:rFonts w:ascii="Arial" w:cs="Arial" w:eastAsia="Arial" w:hAnsi="Arial"/>
          <w:b/>
          <w:bCs/>
          <w:color w:val="2E75B6"/>
          <w:sz w:val="24"/>
          <w:szCs w:val="24"/>
        </w:rPr>
        <w:t xml:space="preserve">The Awareness-to-Action Gap</w:t>
      </w:r>
    </w:p>
    <w:p>
      <w:pPr>
        <w:spacing w:after="80" w:before="60"/>
        <w:jc w:val="left"/>
      </w:pPr>
      <w:r>
        <w:rPr>
          <w:rFonts w:ascii="Arial" w:cs="Arial" w:eastAsia="Arial" w:hAnsi="Arial"/>
          <w:b w:val="false"/>
          <w:bCs w:val="false"/>
          <w:i w:val="false"/>
          <w:iCs w:val="false"/>
          <w:color w:val="000000"/>
          <w:sz w:val="20"/>
          <w:szCs w:val="20"/>
        </w:rPr>
        <w:t xml:space="preserve">New Zealand's national AI strategy (July 2025) documents: 97% SME awareness of AI, 34% understanding of how to apply it, and far lower rates of actual adoption. This is not unique to NZ. The Deloitte State of AI 2026 (3,235 respondents, 24 countries) shows 37% of organizations at surface-level usage despite near-universal awareness.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12"/>
              <w:bottom w:val="single" w:color="2E75B6" w:sz="1"/>
              <w:right w:val="single" w:color="FFFFFF" w:sz="1"/>
            </w:tcBorders>
            <w:shd w:fill="D5E8F0" w:val="clear"/>
            <w:tcMar>
              <w:top w:type="dxa" w:w="100"/>
              <w:left w:type="dxa" w:w="140"/>
              <w:bottom w:type="dxa" w:w="100"/>
              <w:right w:type="dxa" w:w="140"/>
            </w:tcMar>
          </w:tcPr>
          <w:p>
            <w:pPr>
              <w:spacing w:after="40" w:before="40"/>
            </w:pPr>
            <w:r>
              <w:rPr>
                <w:rFonts w:ascii="Arial" w:cs="Arial" w:eastAsia="Arial" w:hAnsi="Arial"/>
                <w:b/>
                <w:bCs/>
                <w:color w:val="2E75B6"/>
                <w:sz w:val="19"/>
                <w:szCs w:val="19"/>
              </w:rPr>
              <w:t xml:space="preserve">The core research finding: </w:t>
            </w:r>
            <w:r>
              <w:rPr>
                <w:rFonts w:ascii="Arial" w:cs="Arial" w:eastAsia="Arial" w:hAnsi="Arial"/>
                <w:color w:val="333333"/>
                <w:sz w:val="19"/>
                <w:szCs w:val="19"/>
              </w:rPr>
              <w:t xml:space="preserve">The bottleneck is not motivation or awareness. It is specification: small businesses struggle to identify WHAT to use AI for in THEIR specific workflow — not AI in general. Generic use-case workshops don't bridge this gap because they don't answer the question 'which specific thing should I do differently tomorrow?' (Source: Multiple CRIS sources, including Deloitte StateOfAI2026, HBR SeniorLeadersAIAdoption, Feb 2026)</w:t>
            </w:r>
          </w:p>
        </w:tc>
      </w:tr>
    </w:tbl>
    <w:p>
      <w:pPr>
        <w:spacing w:after="100" w:before="0"/>
      </w:pPr>
      <w:r>
        <w:t xml:space="preserve"/>
      </w:r>
    </w:p>
    <w:p>
      <w:pPr>
        <w:pStyle w:val="Heading2"/>
        <w:spacing w:after="120" w:before="280"/>
      </w:pPr>
      <w:r>
        <w:rPr>
          <w:rFonts w:ascii="Arial" w:cs="Arial" w:eastAsia="Arial" w:hAnsi="Arial"/>
          <w:b/>
          <w:bCs/>
          <w:color w:val="2E75B6"/>
          <w:sz w:val="24"/>
          <w:szCs w:val="24"/>
        </w:rPr>
        <w:t xml:space="preserve">The SME Advantage — and Where It Breaks Down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Where SMEs Have an Advantage</w:t>
            </w:r>
          </w:p>
        </w:tc>
        <w:tc>
          <w:tcPr>
            <w:tcW w:type="dxa" w:w="48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Where SMEs Get Stuck</w:t>
            </w:r>
          </w:p>
        </w:tc>
      </w:tr>
      <w:tr>
        <w:tc>
          <w:tcPr>
            <w:tcW w:type="dxa" w:w="486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spacing w:after="30" w:before="30"/>
            </w:pPr>
            <w:r>
              <w:rPr>
                <w:rFonts w:ascii="Arial" w:cs="Arial" w:eastAsia="Arial" w:hAnsi="Arial"/>
                <w:b w:val="false"/>
                <w:bCs w:val="false"/>
                <w:color w:val="000000"/>
                <w:sz w:val="19"/>
                <w:szCs w:val="19"/>
              </w:rPr>
              <w:t xml:space="preserve">Low alignment cost: 1-2 person teams don't need multi-month consensus cycles to try something new</w:t>
            </w:r>
          </w:p>
        </w:tc>
        <w:tc>
          <w:tcPr>
            <w:tcW w:type="dxa" w:w="48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spacing w:after="30" w:before="30"/>
            </w:pPr>
            <w:r>
              <w:rPr>
                <w:rFonts w:ascii="Arial" w:cs="Arial" w:eastAsia="Arial" w:hAnsi="Arial"/>
                <w:b w:val="false"/>
                <w:bCs w:val="false"/>
                <w:color w:val="000000"/>
                <w:sz w:val="19"/>
                <w:szCs w:val="19"/>
              </w:rPr>
              <w:t xml:space="preserve">No specification infrastructure: no context, no documented workflows, no way to tell AI what 'good' looks like</w:t>
            </w:r>
          </w:p>
        </w:tc>
      </w:tr>
      <w:tr>
        <w:tc>
          <w:tcPr>
            <w:tcW w:type="dxa" w:w="486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spacing w:after="30" w:before="30"/>
            </w:pPr>
            <w:r>
              <w:rPr>
                <w:rFonts w:ascii="Arial" w:cs="Arial" w:eastAsia="Arial" w:hAnsi="Arial"/>
                <w:b w:val="false"/>
                <w:bCs w:val="false"/>
                <w:color w:val="000000"/>
                <w:sz w:val="19"/>
                <w:szCs w:val="19"/>
              </w:rPr>
              <w:t xml:space="preserve">2-hour decision cycles vs. 18-month enterprise timelines (AINewsStrategyDaily CapabilityDissipationGap, Feb 2026)</w:t>
            </w:r>
          </w:p>
        </w:tc>
        <w:tc>
          <w:tcPr>
            <w:tcW w:type="dxa" w:w="48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spacing w:after="30" w:before="30"/>
            </w:pPr>
            <w:r>
              <w:rPr>
                <w:rFonts w:ascii="Arial" w:cs="Arial" w:eastAsia="Arial" w:hAnsi="Arial"/>
                <w:b w:val="false"/>
                <w:bCs w:val="false"/>
                <w:color w:val="000000"/>
                <w:sz w:val="19"/>
                <w:szCs w:val="19"/>
              </w:rPr>
              <w:t xml:space="preserve">No time to experiment: 1-2 person operations mean every hour spent on AI is an hour not on revenue</w:t>
            </w:r>
          </w:p>
        </w:tc>
      </w:tr>
      <w:tr>
        <w:tc>
          <w:tcPr>
            <w:tcW w:type="dxa" w:w="486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spacing w:after="30" w:before="30"/>
            </w:pPr>
            <w:r>
              <w:rPr>
                <w:rFonts w:ascii="Arial" w:cs="Arial" w:eastAsia="Arial" w:hAnsi="Arial"/>
                <w:b w:val="false"/>
                <w:bCs w:val="false"/>
                <w:color w:val="000000"/>
                <w:sz w:val="19"/>
                <w:szCs w:val="19"/>
              </w:rPr>
              <w:t xml:space="preserve">Business formation costs collapsed 70-80% in 18 months; 532K new businesses formed in January 2026 alone — SMEs that move fast accumulate advantages</w:t>
            </w:r>
          </w:p>
        </w:tc>
        <w:tc>
          <w:tcPr>
            <w:tcW w:type="dxa" w:w="48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spacing w:after="30" w:before="30"/>
            </w:pPr>
            <w:r>
              <w:rPr>
                <w:rFonts w:ascii="Arial" w:cs="Arial" w:eastAsia="Arial" w:hAnsi="Arial"/>
                <w:b w:val="false"/>
                <w:bCs w:val="false"/>
                <w:color w:val="000000"/>
                <w:sz w:val="19"/>
                <w:szCs w:val="19"/>
              </w:rPr>
              <w:t xml:space="preserve">No 'job redesign' instinct: 84% of companies (even large ones) haven't redesigned jobs around AI — this is harder for SMEs who don't see it as an option</w:t>
            </w:r>
          </w:p>
        </w:tc>
      </w:tr>
    </w:tbl>
    <w:p>
      <w:pPr>
        <w:spacing w:after="100" w:before="0"/>
      </w:pPr>
      <w:r>
        <w:t xml:space="preserve"/>
      </w:r>
    </w:p>
    <w:p>
      <w:pPr>
        <w:pStyle w:val="Heading2"/>
        <w:spacing w:after="120" w:before="280"/>
      </w:pPr>
      <w:r>
        <w:rPr>
          <w:rFonts w:ascii="Arial" w:cs="Arial" w:eastAsia="Arial" w:hAnsi="Arial"/>
          <w:b/>
          <w:bCs/>
          <w:color w:val="2E75B6"/>
          <w:sz w:val="24"/>
          <w:szCs w:val="24"/>
        </w:rPr>
        <w:t xml:space="preserve">What Actually Moves SMEs from Interest to Action</w:t>
      </w:r>
    </w:p>
    <w:p>
      <w:pPr>
        <w:spacing w:after="80" w:before="60"/>
        <w:jc w:val="left"/>
      </w:pPr>
      <w:r>
        <w:rPr>
          <w:rFonts w:ascii="Arial" w:cs="Arial" w:eastAsia="Arial" w:hAnsi="Arial"/>
          <w:b w:val="false"/>
          <w:bCs w:val="false"/>
          <w:i w:val="false"/>
          <w:iCs w:val="false"/>
          <w:color w:val="000000"/>
          <w:sz w:val="20"/>
          <w:szCs w:val="20"/>
        </w:rPr>
        <w:t xml:space="preserve">Based on the research patterns, three interventions consistently work where general workshops don't:</w:t>
      </w:r>
    </w:p>
    <w:p>
      <w:pPr>
        <w:spacing w:after="6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5760"/>
      </w:tblGrid>
      <w:tr>
        <w:tc>
          <w:tcPr>
            <w:tcW w:type="dxa" w:w="144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w:t>
            </w:r>
          </w:p>
        </w:tc>
        <w:tc>
          <w:tcPr>
            <w:tcW w:type="dxa" w:w="25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Intervention</w:t>
            </w:r>
          </w:p>
        </w:tc>
        <w:tc>
          <w:tcPr>
            <w:tcW w:type="dxa" w:w="57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Why It Works</w:t>
            </w:r>
          </w:p>
        </w:tc>
      </w:tr>
      <w:tr>
        <w:tc>
          <w:tcPr>
            <w:tcW w:type="dxa" w:w="144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spacing w:after="40" w:before="40"/>
            </w:pPr>
            <w:r>
              <w:rPr>
                <w:rFonts w:ascii="Arial" w:cs="Arial" w:eastAsia="Arial" w:hAnsi="Arial"/>
                <w:b w:val="false"/>
                <w:bCs w:val="false"/>
                <w:color w:val="000000"/>
                <w:sz w:val="19"/>
                <w:szCs w:val="19"/>
              </w:rPr>
              <w:t xml:space="preserve">1</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19"/>
                <w:szCs w:val="19"/>
              </w:rPr>
              <w:t xml:space="preserve">Start with the highest-friction task they repeat most often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19"/>
                <w:szCs w:val="19"/>
              </w:rPr>
              <w:t xml:space="preserve">Not 'try AI for something' — 'what is the thing you do every week that takes the most time and feels like grunt work?' Specificity converts. Generic doesn't. This is the specification prerequisite: the SME identifies the workflow before the tool.</w:t>
            </w:r>
          </w:p>
        </w:tc>
      </w:tr>
      <w:tr>
        <w:tc>
          <w:tcPr>
            <w:tcW w:type="dxa" w:w="144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spacing w:after="40" w:before="40"/>
            </w:pPr>
            <w:r>
              <w:rPr>
                <w:rFonts w:ascii="Arial" w:cs="Arial" w:eastAsia="Arial" w:hAnsi="Arial"/>
                <w:b w:val="false"/>
                <w:bCs w:val="false"/>
                <w:color w:val="000000"/>
                <w:sz w:val="19"/>
                <w:szCs w:val="19"/>
              </w:rPr>
              <w:t xml:space="preserve">2</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19"/>
                <w:szCs w:val="19"/>
              </w:rPr>
              <w:t xml:space="preserve">First session = doing with real work, not learning in abstract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19"/>
                <w:szCs w:val="19"/>
              </w:rPr>
              <w:t xml:space="preserve">HBR senior leaders research: 'Narrow ROI framing discourages idea contribution.' The inverse is also true: a 30-minute hands-on session using their actual email, their actual client notes, their actual product spec produces more conversion than a 90-minute workshop showing what AI can do in general. (HBR SeniorLeadersAIAdoption, Feb 2026)</w:t>
            </w:r>
          </w:p>
        </w:tc>
      </w:tr>
      <w:tr>
        <w:tc>
          <w:tcPr>
            <w:tcW w:type="dxa" w:w="144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spacing w:after="40" w:before="40"/>
            </w:pPr>
            <w:r>
              <w:rPr>
                <w:rFonts w:ascii="Arial" w:cs="Arial" w:eastAsia="Arial" w:hAnsi="Arial"/>
                <w:b w:val="false"/>
                <w:bCs w:val="false"/>
                <w:color w:val="000000"/>
                <w:sz w:val="19"/>
                <w:szCs w:val="19"/>
              </w:rPr>
              <w:t xml:space="preserve">3</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19"/>
                <w:szCs w:val="19"/>
              </w:rPr>
              <w:t xml:space="preserve">Define 'done' before starting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19"/>
                <w:szCs w:val="19"/>
              </w:rPr>
              <w:t xml:space="preserve">The most common failure mode is launching with 'try some things and see what sticks.' SMEs need one clear outcome to aim for in the first 30 days — not a toolbox. This mirrors the ServiceNow lesson: governance (what success looks like) must precede deployment.</w:t>
            </w:r>
          </w:p>
        </w:tc>
      </w:tr>
    </w:tbl>
    <w:p>
      <w:pPr>
        <w:spacing w:after="140" w:before="0"/>
      </w:pPr>
      <w:r>
        <w:t xml:space="preserve"/>
      </w:r>
    </w:p>
    <w:p>
      <w:pPr>
        <w:pStyle w:val="Heading1"/>
        <w:pBdr>
          <w:bottom w:val="single" w:color="2E75B6" w:sz="6" w:space="4"/>
        </w:pBdr>
        <w:spacing w:after="160" w:before="360"/>
      </w:pPr>
      <w:r>
        <w:rPr>
          <w:rFonts w:ascii="Arial" w:cs="Arial" w:eastAsia="Arial" w:hAnsi="Arial"/>
          <w:b/>
          <w:bCs/>
          <w:color w:val="1B3A5C"/>
          <w:sz w:val="28"/>
          <w:szCs w:val="28"/>
        </w:rPr>
        <w:t xml:space="preserve">Section 4: NZTE's Two Portfolio Segments — Different Starting Points</w:t>
      </w:r>
    </w:p>
    <w:p>
      <w:pPr>
        <w:spacing w:after="80" w:before="60"/>
        <w:jc w:val="left"/>
      </w:pPr>
      <w:r>
        <w:rPr>
          <w:rFonts w:ascii="Arial" w:cs="Arial" w:eastAsia="Arial" w:hAnsi="Arial"/>
          <w:b w:val="false"/>
          <w:bCs w:val="false"/>
          <w:i w:val="false"/>
          <w:iCs w:val="false"/>
          <w:color w:val="000000"/>
          <w:sz w:val="20"/>
          <w:szCs w:val="20"/>
        </w:rPr>
        <w:t xml:space="preserve">Jo described two distinct portfolio audiences. The research suggests they have different bottlenecks and need different entry points.</w:t>
      </w:r>
    </w:p>
    <w:p>
      <w:pPr>
        <w:spacing w:after="8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CPG / F&amp;B / Broader SMEs — 'How do I start?'</w:t>
            </w:r>
          </w:p>
        </w:tc>
        <w:tc>
          <w:tcPr>
            <w:tcW w:type="dxa" w:w="48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B2B Manufacturing / Industrial — 'Behind on both marketing AND AI'</w:t>
            </w:r>
          </w:p>
        </w:tc>
      </w:tr>
      <w:tr>
        <w:tc>
          <w:tcPr>
            <w:tcW w:type="dxa" w:w="48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spacing w:after="30" w:before="30"/>
            </w:pPr>
            <w:r>
              <w:rPr>
                <w:rFonts w:ascii="Arial" w:cs="Arial" w:eastAsia="Arial" w:hAnsi="Arial"/>
                <w:b/>
                <w:bCs/>
                <w:color w:val="000000"/>
                <w:sz w:val="19"/>
                <w:szCs w:val="19"/>
              </w:rPr>
              <w:t xml:space="preserve">Bottleneck: specification, not motivation</w:t>
            </w:r>
          </w:p>
          <w:p>
            <w:pPr>
              <w:spacing w:after="30" w:before="30"/>
            </w:pPr>
            <w:r>
              <w:rPr>
                <w:rFonts w:ascii="Arial" w:cs="Arial" w:eastAsia="Arial" w:hAnsi="Arial"/>
                <w:b w:val="false"/>
                <w:bCs w:val="false"/>
                <w:color w:val="000000"/>
                <w:sz w:val="19"/>
                <w:szCs w:val="19"/>
              </w:rPr>
              <w:t xml:space="preserve"/>
            </w:r>
          </w:p>
          <w:p>
            <w:pPr>
              <w:spacing w:after="30" w:before="30"/>
            </w:pPr>
            <w:r>
              <w:rPr>
                <w:rFonts w:ascii="Arial" w:cs="Arial" w:eastAsia="Arial" w:hAnsi="Arial"/>
                <w:b w:val="false"/>
                <w:bCs w:val="false"/>
                <w:color w:val="000000"/>
                <w:sz w:val="19"/>
                <w:szCs w:val="19"/>
              </w:rPr>
              <w:t xml:space="preserve">They want to start. They don't know where to start with their specific situation.</w:t>
            </w:r>
          </w:p>
        </w:tc>
        <w:tc>
          <w:tcPr>
            <w:tcW w:type="dxa" w:w="48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spacing w:after="30" w:before="30"/>
            </w:pPr>
            <w:r>
              <w:rPr>
                <w:rFonts w:ascii="Arial" w:cs="Arial" w:eastAsia="Arial" w:hAnsi="Arial"/>
                <w:b/>
                <w:bCs/>
                <w:color w:val="000000"/>
                <w:sz w:val="19"/>
                <w:szCs w:val="19"/>
              </w:rPr>
              <w:t xml:space="preserve">Bottleneck: foundation before AI</w:t>
            </w:r>
          </w:p>
          <w:p>
            <w:pPr>
              <w:spacing w:after="30" w:before="30"/>
            </w:pPr>
            <w:r>
              <w:rPr>
                <w:rFonts w:ascii="Arial" w:cs="Arial" w:eastAsia="Arial" w:hAnsi="Arial"/>
                <w:b w:val="false"/>
                <w:bCs w:val="false"/>
                <w:color w:val="000000"/>
                <w:sz w:val="19"/>
                <w:szCs w:val="19"/>
              </w:rPr>
              <w:t xml:space="preserve"/>
            </w:r>
          </w:p>
          <w:p>
            <w:pPr>
              <w:spacing w:after="30" w:before="30"/>
            </w:pPr>
            <w:r>
              <w:rPr>
                <w:rFonts w:ascii="Arial" w:cs="Arial" w:eastAsia="Arial" w:hAnsi="Arial"/>
                <w:b w:val="false"/>
                <w:bCs w:val="false"/>
                <w:color w:val="000000"/>
                <w:sz w:val="19"/>
                <w:szCs w:val="19"/>
              </w:rPr>
              <w:t xml:space="preserve">Basic digital marketing infrastructure often absent. AI-on-top-of-broken-foundation compounds problems.</w:t>
            </w:r>
          </w:p>
        </w:tc>
      </w:tr>
      <w:tr>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000000"/>
                <w:sz w:val="19"/>
                <w:szCs w:val="19"/>
              </w:rPr>
              <w:t xml:space="preserve">Best entry point: identify the one workflow they do most that produces the least value per hour invested. Build specificity around that first.</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000000"/>
                <w:sz w:val="19"/>
                <w:szCs w:val="19"/>
              </w:rPr>
              <w:t xml:space="preserve">Best entry point: audit current state (what does their customer-facing communication look like today?) before AI. The research confirms: context quality determines AI value — and context requires existing documentation of processes and goals.</w:t>
            </w:r>
          </w:p>
        </w:tc>
      </w:tr>
      <w:tr>
        <w:tc>
          <w:tcPr>
            <w:tcW w:type="dxa" w:w="486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spacing w:after="30" w:before="30"/>
            </w:pPr>
            <w:r>
              <w:rPr>
                <w:rFonts w:ascii="Arial" w:cs="Arial" w:eastAsia="Arial" w:hAnsi="Arial"/>
                <w:b w:val="false"/>
                <w:bCs w:val="false"/>
                <w:color w:val="000000"/>
                <w:sz w:val="19"/>
                <w:szCs w:val="19"/>
              </w:rPr>
              <w:t xml:space="preserve">Research signal: 34% of organizations are 'deep transformers' — the SMEs in this segment are the candidates for that tier if they get specification right early.</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000000"/>
                <w:sz w:val="19"/>
                <w:szCs w:val="19"/>
              </w:rPr>
              <w:t xml:space="preserve">Research signal: Vicky Zhao's knowledge protection research: 'Sandcastle work — task execution without framework abstraction — produces zero organizational accumulation.' These SMEs need framework before tools.</w:t>
            </w:r>
          </w:p>
        </w:tc>
      </w:tr>
    </w:tbl>
    <w:p>
      <w:pPr>
        <w:spacing w:after="160" w:before="0"/>
      </w:pPr>
      <w:r>
        <w:t xml:space="preserve"/>
      </w:r>
    </w:p>
    <w:p>
      <w:r>
        <w:br w:type="page"/>
      </w:r>
    </w:p>
    <w:p>
      <w:pPr>
        <w:pStyle w:val="Heading1"/>
        <w:pBdr>
          <w:bottom w:val="single" w:color="2E75B6" w:sz="6" w:space="4"/>
        </w:pBdr>
        <w:spacing w:after="160" w:before="360"/>
      </w:pPr>
      <w:r>
        <w:rPr>
          <w:rFonts w:ascii="Arial" w:cs="Arial" w:eastAsia="Arial" w:hAnsi="Arial"/>
          <w:b/>
          <w:bCs/>
          <w:color w:val="1B3A5C"/>
          <w:sz w:val="28"/>
          <w:szCs w:val="28"/>
        </w:rPr>
        <w:t xml:space="preserve">Section 5: Questions to Bring to the Vida Session</w:t>
      </w:r>
    </w:p>
    <w:p>
      <w:pPr>
        <w:spacing w:after="80" w:before="60"/>
        <w:jc w:val="left"/>
      </w:pPr>
      <w:r>
        <w:rPr>
          <w:rFonts w:ascii="Arial" w:cs="Arial" w:eastAsia="Arial" w:hAnsi="Arial"/>
          <w:b w:val="false"/>
          <w:bCs w:val="false"/>
          <w:i w:val="false"/>
          <w:iCs w:val="false"/>
          <w:color w:val="000000"/>
          <w:sz w:val="20"/>
          <w:szCs w:val="20"/>
        </w:rPr>
        <w:t xml:space="preserve">Vida will walk through the 6 regional projects Maude wants to ship in the next 3-4 months. These questions are designed to surface the information needed to move from surface-level insights to specific, useful guidance.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12"/>
              <w:bottom w:val="single" w:color="2E75B6" w:sz="1"/>
              <w:right w:val="single" w:color="FFFFFF" w:sz="1"/>
            </w:tcBorders>
            <w:shd w:fill="D5E8F0" w:val="clear"/>
            <w:tcMar>
              <w:top w:type="dxa" w:w="100"/>
              <w:left w:type="dxa" w:w="140"/>
              <w:bottom w:type="dxa" w:w="100"/>
              <w:right w:type="dxa" w:w="140"/>
            </w:tcMar>
          </w:tcPr>
          <w:p>
            <w:pPr>
              <w:spacing w:after="40" w:before="40"/>
            </w:pPr>
            <w:r>
              <w:rPr>
                <w:rFonts w:ascii="Arial" w:cs="Arial" w:eastAsia="Arial" w:hAnsi="Arial"/>
                <w:b/>
                <w:bCs/>
                <w:color w:val="2E75B6"/>
                <w:sz w:val="19"/>
                <w:szCs w:val="19"/>
              </w:rPr>
              <w:t xml:space="preserve">Key principle: </w:t>
            </w:r>
            <w:r>
              <w:rPr>
                <w:rFonts w:ascii="Arial" w:cs="Arial" w:eastAsia="Arial" w:hAnsi="Arial"/>
                <w:color w:val="333333"/>
                <w:sz w:val="19"/>
                <w:szCs w:val="19"/>
              </w:rPr>
              <w:t xml:space="preserve">The research confirms: the tool is 0.02% of what determines outcomes. The organizational infrastructure around it — specification, workflow redesign, governance — is the remaining 99.98%. These questions probe that infrastructure, not the tool features. (Source: AINewsStrategyDaily FourDisciplinesOfPrompting, Feb 2026)</w:t>
            </w:r>
          </w:p>
        </w:tc>
      </w:tr>
    </w:tbl>
    <w:p>
      <w:pPr>
        <w:spacing w:after="10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680"/>
        <w:gridCol w:w="5040"/>
      </w:tblGrid>
      <w:tr>
        <w:tc>
          <w:tcPr>
            <w:tcW w:type="dxa" w:w="468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Question to Ask About Each Project</w:t>
            </w:r>
          </w:p>
        </w:tc>
        <w:tc>
          <w:tcPr>
            <w:tcW w:type="dxa" w:w="504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Why It Matters</w:t>
            </w:r>
          </w:p>
        </w:tc>
      </w:tr>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40" w:before="40"/>
            </w:pPr>
            <w:r>
              <w:rPr>
                <w:rFonts w:ascii="Arial" w:cs="Arial" w:eastAsia="Arial" w:hAnsi="Arial"/>
                <w:b w:val="false"/>
                <w:bCs w:val="false"/>
                <w:color w:val="000000"/>
                <w:sz w:val="19"/>
                <w:szCs w:val="19"/>
              </w:rPr>
              <w:t xml:space="preserve">1. What specific decision or action does this tool support — not what does it do, but what does the BDM do differently after using it?</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19"/>
                <w:szCs w:val="19"/>
              </w:rPr>
              <w:t xml:space="preserve">Distinguishes workflow redesign (durable value) from task automation (fragile, replaceable, measurable only by time saved).</w:t>
            </w:r>
          </w:p>
        </w:tc>
      </w:tr>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40" w:before="40"/>
            </w:pPr>
            <w:r>
              <w:rPr>
                <w:rFonts w:ascii="Arial" w:cs="Arial" w:eastAsia="Arial" w:hAnsi="Arial"/>
                <w:b w:val="false"/>
                <w:bCs w:val="false"/>
                <w:color w:val="000000"/>
                <w:sz w:val="19"/>
                <w:szCs w:val="19"/>
              </w:rPr>
              <w:t xml:space="preserve">2. What does 'using it well' look like vs. 'just using it'? Can Maude's team tell the difference?</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19"/>
                <w:szCs w:val="19"/>
              </w:rPr>
              <w:t xml:space="preserve">The Klarna failure happened because there was no specification of what 'good' looked like beyond speed. Asking this surfaces the quality criteria gap before deployment.</w:t>
            </w:r>
          </w:p>
        </w:tc>
      </w:tr>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40" w:before="40"/>
            </w:pPr>
            <w:r>
              <w:rPr>
                <w:rFonts w:ascii="Arial" w:cs="Arial" w:eastAsia="Arial" w:hAnsi="Arial"/>
                <w:b w:val="false"/>
                <w:bCs w:val="false"/>
                <w:color w:val="000000"/>
                <w:sz w:val="19"/>
                <w:szCs w:val="19"/>
              </w:rPr>
              <w:t xml:space="preserve">3. Is there a second-layer metric for customer or portfolio company impact connected to this project?</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19"/>
                <w:szCs w:val="19"/>
              </w:rPr>
              <w:t xml:space="preserve">Both Jo and Basil identified this gap in our first meeting. Asking it project-by-project creates the opportunity to close it before the tools launch.</w:t>
            </w:r>
          </w:p>
        </w:tc>
      </w:tr>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40" w:before="40"/>
            </w:pPr>
            <w:r>
              <w:rPr>
                <w:rFonts w:ascii="Arial" w:cs="Arial" w:eastAsia="Arial" w:hAnsi="Arial"/>
                <w:b w:val="false"/>
                <w:bCs w:val="false"/>
                <w:color w:val="000000"/>
                <w:sz w:val="19"/>
                <w:szCs w:val="19"/>
              </w:rPr>
              <w:t xml:space="preserve">4. How is governance handled — is it built into the tool's design or added as policy on top?</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19"/>
                <w:szCs w:val="19"/>
              </w:rPr>
              <w:t xml:space="preserve">ServiceNow's lesson: governance embedded in execution scales. Governance as policy on top stalls at scale. Relevant given NZTE's government data security constraints.</w:t>
            </w:r>
          </w:p>
        </w:tc>
      </w:tr>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40" w:before="40"/>
            </w:pPr>
            <w:r>
              <w:rPr>
                <w:rFonts w:ascii="Arial" w:cs="Arial" w:eastAsia="Arial" w:hAnsi="Arial"/>
                <w:b w:val="false"/>
                <w:bCs w:val="false"/>
                <w:color w:val="000000"/>
                <w:sz w:val="19"/>
                <w:szCs w:val="19"/>
              </w:rPr>
              <w:t xml:space="preserve">5. What is the job redesign plan? Which part of the BDM's current workflow is this replacing, and what are they now freed to do with that time?</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000000"/>
                <w:sz w:val="19"/>
                <w:szCs w:val="19"/>
              </w:rPr>
              <w:t xml:space="preserve">84% of organizations deploy AI without redesigning jobs (Deloitte, 3,235 respondents). Without job redesign, tools add to workload (work intensification) rather than creating capacity.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thick" w:color="375623" w:sz="12"/>
              <w:bottom w:val="single" w:color="375623" w:sz="1"/>
              <w:right w:val="single" w:color="FFFFFF" w:sz="1"/>
            </w:tcBorders>
            <w:shd w:fill="E2EFDA" w:val="clear"/>
            <w:tcMar>
              <w:top w:type="dxa" w:w="100"/>
              <w:left w:type="dxa" w:w="140"/>
              <w:bottom w:type="dxa" w:w="100"/>
              <w:right w:type="dxa" w:w="140"/>
            </w:tcMar>
          </w:tcPr>
          <w:p>
            <w:pPr>
              <w:spacing w:after="40" w:before="40"/>
            </w:pPr>
            <w:r>
              <w:rPr>
                <w:rFonts w:ascii="Arial" w:cs="Arial" w:eastAsia="Arial" w:hAnsi="Arial"/>
                <w:b/>
                <w:bCs/>
                <w:color w:val="375623"/>
                <w:sz w:val="19"/>
                <w:szCs w:val="19"/>
              </w:rPr>
              <w:t xml:space="preserve">For Jo's webinar/workshop content: </w:t>
            </w:r>
            <w:r>
              <w:rPr>
                <w:rFonts w:ascii="Arial" w:cs="Arial" w:eastAsia="Arial" w:hAnsi="Arial"/>
                <w:color w:val="333333"/>
                <w:sz w:val="19"/>
                <w:szCs w:val="19"/>
              </w:rPr>
              <w:t xml:space="preserve">The most useful framing for portfolio companies may be: 'What is the one thing you do most that delivers the least value per hour, and what would your business look like if that task took 80% less time?' That question moves from AI-in-general to specification — which is where the actual value is. Happy to develop a workshop framing around this for NZTE portfolio audiences after the Vida session.</w:t>
            </w:r>
          </w:p>
        </w:tc>
      </w:tr>
    </w:tbl>
    <w:p>
      <w:pPr>
        <w:spacing w:after="80" w:before="0"/>
      </w:pPr>
      <w:r>
        <w:t xml:space="preserve"/>
      </w:r>
    </w:p>
    <w:p>
      <w:pPr>
        <w:pBdr>
          <w:bottom w:val="single" w:color="2E75B6" w:sz="4" w:space="1"/>
        </w:pBdr>
        <w:spacing w:after="80" w:before="80"/>
      </w:pPr>
      <w:r>
        <w:t xml:space="preserve"/>
      </w:r>
    </w:p>
    <w:p>
      <w:pPr>
        <w:spacing w:after="40" w:before="80"/>
      </w:pPr>
      <w:r>
        <w:rPr>
          <w:rFonts w:ascii="Arial" w:cs="Arial" w:eastAsia="Arial" w:hAnsi="Arial"/>
          <w:b/>
          <w:bCs/>
          <w:color w:val="555555"/>
          <w:sz w:val="18"/>
          <w:szCs w:val="18"/>
        </w:rPr>
        <w:t xml:space="preserve">Sources: </w:t>
      </w:r>
      <w:r>
        <w:rPr>
          <w:rFonts w:ascii="Arial" w:cs="Arial" w:eastAsia="Arial" w:hAnsi="Arial"/>
          <w:color w:val="555555"/>
          <w:sz w:val="18"/>
          <w:szCs w:val="18"/>
        </w:rPr>
        <w:t xml:space="preserve">CRIS Research System — 155+ sources processed through February 28, 2026. Key sources: </w:t>
      </w:r>
      <w:r>
        <w:rPr>
          <w:rFonts w:ascii="Arial" w:cs="Arial" w:eastAsia="Arial" w:hAnsi="Arial"/>
          <w:color w:val="777777"/>
          <w:sz w:val="18"/>
          <w:szCs w:val="18"/>
        </w:rPr>
        <w:t xml:space="preserve">HarvardBusinessReview_WhyAIAdoptionStalls, AINewsStrategyDaily_IntentEngineering, VentureBeat_ServiceNowITAutonomy, Deloitte_StateOfAI2026, AINewsStrategyDaily_CapabilityDissipationGap, AINewsStrategyDaily_FourDisciplinesOfPromptingPost2026, VickyZhao_ProtectKnowledgeAI (all Feb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2026-03-06T22:40:29.093Z</dcterms:created>
  <dcterms:modified xsi:type="dcterms:W3CDTF">2026-03-06T22:40:29.093Z</dcterms:modified>
</cp:coreProperties>
</file>

<file path=docProps/custom.xml><?xml version="1.0" encoding="utf-8"?>
<Properties xmlns="http://schemas.openxmlformats.org/officeDocument/2006/custom-properties" xmlns:vt="http://schemas.openxmlformats.org/officeDocument/2006/docPropsVTypes"/>
</file>