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1"/>
              <w:left w:val="single" w:color="1B3A5C" w:sz="1"/>
              <w:bottom w:val="single" w:color="1B3A5C" w:sz="1"/>
              <w:right w:val="single" w:color="1B3A5C" w:sz="1"/>
            </w:tcBorders>
            <w:shd w:fill="1B3A5C" w:val="clear"/>
            <w:tcMar>
              <w:top w:type="dxa" w:w="240"/>
              <w:left w:type="dxa" w:w="280"/>
              <w:bottom w:type="dxa" w:w="240"/>
              <w:right w:type="dxa" w:w="280"/>
            </w:tcMar>
          </w:tcPr>
          <w:p>
            <w:pPr>
              <w:spacing w:after="60" w:before="0"/>
            </w:pPr>
            <w:r>
              <w:rPr>
                <w:rFonts w:ascii="Arial" w:cs="Arial" w:eastAsia="Arial" w:hAnsi="Arial"/>
                <w:b/>
                <w:bCs/>
                <w:color w:val="FFFFFF"/>
                <w:sz w:val="36"/>
                <w:szCs w:val="36"/>
              </w:rPr>
              <w:t xml:space="preserve">NZTE: Research Evidence &amp; Insights — v2</w:t>
            </w:r>
          </w:p>
          <w:p>
            <w:pPr>
              <w:spacing w:after="60" w:before="0"/>
            </w:pPr>
            <w:r>
              <w:rPr>
                <w:rFonts w:ascii="Arial" w:cs="Arial" w:eastAsia="Arial" w:hAnsi="Arial"/>
                <w:color w:val="B8D4E8"/>
                <w:sz w:val="20"/>
                <w:szCs w:val="20"/>
              </w:rPr>
              <w:t xml:space="preserve">Full Citations + Positive ROI Case Studies | Prepared for Next Meeting</w:t>
            </w:r>
          </w:p>
          <w:p>
            <w:pPr>
              <w:spacing w:after="0" w:before="0"/>
            </w:pPr>
            <w:r>
              <w:rPr>
                <w:rFonts w:ascii="Arial" w:cs="Arial" w:eastAsia="Arial" w:hAnsi="Arial"/>
                <w:color w:val="7FB3D3"/>
                <w:sz w:val="18"/>
                <w:szCs w:val="18"/>
              </w:rPr>
              <w:t xml:space="preserve">Super by Design  |  March 2026  |  CRIS Research System: 155+ sources, ~3,000 data points</w:t>
            </w:r>
          </w:p>
        </w:tc>
      </w:tr>
    </w:tbl>
    <w:p>
      <w:pPr>
        <w:spacing w:after="1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About citations: </w:t>
            </w:r>
            <w:r>
              <w:rPr>
                <w:rFonts w:ascii="Arial" w:cs="Arial" w:eastAsia="Arial" w:hAnsi="Arial"/>
                <w:color w:val="333333"/>
                <w:sz w:val="19"/>
                <w:szCs w:val="19"/>
              </w:rPr>
              <w:t xml:space="preserve">Every data point in this document carries an inline citation. Format: [Publication, 'Title if applicable,' Date/Wave, location]. All sources are in the CRIS Research System extraction folder at 02_Extractions/ for full traceability.</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B3A5C"/>
          <w:sz w:val="28"/>
          <w:szCs w:val="28"/>
        </w:rPr>
        <w:t xml:space="preserve">Section 1: NZTE's 4 KPIs — What the Research Reveals</w:t>
      </w:r>
    </w:p>
    <w:p>
      <w:pPr>
        <w:spacing w:after="80" w:before="60"/>
      </w:pPr>
      <w:r>
        <w:rPr>
          <w:rFonts w:ascii="Arial" w:cs="Arial" w:eastAsia="Arial" w:hAnsi="Arial"/>
          <w:b w:val="false"/>
          <w:bCs w:val="false"/>
          <w:i w:val="false"/>
          <w:iCs w:val="false"/>
          <w:color w:val="000000"/>
          <w:sz w:val="20"/>
          <w:szCs w:val="20"/>
        </w:rPr>
        <w:t xml:space="preserve">Each KPI measures something real. Citations are included so you can pull the source directly.</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160"/>
        <w:gridCol w:w="28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KPI</w:t>
            </w:r>
          </w:p>
        </w:tc>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Measures</w:t>
            </w:r>
          </w:p>
        </w:tc>
        <w:tc>
          <w:tcPr>
            <w:tcW w:type="dxa" w:w="3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CRIS Research Shows (with citations)</w:t>
            </w:r>
          </w:p>
        </w:tc>
        <w:tc>
          <w:tcPr>
            <w:tcW w:type="dxa" w:w="2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Risk (with citations)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Adoption Rate</w:t>
            </w:r>
          </w:p>
          <w:p>
            <w:pPr>
              <w:spacing w:after="30" w:before="30"/>
            </w:pPr>
            <w:r>
              <w:rPr>
                <w:rFonts w:ascii="Arial" w:cs="Arial" w:eastAsia="Arial" w:hAnsi="Arial"/>
                <w:b w:val="false"/>
                <w:bCs w:val="false"/>
                <w:color w:val="555555"/>
                <w:sz w:val="18"/>
                <w:szCs w:val="18"/>
              </w:rPr>
              <w:t xml:space="preserve">% of BDMs using tool weekly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Behavioral compliance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88% of organizations report AI deployment, yet only 23% of Americans use AI regularly despite 63% having tried it.</w:t>
            </w:r>
            <w:r>
              <w:rPr>
                <w:rFonts w:ascii="Arial" w:cs="Arial" w:eastAsia="Arial" w:hAnsi="Arial"/>
                <w:i/>
                <w:iCs/>
                <w:color w:val="666666"/>
                <w:sz w:val="17"/>
                <w:szCs w:val="17"/>
              </w:rPr>
              <w:t xml:space="preserve">  [YouGov, 'Americans AI Job Reduction,' Feb 2026, DP1-4]</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Anxious employees use AI in 65% of their work vs. 42% for non-anxious employees. Fear drives usage, not value creation.</w:t>
            </w:r>
            <w:r>
              <w:rPr>
                <w:rFonts w:ascii="Arial" w:cs="Arial" w:eastAsia="Arial" w:hAnsi="Arial"/>
                <w:i/>
                <w:iCs/>
                <w:color w:val="666666"/>
                <w:sz w:val="17"/>
                <w:szCs w:val="17"/>
              </w:rPr>
              <w:t xml:space="preserve">  [HBR, 'Why AI Adoption Stalls,' Feb 2026, DP8]</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88% deployment coexists with widespread anxiety — 33% of employees experience severe multi-dimensional AI anxiety.</w:t>
            </w:r>
            <w:r>
              <w:rPr>
                <w:rFonts w:ascii="Arial" w:cs="Arial" w:eastAsia="Arial" w:hAnsi="Arial"/>
                <w:i/>
                <w:iCs/>
                <w:color w:val="666666"/>
                <w:sz w:val="17"/>
                <w:szCs w:val="17"/>
              </w:rPr>
              <w:t xml:space="preserve">  [HBR, 'Why AI Adoption Stalls,' Feb 2026, DP2-4]</w:t>
            </w:r>
          </w:p>
        </w:tc>
        <w:tc>
          <w:tcPr>
            <w:tcW w:type="dxa" w:w="2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High adoption rate may be measuring fear-driven compliance, not genuine value creation.</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Microsoft Copilot: 85% pilot adoption collapsed to 5% at enterprise scale — same tool, same capability.</w:t>
            </w:r>
            <w:r>
              <w:rPr>
                <w:rFonts w:ascii="Arial" w:cs="Arial" w:eastAsia="Arial" w:hAnsi="Arial"/>
                <w:i/>
                <w:iCs/>
                <w:color w:val="666666"/>
                <w:sz w:val="17"/>
                <w:szCs w:val="17"/>
              </w:rPr>
              <w:t xml:space="preserve">  [AI News &amp; Strategy Daily, 'Intent Engineering,' Feb 2026, DP4]</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User Rating</w:t>
            </w:r>
          </w:p>
          <w:p>
            <w:pPr>
              <w:spacing w:after="30" w:before="30"/>
            </w:pPr>
            <w:r>
              <w:rPr>
                <w:rFonts w:ascii="Arial" w:cs="Arial" w:eastAsia="Arial" w:hAnsi="Arial"/>
                <w:b w:val="false"/>
                <w:bCs w:val="false"/>
                <w:color w:val="555555"/>
                <w:sz w:val="18"/>
                <w:szCs w:val="18"/>
              </w:rPr>
              <w:t xml:space="preserve">Avg. satisfaction ≥ 4/5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User experience quality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Satisfaction correlates with tool design and ease of use — not with business outcomes.</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Klarna's customer service AI resolved 2.3M conversations. Speed metrics looked excellent. The agent was optimized for resolution speed, not customer satisfaction, and destroyed customer relationships.</w:t>
            </w:r>
            <w:r>
              <w:rPr>
                <w:rFonts w:ascii="Arial" w:cs="Arial" w:eastAsia="Arial" w:hAnsi="Arial"/>
                <w:i/>
                <w:iCs/>
                <w:color w:val="666666"/>
                <w:sz w:val="17"/>
                <w:szCs w:val="17"/>
              </w:rPr>
              <w:t xml:space="preserve">  [AI News &amp; Strategy Daily, 'Intent Engineering,' Feb 2026, DP1]</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74% of companies allocating $700M+ to AI reported no tangible value.</w:t>
            </w:r>
            <w:r>
              <w:rPr>
                <w:rFonts w:ascii="Arial" w:cs="Arial" w:eastAsia="Arial" w:hAnsi="Arial"/>
                <w:i/>
                <w:iCs/>
                <w:color w:val="666666"/>
                <w:sz w:val="17"/>
                <w:szCs w:val="17"/>
              </w:rPr>
              <w:t xml:space="preserve">  [AI News &amp; Strategy Daily, 'Intent Engineering,' Feb 2026, DP5]</w:t>
            </w:r>
          </w:p>
        </w:tc>
        <w:tc>
          <w:tcPr>
            <w:tcW w:type="dxa" w:w="2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A 4+/5 rating can coexist with zero business impact if the tool is pleasant but not embedded in meaningful workflows.</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57% of companies put $700M+ into AI; 74% report no tangible value. Satisfaction and investment are not correlated with outcomes.</w:t>
            </w:r>
            <w:r>
              <w:rPr>
                <w:rFonts w:ascii="Arial" w:cs="Arial" w:eastAsia="Arial" w:hAnsi="Arial"/>
                <w:i/>
                <w:iCs/>
                <w:color w:val="666666"/>
                <w:sz w:val="17"/>
                <w:szCs w:val="17"/>
              </w:rPr>
              <w:t xml:space="preserve">  [AI News &amp; Strategy Daily, 'Intent Engineering,' Feb 2026, DP3-5]</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Repeat Usage</w:t>
            </w:r>
          </w:p>
          <w:p>
            <w:pPr>
              <w:spacing w:after="30" w:before="30"/>
            </w:pPr>
            <w:r>
              <w:rPr>
                <w:rFonts w:ascii="Arial" w:cs="Arial" w:eastAsia="Arial" w:hAnsi="Arial"/>
                <w:b w:val="false"/>
                <w:bCs w:val="false"/>
                <w:color w:val="555555"/>
                <w:sz w:val="18"/>
                <w:szCs w:val="18"/>
              </w:rPr>
              <w:t xml:space="preserve">% returning multiple times/week</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Stickiness / habit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Usage does not equal adoption. 88% of companies report AI deployment but 84% have NOT redesigned jobs around AI.</w:t>
            </w:r>
            <w:r>
              <w:rPr>
                <w:rFonts w:ascii="Arial" w:cs="Arial" w:eastAsia="Arial" w:hAnsi="Arial"/>
                <w:i/>
                <w:iCs/>
                <w:color w:val="666666"/>
                <w:sz w:val="17"/>
                <w:szCs w:val="17"/>
              </w:rPr>
              <w:t xml:space="preserve">  [Deloitte State of AI 2026, 3,235 respondents, Feb 2026, DP7]</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Repeat usage is high when the tool replaces a recurring task — whether or not that task was the right one to target.</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Anxious employees use AI more often than non-anxious ones — the habitual usage pattern is driven by self-protective compliance, not satisfaction.</w:t>
            </w:r>
            <w:r>
              <w:rPr>
                <w:rFonts w:ascii="Arial" w:cs="Arial" w:eastAsia="Arial" w:hAnsi="Arial"/>
                <w:i/>
                <w:iCs/>
                <w:color w:val="666666"/>
                <w:sz w:val="17"/>
                <w:szCs w:val="17"/>
              </w:rPr>
              <w:t xml:space="preserve">  [HBR, 'Why AI Adoption Stalls,' Feb 2026, DP8-12]</w:t>
            </w:r>
          </w:p>
        </w:tc>
        <w:tc>
          <w:tcPr>
            <w:tcW w:type="dxa" w:w="2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Habitual use of a tool solving the wrong problem is a lagging indicator of misaligned specification — not success.</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The HBR research identifies four employee cohorts: 'Anxious Optimists' use AI most frequently but report the lowest satisfaction with outcomes.</w:t>
            </w:r>
            <w:r>
              <w:rPr>
                <w:rFonts w:ascii="Arial" w:cs="Arial" w:eastAsia="Arial" w:hAnsi="Arial"/>
                <w:i/>
                <w:iCs/>
                <w:color w:val="666666"/>
                <w:sz w:val="17"/>
                <w:szCs w:val="17"/>
              </w:rPr>
              <w:t xml:space="preserve">  [HBR, 'Why AI Adoption Stalls,' Feb 2026, DP4]</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Time Saving</w:t>
            </w:r>
          </w:p>
          <w:p>
            <w:pPr>
              <w:spacing w:after="30" w:before="30"/>
            </w:pPr>
            <w:r>
              <w:rPr>
                <w:rFonts w:ascii="Arial" w:cs="Arial" w:eastAsia="Arial" w:hAnsi="Arial"/>
                <w:b w:val="false"/>
                <w:bCs w:val="false"/>
                <w:color w:val="555555"/>
                <w:sz w:val="18"/>
                <w:szCs w:val="18"/>
              </w:rPr>
              <w:t xml:space="preserve">Self-reported % reduction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Productivity proxy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Time savings was cited as the primary benefit by 76.7% of companies — but it has since dropped to third place (20%) as usage matures and intensifies.</w:t>
            </w:r>
            <w:r>
              <w:rPr>
                <w:rFonts w:ascii="Arial" w:cs="Arial" w:eastAsia="Arial" w:hAnsi="Arial"/>
                <w:i/>
                <w:iCs/>
                <w:color w:val="666666"/>
                <w:sz w:val="17"/>
                <w:szCs w:val="17"/>
              </w:rPr>
              <w:t xml:space="preserve">  [AI Daily Brief, 'The Time Savings Era of AI is Over,' Feb 14, 2026, at 02:45]</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Organizations seeing measurable ROI report 8-12 hours saved per week per employee — but less than one-third of knowledge workers save 4+ hours/week. Organizations need 10+ hours/week to generate ROI.</w:t>
            </w:r>
            <w:r>
              <w:rPr>
                <w:rFonts w:ascii="Arial" w:cs="Arial" w:eastAsia="Arial" w:hAnsi="Arial"/>
                <w:i/>
                <w:iCs/>
                <w:color w:val="666666"/>
                <w:sz w:val="17"/>
                <w:szCs w:val="17"/>
              </w:rPr>
              <w:t xml:space="preserve">  [Section AI Proficiency Report, Jan 2026, p.2]</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Individual AI fluency: ~30% productivity gains. Organizational deployment with workflow redesign: ~300% gains — a 10x gap.</w:t>
            </w:r>
            <w:r>
              <w:rPr>
                <w:rFonts w:ascii="Arial" w:cs="Arial" w:eastAsia="Arial" w:hAnsi="Arial"/>
                <w:i/>
                <w:iCs/>
                <w:color w:val="666666"/>
                <w:sz w:val="17"/>
                <w:szCs w:val="17"/>
              </w:rPr>
              <w:t xml:space="preserve">  [AI News &amp; Strategy Daily, 'Intent Engineering,' Feb 2026, DP12-13]</w:t>
            </w:r>
          </w:p>
        </w:tc>
        <w:tc>
          <w:tcPr>
            <w:tcW w:type="dxa" w:w="2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C55A11"/>
                <w:sz w:val="19"/>
                <w:szCs w:val="19"/>
              </w:rPr>
              <w:t xml:space="preserve">Self-reported time savings systematically overstates early results and decays over time. It measures tool speed, not workflow value.</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The 10x gap between individual and organizational gains means time saved by one person using a tool ≠ organizational value. The measurement needs to capture workflow change, not tool use.</w:t>
            </w:r>
            <w:r>
              <w:rPr>
                <w:rFonts w:ascii="Arial" w:cs="Arial" w:eastAsia="Arial" w:hAnsi="Arial"/>
                <w:i/>
                <w:iCs/>
                <w:color w:val="666666"/>
                <w:sz w:val="17"/>
                <w:szCs w:val="17"/>
              </w:rPr>
              <w:t xml:space="preserve">  [AI News &amp; Strategy Daily, 'Intent Engineering,' Feb 2026, DP12-13]</w:t>
            </w:r>
          </w:p>
        </w:tc>
      </w:tr>
    </w:tbl>
    <w:p>
      <w:pPr>
        <w:spacing w:after="14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2"/>
              <w:bottom w:val="single" w:color="CCCCCC" w:sz="1"/>
              <w:right w:val="single" w:color="FFFFFF" w:sz="1"/>
            </w:tcBorders>
            <w:shd w:fill="E2EFDA" w:val="clear"/>
            <w:tcMar>
              <w:top w:type="dxa" w:w="100"/>
              <w:left w:type="dxa" w:w="140"/>
              <w:bottom w:type="dxa" w:w="100"/>
              <w:right w:type="dxa" w:w="140"/>
            </w:tcMar>
          </w:tcPr>
          <w:p>
            <w:pPr>
              <w:spacing w:after="40" w:before="40"/>
            </w:pPr>
            <w:r>
              <w:rPr>
                <w:rFonts w:ascii="Arial" w:cs="Arial" w:eastAsia="Arial" w:hAnsi="Arial"/>
                <w:b/>
                <w:bCs/>
                <w:color w:val="375623"/>
                <w:sz w:val="19"/>
                <w:szCs w:val="19"/>
              </w:rPr>
              <w:t xml:space="preserve">The missing second layer: </w:t>
            </w:r>
            <w:r>
              <w:rPr>
                <w:rFonts w:ascii="Arial" w:cs="Arial" w:eastAsia="Arial" w:hAnsi="Arial"/>
                <w:color w:val="333333"/>
                <w:sz w:val="19"/>
                <w:szCs w:val="19"/>
              </w:rPr>
              <w:t xml:space="preserve">Both Jo and Basil acknowledged this in our first meeting. The research confirms it. NZTE's 4 KPIs measure tool behavior. The second layer measures customer and portfolio outcomes: Are BDMs having higher-quality client conversations? Are portfolio companies making faster decisions? The 87% of mature AI deployment teams that report improved metrics all share one feature in common: they measure outcomes, not activities.</w:t>
            </w:r>
          </w:p>
        </w:tc>
      </w:tr>
      <w:tr>
        <w:tc>
          <w:tcPr>
            <w:tcW w:type="dxa" w:w="9720"/>
            <w:tcBorders>
              <w:top w:val="single" w:color="CCCCCC" w:sz="1"/>
              <w:left w:val="thick" w:color="375623" w:sz="12"/>
              <w:bottom w:val="single" w:color="375623" w:sz="1"/>
              <w:right w:val="single" w:color="FFFFFF" w:sz="1"/>
            </w:tcBorders>
            <w:shd w:fill="E2EFDA" w:val="clear"/>
            <w:tcMar>
              <w:top w:type="dxa" w:w="100"/>
              <w:left w:type="dxa" w:w="140"/>
              <w:bottom w:type="dxa" w:w="100"/>
              <w:right w:type="dxa" w:w="140"/>
            </w:tcMar>
          </w:tcPr>
          <w:p>
            <w:pPr>
              <w:spacing w:after="20" w:before="2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[Intercom '2026 Customer Service Transformation Report,' Jan 2026, p.3]</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2: Three High-Relevance Case Studies (Cited)</w:t>
      </w:r>
    </w:p>
    <w:p>
      <w:pPr>
        <w:spacing w:after="80" w:before="60"/>
      </w:pPr>
      <w:r>
        <w:rPr>
          <w:rFonts w:ascii="Arial" w:cs="Arial" w:eastAsia="Arial" w:hAnsi="Arial"/>
          <w:b w:val="false"/>
          <w:bCs w:val="false"/>
          <w:i w:val="false"/>
          <w:iCs w:val="false"/>
          <w:color w:val="000000"/>
          <w:sz w:val="20"/>
          <w:szCs w:val="20"/>
        </w:rPr>
        <w:t xml:space="preserve">Two failure modes and one success model, all with full sourcing.</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Case Study 1: Klarna — Measuring Speed, Destroying Relationships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55A11" w:sz="1"/>
              <w:left w:val="thick" w:color="C55A11" w:sz="16"/>
              <w:bottom w:val="single" w:color="CCCCCC" w:sz="1"/>
              <w:right w:val="single" w:color="FFFFFF" w:sz="1"/>
            </w:tcBorders>
            <w:shd w:fill="FCE4D6" w:val="clear"/>
            <w:tcMar>
              <w:top w:type="dxa" w:w="120"/>
              <w:left w:type="dxa" w:w="180"/>
              <w:bottom w:type="dxa" w:w="80"/>
              <w:right w:type="dxa" w:w="180"/>
            </w:tcMar>
          </w:tcPr>
          <w:p>
            <w:r>
              <w:rPr>
                <w:rFonts w:ascii="Arial" w:cs="Arial" w:eastAsia="Arial" w:hAnsi="Arial"/>
                <w:b/>
                <w:bCs/>
                <w:color w:val="C55A11"/>
                <w:sz w:val="22"/>
                <w:szCs w:val="22"/>
              </w:rPr>
              <w:t xml:space="preserve">Klarna — Customer Service AI</w:t>
            </w:r>
          </w:p>
        </w:tc>
      </w:tr>
      <w:tr>
        <w:tc>
          <w:tcPr>
            <w:tcW w:type="dxa" w:w="9720"/>
            <w:tcBorders>
              <w:top w:val="single" w:color="CCCCCC" w:sz="1"/>
              <w:left w:val="single" w:color="CCCCCC" w:sz="1"/>
              <w:bottom w:val="single" w:color="CCCCCC" w:sz="1"/>
              <w:right w:val="single" w:color="CCCCCC" w:sz="1"/>
            </w:tcBorders>
            <w:shd w:fill="FEFEFE"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Deployed AI agent to handle customer service inquiries at scale. Achieved significant volume and speed.</w:t>
            </w:r>
          </w:p>
          <w:p>
            <w:pPr>
              <w:spacing w:after="30" w:before="0"/>
            </w:pPr>
            <w:r>
              <w:rPr>
                <w:rFonts w:ascii="Arial" w:cs="Arial" w:eastAsia="Arial" w:hAnsi="Arial"/>
                <w:b/>
                <w:bCs/>
                <w:sz w:val="19"/>
                <w:szCs w:val="19"/>
              </w:rPr>
              <w:t xml:space="preserve">What was measured:  </w:t>
            </w:r>
            <w:r>
              <w:rPr>
                <w:rFonts w:ascii="Arial" w:cs="Arial" w:eastAsia="Arial" w:hAnsi="Arial"/>
                <w:color w:val="C55A11"/>
                <w:sz w:val="19"/>
                <w:szCs w:val="19"/>
              </w:rPr>
              <w:t xml:space="preserve">Resolution speed and volume — 2.3 million conversations handled.</w:t>
            </w:r>
          </w:p>
          <w:p>
            <w:pPr>
              <w:spacing w:after="30" w:before="0"/>
            </w:pPr>
            <w:r>
              <w:rPr>
                <w:rFonts w:ascii="Arial" w:cs="Arial" w:eastAsia="Arial" w:hAnsi="Arial"/>
                <w:b/>
                <w:bCs/>
                <w:sz w:val="19"/>
                <w:szCs w:val="19"/>
              </w:rPr>
              <w:t xml:space="preserve">What happened:  </w:t>
            </w:r>
            <w:r>
              <w:rPr>
                <w:rFonts w:ascii="Arial" w:cs="Arial" w:eastAsia="Arial" w:hAnsi="Arial"/>
                <w:b/>
                <w:bCs/>
                <w:color w:val="C55A11"/>
                <w:sz w:val="19"/>
                <w:szCs w:val="19"/>
              </w:rPr>
              <w:t xml:space="preserve">Speed metrics were excellent. Customer relationships were destroyed. The tool optimized for the wrong outcome.</w:t>
            </w:r>
          </w:p>
          <w:p>
            <w:pPr>
              <w:spacing w:after="30" w:before="0"/>
            </w:pPr>
            <w:r>
              <w:rPr>
                <w:rFonts w:ascii="Arial" w:cs="Arial" w:eastAsia="Arial" w:hAnsi="Arial"/>
                <w:b/>
                <w:bCs/>
                <w:sz w:val="19"/>
                <w:szCs w:val="19"/>
              </w:rPr>
              <w:t xml:space="preserve">Why it failed:  </w:t>
            </w:r>
            <w:r>
              <w:rPr>
                <w:rFonts w:ascii="Arial" w:cs="Arial" w:eastAsia="Arial" w:hAnsi="Arial"/>
                <w:sz w:val="19"/>
                <w:szCs w:val="19"/>
              </w:rPr>
              <w:t xml:space="preserve">Specification failure. The agent was told to resolve conversations fast. It did exactly that. The intent — maintain customer relationships — was never specified. The KPI measured activity (resolutions), not outcome (relationship quality).</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AI News &amp; Strategy Daily, 'Intent Engineering,' Feb 2026, DP1</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matters to NZTE: The 'Slide Deck Builder' and 'Meeting Maker' may show high usage, high ratings, and quick outputs. The real question is whether BDMs are having higher-quality client conversations as a result. If that is not in the measurement framework, NZTE risks the same pattern — activity metrics that look great while the actual goal is untracked.</w:t>
      </w:r>
    </w:p>
    <w:p>
      <w:pPr>
        <w:spacing w:after="100" w:before="0"/>
      </w:pPr>
      <w:r>
        <w:t xml:space="preserve"/>
      </w:r>
    </w:p>
    <w:p>
      <w:pPr>
        <w:pStyle w:val="Heading2"/>
        <w:spacing w:after="120" w:before="280"/>
      </w:pPr>
      <w:r>
        <w:rPr>
          <w:rFonts w:ascii="Arial" w:cs="Arial" w:eastAsia="Arial" w:hAnsi="Arial"/>
          <w:b/>
          <w:bCs/>
          <w:color w:val="2E75B6"/>
          <w:sz w:val="24"/>
          <w:szCs w:val="24"/>
        </w:rPr>
        <w:t xml:space="preserve">Case Study 2: Microsoft Copilot — 85% Pilot, 5% Enterprise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55A11" w:sz="1"/>
              <w:left w:val="thick" w:color="C55A11" w:sz="16"/>
              <w:bottom w:val="single" w:color="CCCCCC" w:sz="1"/>
              <w:right w:val="single" w:color="FFFFFF" w:sz="1"/>
            </w:tcBorders>
            <w:shd w:fill="FCE4D6" w:val="clear"/>
            <w:tcMar>
              <w:top w:type="dxa" w:w="120"/>
              <w:left w:type="dxa" w:w="180"/>
              <w:bottom w:type="dxa" w:w="80"/>
              <w:right w:type="dxa" w:w="180"/>
            </w:tcMar>
          </w:tcPr>
          <w:p>
            <w:r>
              <w:rPr>
                <w:rFonts w:ascii="Arial" w:cs="Arial" w:eastAsia="Arial" w:hAnsi="Arial"/>
                <w:b/>
                <w:bCs/>
                <w:color w:val="C55A11"/>
                <w:sz w:val="22"/>
                <w:szCs w:val="22"/>
              </w:rPr>
              <w:t xml:space="preserve">Microsoft Copilot — Enterprise Deployment</w:t>
            </w:r>
          </w:p>
        </w:tc>
      </w:tr>
      <w:tr>
        <w:tc>
          <w:tcPr>
            <w:tcW w:type="dxa" w:w="9720"/>
            <w:tcBorders>
              <w:top w:val="single" w:color="CCCCCC" w:sz="1"/>
              <w:left w:val="single" w:color="CCCCCC" w:sz="1"/>
              <w:bottom w:val="single" w:color="CCCCCC" w:sz="1"/>
              <w:right w:val="single" w:color="CCCCCC" w:sz="1"/>
            </w:tcBorders>
            <w:shd w:fill="FEFEFE"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Deployed across organizations that already use Microsoft 365. Controlled pilot programs selected motivated early adopters.</w:t>
            </w:r>
          </w:p>
          <w:p>
            <w:pPr>
              <w:spacing w:after="30" w:before="0"/>
            </w:pPr>
            <w:r>
              <w:rPr>
                <w:rFonts w:ascii="Arial" w:cs="Arial" w:eastAsia="Arial" w:hAnsi="Arial"/>
                <w:b/>
                <w:bCs/>
                <w:sz w:val="19"/>
                <w:szCs w:val="19"/>
              </w:rPr>
              <w:t xml:space="preserve">What was measured:  </w:t>
            </w:r>
            <w:r>
              <w:rPr>
                <w:rFonts w:ascii="Arial" w:cs="Arial" w:eastAsia="Arial" w:hAnsi="Arial"/>
                <w:color w:val="C55A11"/>
                <w:sz w:val="19"/>
                <w:szCs w:val="19"/>
              </w:rPr>
              <w:t xml:space="preserve">Adoption rate in pilot — 85%.</w:t>
            </w:r>
          </w:p>
          <w:p>
            <w:pPr>
              <w:spacing w:after="30" w:before="0"/>
            </w:pPr>
            <w:r>
              <w:rPr>
                <w:rFonts w:ascii="Arial" w:cs="Arial" w:eastAsia="Arial" w:hAnsi="Arial"/>
                <w:b/>
                <w:bCs/>
                <w:sz w:val="19"/>
                <w:szCs w:val="19"/>
              </w:rPr>
              <w:t xml:space="preserve">What happened:  </w:t>
            </w:r>
            <w:r>
              <w:rPr>
                <w:rFonts w:ascii="Arial" w:cs="Arial" w:eastAsia="Arial" w:hAnsi="Arial"/>
                <w:b/>
                <w:bCs/>
                <w:color w:val="C55A11"/>
                <w:sz w:val="19"/>
                <w:szCs w:val="19"/>
              </w:rPr>
              <w:t xml:space="preserve">Adoption collapsed to 5% at enterprise scale. Same tool, same capability, different population.</w:t>
            </w:r>
          </w:p>
          <w:p>
            <w:pPr>
              <w:spacing w:after="30" w:before="0"/>
            </w:pPr>
            <w:r>
              <w:rPr>
                <w:rFonts w:ascii="Arial" w:cs="Arial" w:eastAsia="Arial" w:hAnsi="Arial"/>
                <w:b/>
                <w:bCs/>
                <w:sz w:val="19"/>
                <w:szCs w:val="19"/>
              </w:rPr>
              <w:t xml:space="preserve">Why it failed:  </w:t>
            </w:r>
            <w:r>
              <w:rPr>
                <w:rFonts w:ascii="Arial" w:cs="Arial" w:eastAsia="Arial" w:hAnsi="Arial"/>
                <w:sz w:val="19"/>
                <w:szCs w:val="19"/>
              </w:rPr>
              <w:t xml:space="preserve">Pilot programs select motivated adopters with high alignment costs already paid. Enterprise scale introduces job redesign requirements, governance gaps, and unclear value propositions for the median user who was not part of the pilot selection.</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AI News &amp; Strategy Daily, 'Intent Engineering,' Feb 2026, DP4</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matters to NZTE: NZTE's two tracks — Maude's regional team (startup mentality, fast-moving) and the organizational track (cautious, sprint-based) — ARE the pilot-vs-enterprise structure. The regional team is the pilot. The broader BDM population is the enterprise scale problem. Note: NZTE runs on Microsoft 365 Copilot organizationally. This case is not abstract — it is the same platform.</w:t>
      </w:r>
    </w:p>
    <w:p>
      <w:pPr>
        <w:spacing w:after="100" w:before="0"/>
      </w:pPr>
      <w:r>
        <w:t xml:space="preserve"/>
      </w:r>
    </w:p>
    <w:p>
      <w:pPr>
        <w:pStyle w:val="Heading2"/>
        <w:spacing w:after="120" w:before="280"/>
      </w:pPr>
      <w:r>
        <w:rPr>
          <w:rFonts w:ascii="Arial" w:cs="Arial" w:eastAsia="Arial" w:hAnsi="Arial"/>
          <w:b/>
          <w:bCs/>
          <w:color w:val="2E75B6"/>
          <w:sz w:val="24"/>
          <w:szCs w:val="24"/>
        </w:rPr>
        <w:t xml:space="preserve">Case Study 3: ServiceNow — Governance First, Then 90% Autonomy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ServiceNow — Internal IT Operations</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Spent three years running AI pilots for internal IT support that stalled at the execution layer. Could not move from pilot to production.</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IT request resolution rate and speed — with governance embedded in execution, not layered as policy.</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90% of employee IT requests resolved autonomously. 99% faster than human agents. Three years of stalls resolved.</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Governance embedded in the execution layer — not as policy sitting on top. Created a three-tier agent hierarchy with confidence-based intervention (agents escalate based on confidence thresholds, not pre-defined checkpoints). AI treated as workers operating inside workflows, not features sitting on top.</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VentureBeat, 'ServiceNow resolves 90% of its own IT requests autonomously,' Sean Michael Kerner, Feb 26, 2026</w:t>
            </w:r>
            <w:r>
              <w:rPr>
                <w:rFonts w:ascii="Arial" w:cs="Arial" w:eastAsia="Arial" w:hAnsi="Arial"/>
                <w:color w:val="666666"/>
                <w:sz w:val="16"/>
                <w:szCs w:val="16"/>
              </w:rPr>
              <w:t xml:space="preserve">  CRIS extraction: VentureBeat_ServiceNowITAutonomy_2026-02-28.md</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matters to NZTE: The path from enthusiastic pilot adoption (Maude's regional team) to organization-wide transformation requires governance embedded in the workflow before deployment, not bolted on top. The question for the Vida session is not just 'what are the 6 projects' — it is 'how is governance handled in each tool, and is it built into the design or added as policy after?'</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3: Why Portfolio Company Workshops Don't Convert — and What Does</w:t>
      </w:r>
    </w:p>
    <w:p>
      <w:pPr>
        <w:spacing w:after="80" w:before="60"/>
      </w:pPr>
      <w:r>
        <w:rPr>
          <w:rFonts w:ascii="Arial" w:cs="Arial" w:eastAsia="Arial" w:hAnsi="Arial"/>
          <w:sz w:val="20"/>
          <w:szCs w:val="20"/>
        </w:rPr>
        <w:t xml:space="preserve">New Zealand's national AI strategy (July 2025): 97% SME awareness, 34% understanding of how to apply it, far lower actual adoption.</w:t>
      </w:r>
      <w:r>
        <w:rPr>
          <w:rFonts w:ascii="Arial" w:cs="Arial" w:eastAsia="Arial" w:hAnsi="Arial"/>
          <w:i/>
          <w:iCs/>
          <w:color w:val="666666"/>
          <w:sz w:val="18"/>
          <w:szCs w:val="18"/>
        </w:rPr>
        <w:t xml:space="preserve">  [NZ AI Strategy, MBIE, July 2025, p.11]</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1"/>
              <w:left w:val="thick" w:color="2E75B6" w:sz="12"/>
              <w:bottom w:val="single" w:color="CCCCCC" w:sz="1"/>
              <w:right w:val="single" w:color="FFFFFF" w:sz="1"/>
            </w:tcBorders>
            <w:shd w:fill="D5E8F0"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The core research finding: </w:t>
            </w:r>
            <w:r>
              <w:rPr>
                <w:rFonts w:ascii="Arial" w:cs="Arial" w:eastAsia="Arial" w:hAnsi="Arial"/>
                <w:color w:val="333333"/>
                <w:sz w:val="19"/>
                <w:szCs w:val="19"/>
              </w:rPr>
              <w:t xml:space="preserve">The bottleneck is not motivation or awareness. It is specification: small businesses struggle to identify WHAT to use AI for in THEIR specific workflow — not AI in general. 85% of reported use cases are unlikely to generate ROI. 59% of reported AI use cases are basic task assistance that deliver no business-level return.</w:t>
            </w:r>
          </w:p>
        </w:tc>
      </w:tr>
      <w:tr>
        <w:tc>
          <w:tcPr>
            <w:tcW w:type="dxa" w:w="9720"/>
            <w:tcBorders>
              <w:top w:val="single" w:color="CCCCCC" w:sz="1"/>
              <w:left w:val="thick" w:color="2E75B6" w:sz="12"/>
              <w:bottom w:val="single" w:color="2E75B6" w:sz="1"/>
              <w:right w:val="single" w:color="FFFFFF" w:sz="1"/>
            </w:tcBorders>
            <w:shd w:fill="D5E8F0" w:val="clear"/>
            <w:tcMar>
              <w:top w:type="dxa" w:w="100"/>
              <w:left w:type="dxa" w:w="140"/>
              <w:bottom w:type="dxa" w:w="100"/>
              <w:right w:type="dxa" w:w="140"/>
            </w:tcMar>
          </w:tcPr>
          <w:p>
            <w:pPr>
              <w:spacing w:after="20" w:before="2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[Section AI Proficiency Report, Jan 2026, p.2]</w:t>
            </w:r>
          </w:p>
        </w:tc>
      </w:tr>
    </w:tbl>
    <w:p>
      <w:pPr>
        <w:spacing w:after="100" w:before="0"/>
      </w:pPr>
      <w:r>
        <w:t xml:space="preserve"/>
      </w:r>
    </w:p>
    <w:p>
      <w:pPr>
        <w:pStyle w:val="Heading2"/>
        <w:spacing w:after="120" w:before="280"/>
      </w:pPr>
      <w:r>
        <w:rPr>
          <w:rFonts w:ascii="Arial" w:cs="Arial" w:eastAsia="Arial" w:hAnsi="Arial"/>
          <w:b/>
          <w:bCs/>
          <w:color w:val="2E75B6"/>
          <w:sz w:val="24"/>
          <w:szCs w:val="24"/>
        </w:rPr>
        <w:t xml:space="preserve">The SME Advantage — and Where It Breaks Down (Cited)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Where SMEs Have an Advantage</w:t>
            </w:r>
          </w:p>
        </w:tc>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Where SMEs Get Stuck</w:t>
            </w:r>
          </w:p>
        </w:tc>
      </w:tr>
      <w:tr>
        <w:tc>
          <w:tcPr>
            <w:tcW w:type="dxa" w:w="48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Low alignment cost — 1-2 person teams move from decision to deployment in 2-hour cycles vs. 18-month enterprise timelines.</w:t>
            </w:r>
            <w:r>
              <w:rPr>
                <w:rFonts w:ascii="Arial" w:cs="Arial" w:eastAsia="Arial" w:hAnsi="Arial"/>
                <w:i/>
                <w:iCs/>
                <w:color w:val="666666"/>
                <w:sz w:val="17"/>
                <w:szCs w:val="17"/>
              </w:rPr>
              <w:t xml:space="preserve">  [AI News &amp; Strategy Daily, 'Capability Dissipation Gap,' Feb 2026, DP13-14]</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2x higher AI-generated revenue increase: small companies under 50 employees report 24% revenue growth vs. ~12% for mid-sized companies.</w:t>
            </w:r>
            <w:r>
              <w:rPr>
                <w:rFonts w:ascii="Arial" w:cs="Arial" w:eastAsia="Arial" w:hAnsi="Arial"/>
                <w:i/>
                <w:iCs/>
                <w:color w:val="666666"/>
                <w:sz w:val="17"/>
                <w:szCs w:val="17"/>
              </w:rPr>
              <w:t xml:space="preserve">  [AI Daily Brief ROI Benchmarking Q4 2025, p.18]</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71% of companies under 50 employees project transformational ROI vs. 53% at enterprises with 5,000+.</w:t>
            </w:r>
            <w:r>
              <w:rPr>
                <w:rFonts w:ascii="Arial" w:cs="Arial" w:eastAsia="Arial" w:hAnsi="Arial"/>
                <w:i/>
                <w:iCs/>
                <w:color w:val="666666"/>
                <w:sz w:val="17"/>
                <w:szCs w:val="17"/>
              </w:rPr>
              <w:t xml:space="preserve">  [AI Daily Brief ROI Benchmarking Q4 2025, p.11]</w:t>
            </w:r>
          </w:p>
        </w:tc>
        <w:tc>
          <w:tcPr>
            <w:tcW w:type="dxa" w:w="4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No specification infrastructure — no documented workflows, no context for AI to work from, no way to define what 'good' looks like.</w:t>
            </w:r>
            <w:r>
              <w:rPr>
                <w:rFonts w:ascii="Arial" w:cs="Arial" w:eastAsia="Arial" w:hAnsi="Arial"/>
                <w:i/>
                <w:iCs/>
                <w:color w:val="666666"/>
                <w:sz w:val="17"/>
                <w:szCs w:val="17"/>
              </w:rPr>
              <w:t xml:space="preserve">  [Vicky Zhao, 'Protect Knowledge AI,' Feb 2026, DP5-10]</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Marketing — one of the most language-intensive functions — saves at most 4 hours/week using AI. Organizations need 10+ hours/week saved per employee to generate ROI.</w:t>
            </w:r>
            <w:r>
              <w:rPr>
                <w:rFonts w:ascii="Arial" w:cs="Arial" w:eastAsia="Arial" w:hAnsi="Arial"/>
                <w:i/>
                <w:iCs/>
                <w:color w:val="666666"/>
                <w:sz w:val="17"/>
                <w:szCs w:val="17"/>
              </w:rPr>
              <w:t xml:space="preserve">  [Section AI Proficiency Report, Jan 2026, p.2-3]</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84% of companies — even large ones — have not redesigned jobs around AI. SMEs rarely see this as an option at all.</w:t>
            </w:r>
            <w:r>
              <w:rPr>
                <w:rFonts w:ascii="Arial" w:cs="Arial" w:eastAsia="Arial" w:hAnsi="Arial"/>
                <w:i/>
                <w:iCs/>
                <w:color w:val="666666"/>
                <w:sz w:val="17"/>
                <w:szCs w:val="17"/>
              </w:rPr>
              <w:t xml:space="preserve">  [Deloitte State of AI 2026, 3,235 respondents, Feb 2026, DP7]</w:t>
            </w:r>
          </w:p>
        </w:tc>
      </w:tr>
    </w:tbl>
    <w:p>
      <w:pPr>
        <w:spacing w:after="100" w:before="0"/>
      </w:pPr>
      <w:r>
        <w:t xml:space="preserve"/>
      </w:r>
    </w:p>
    <w:p>
      <w:pPr>
        <w:pStyle w:val="Heading2"/>
        <w:spacing w:after="120" w:before="280"/>
      </w:pPr>
      <w:r>
        <w:rPr>
          <w:rFonts w:ascii="Arial" w:cs="Arial" w:eastAsia="Arial" w:hAnsi="Arial"/>
          <w:b/>
          <w:bCs/>
          <w:color w:val="2E75B6"/>
          <w:sz w:val="24"/>
          <w:szCs w:val="24"/>
        </w:rPr>
        <w:t xml:space="preserve">What Actually Moves SMEs from Interest to Action (Cited)</w:t>
      </w:r>
    </w:p>
    <w:p>
      <w:pPr>
        <w:spacing w:after="80" w:before="60"/>
      </w:pPr>
      <w:r>
        <w:rPr>
          <w:rFonts w:ascii="Arial" w:cs="Arial" w:eastAsia="Arial" w:hAnsi="Arial"/>
          <w:b w:val="false"/>
          <w:bCs w:val="false"/>
          <w:i w:val="false"/>
          <w:iCs w:val="false"/>
          <w:color w:val="000000"/>
          <w:sz w:val="20"/>
          <w:szCs w:val="20"/>
        </w:rPr>
        <w:t xml:space="preserve">Based on research patterns across multiple sources, three interventions consistently work:</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760"/>
      </w:tblGrid>
      <w:tr>
        <w:tc>
          <w:tcPr>
            <w:tcW w:type="dxa" w:w="14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2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Intervention</w:t>
            </w:r>
          </w:p>
        </w:tc>
        <w:tc>
          <w:tcPr>
            <w:tcW w:type="dxa" w:w="57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It Works (with evidence)</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Start with the highest-friction task they repeat most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Simple, high-frequency tasks are the optimal entry point: they happen often, take up time, and are easy to test.</w:t>
            </w:r>
          </w:p>
          <w:p>
            <w:pPr>
              <w:spacing w:after="30" w:before="30"/>
            </w:pPr>
            <w:r>
              <w:rPr>
                <w:rFonts w:ascii="Arial" w:cs="Arial" w:eastAsia="Arial" w:hAnsi="Arial"/>
                <w:b w:val="false"/>
                <w:bCs w:val="false"/>
                <w:color w:val="000000"/>
                <w:sz w:val="19"/>
                <w:szCs w:val="19"/>
              </w:rPr>
              <w:t xml:space="preserve">By beginning with one clear goal, businesses bring AI in a manageable, sustainable way — not by deploying broadly and hoping.</w:t>
            </w:r>
            <w:r>
              <w:rPr>
                <w:rFonts w:ascii="Arial" w:cs="Arial" w:eastAsia="Arial" w:hAnsi="Arial"/>
                <w:i/>
                <w:iCs/>
                <w:color w:val="666666"/>
                <w:sz w:val="17"/>
                <w:szCs w:val="17"/>
              </w:rPr>
              <w:t xml:space="preserve">  [Gusto AI for Small Business report, p.14]</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First session = doing with real work, not learning in abstract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Among small businesses reporting the biggest productivity gains, 60% provide some form of AI training to their employees.</w:t>
            </w:r>
            <w:r>
              <w:rPr>
                <w:rFonts w:ascii="Arial" w:cs="Arial" w:eastAsia="Arial" w:hAnsi="Arial"/>
                <w:i/>
                <w:iCs/>
                <w:color w:val="666666"/>
                <w:sz w:val="17"/>
                <w:szCs w:val="17"/>
              </w:rPr>
              <w:t xml:space="preserve">  [Gusto AI for Small Business, p.9]</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HBR: Narrow ROI framing (headcount reduction) actively discourages idea contribution. The inverse is also true: doing with real work builds commitment faster than education about AI.</w:t>
            </w:r>
            <w:r>
              <w:rPr>
                <w:rFonts w:ascii="Arial" w:cs="Arial" w:eastAsia="Arial" w:hAnsi="Arial"/>
                <w:i/>
                <w:iCs/>
                <w:color w:val="666666"/>
                <w:sz w:val="17"/>
                <w:szCs w:val="17"/>
              </w:rPr>
              <w:t xml:space="preserve">  [HBR, 'Senior Leaders AI Adoption,' Feb 2026, DP5-8]</w:t>
            </w:r>
          </w:p>
        </w:tc>
      </w:tr>
      <w:tr>
        <w:tc>
          <w:tcPr>
            <w:tcW w:type="dxa" w:w="14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3</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Define 'done' before starting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19"/>
                <w:szCs w:val="19"/>
              </w:rPr>
              <w:t xml:space="preserve">The ServiceNow lesson applies to SMEs: governance (what success looks like) must precede deployment. Without a clear outcome target in the first 30 days, SMEs revert to generic use and abandon the tool.</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Chief Collective case study (SMB): shared prompts and standards across all staff — eliminating 'rogue workflows' — produced measurable consistency improvements and stronger internal communication.</w:t>
            </w:r>
            <w:r>
              <w:rPr>
                <w:rFonts w:ascii="Arial" w:cs="Arial" w:eastAsia="Arial" w:hAnsi="Arial"/>
                <w:i/>
                <w:iCs/>
                <w:color w:val="666666"/>
                <w:sz w:val="17"/>
                <w:szCs w:val="17"/>
              </w:rPr>
              <w:t xml:space="preserve">  [Gusto AI for Small Business, p.10-11, Chief Collective Case Study]</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B3A5C"/>
          <w:sz w:val="28"/>
          <w:szCs w:val="28"/>
        </w:rPr>
        <w:t xml:space="preserve">Section 4: NZTE's Two Portfolio Segments — Different Starting 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CPG / F&amp;B / Broader SMEs — 'How do I start?'</w:t>
            </w:r>
          </w:p>
        </w:tc>
        <w:tc>
          <w:tcPr>
            <w:tcW w:type="dxa" w:w="4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B2B Manufacturing / Industrial — Behind on marketing AND AI</w:t>
            </w:r>
          </w:p>
        </w:tc>
      </w:tr>
      <w:tr>
        <w:tc>
          <w:tcPr>
            <w:tcW w:type="dxa" w:w="4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Bottleneck: specification, not motivation.</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Two-thirds of small businesses are experimenting with GenAI, but only 15% use it regularly.</w:t>
            </w:r>
            <w:r>
              <w:rPr>
                <w:rFonts w:ascii="Arial" w:cs="Arial" w:eastAsia="Arial" w:hAnsi="Arial"/>
                <w:i/>
                <w:iCs/>
                <w:color w:val="666666"/>
                <w:sz w:val="17"/>
                <w:szCs w:val="17"/>
              </w:rPr>
              <w:t xml:space="preserve">  [Gusto AI for Small Business, p.2]</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61% of small businesses say AI has made their business more innovative — but only among those who found their specific use case, not those experimenting broadly.</w:t>
            </w:r>
            <w:r>
              <w:rPr>
                <w:rFonts w:ascii="Arial" w:cs="Arial" w:eastAsia="Arial" w:hAnsi="Arial"/>
                <w:i/>
                <w:iCs/>
                <w:color w:val="666666"/>
                <w:sz w:val="17"/>
                <w:szCs w:val="17"/>
              </w:rPr>
              <w:t xml:space="preserve">  [Gusto AI for Small Business, p.5]</w:t>
            </w:r>
          </w:p>
        </w:tc>
        <w:tc>
          <w:tcPr>
            <w:tcW w:type="dxa" w:w="48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30" w:before="30"/>
            </w:pPr>
            <w:r>
              <w:rPr>
                <w:rFonts w:ascii="Arial" w:cs="Arial" w:eastAsia="Arial" w:hAnsi="Arial"/>
                <w:b/>
                <w:bCs/>
                <w:color w:val="000000"/>
                <w:sz w:val="19"/>
                <w:szCs w:val="19"/>
              </w:rPr>
              <w:t xml:space="preserve">Bottleneck: foundation before AI.</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Only 15% of reported AI use cases are likely to generate ROI. 59% are basic task assistance. AI on top of absent marketing infrastructure compounds, not solves, the gap.</w:t>
            </w:r>
            <w:r>
              <w:rPr>
                <w:rFonts w:ascii="Arial" w:cs="Arial" w:eastAsia="Arial" w:hAnsi="Arial"/>
                <w:i/>
                <w:iCs/>
                <w:color w:val="666666"/>
                <w:sz w:val="17"/>
                <w:szCs w:val="17"/>
              </w:rPr>
              <w:t xml:space="preserve">  [Section AI Proficiency Report, Jan 2026, p.2]</w:t>
            </w:r>
          </w:p>
          <w:p>
            <w:pPr>
              <w:spacing w:after="30" w:before="30"/>
            </w:pPr>
            <w:r>
              <w:rPr>
                <w:rFonts w:ascii="Arial" w:cs="Arial" w:eastAsia="Arial" w:hAnsi="Arial"/>
                <w:b w:val="false"/>
                <w:bCs w:val="false"/>
                <w:color w:val="000000"/>
                <w:sz w:val="19"/>
                <w:szCs w:val="19"/>
              </w:rPr>
              <w:t xml:space="preserve"/>
            </w:r>
          </w:p>
          <w:p>
            <w:pPr>
              <w:spacing w:after="30" w:before="30"/>
            </w:pPr>
            <w:r>
              <w:rPr>
                <w:rFonts w:ascii="Arial" w:cs="Arial" w:eastAsia="Arial" w:hAnsi="Arial"/>
                <w:b w:val="false"/>
                <w:bCs w:val="false"/>
                <w:color w:val="000000"/>
                <w:sz w:val="19"/>
                <w:szCs w:val="19"/>
              </w:rPr>
              <w:t xml:space="preserve">Vicky Zhao research: 'sandcastle work' — task execution without framework abstraction — produces zero organizational accumulation. These businesses need workflow documentation before tools.</w:t>
            </w:r>
            <w:r>
              <w:rPr>
                <w:rFonts w:ascii="Arial" w:cs="Arial" w:eastAsia="Arial" w:hAnsi="Arial"/>
                <w:i/>
                <w:iCs/>
                <w:color w:val="666666"/>
                <w:sz w:val="17"/>
                <w:szCs w:val="17"/>
              </w:rPr>
              <w:t xml:space="preserve">  [Vicky Zhao, 'Protect Knowledge AI,' Feb 2026, DP5-9]</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5: Questions to Bring to the Vida Session</w:t>
      </w:r>
    </w:p>
    <w:p>
      <w:pPr>
        <w:spacing w:after="80" w:before="60"/>
      </w:pPr>
      <w:r>
        <w:rPr>
          <w:rFonts w:ascii="Arial" w:cs="Arial" w:eastAsia="Arial" w:hAnsi="Arial"/>
          <w:sz w:val="20"/>
          <w:szCs w:val="20"/>
        </w:rPr>
        <w:t xml:space="preserve">User prompts represent 0.02% of what determines AI outcomes. The remaining 99.98% is organizational infrastructure: context files, workflow configurations, tool parameters, governance design.</w:t>
      </w:r>
      <w:r>
        <w:rPr>
          <w:rFonts w:ascii="Arial" w:cs="Arial" w:eastAsia="Arial" w:hAnsi="Arial"/>
          <w:i/>
          <w:iCs/>
          <w:color w:val="666666"/>
          <w:sz w:val="18"/>
          <w:szCs w:val="18"/>
        </w:rPr>
        <w:t xml:space="preserve">  [AI News &amp; Strategy Daily, 'Four Disciplines of Prompting Post-2026,' Feb 2026, DP6-18]</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5040"/>
      </w:tblGrid>
      <w:tr>
        <w:tc>
          <w:tcPr>
            <w:tcW w:type="dxa" w:w="4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Question to Ask About Each of the 6 Projects</w:t>
            </w:r>
          </w:p>
        </w:tc>
        <w:tc>
          <w:tcPr>
            <w:tcW w:type="dxa" w:w="50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It Matters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1. What specific decision or action does this tool support — what does the BDM do differently after using it?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20" w:before="30"/>
            </w:pPr>
            <w:r>
              <w:rPr>
                <w:rFonts w:ascii="Arial" w:cs="Arial" w:eastAsia="Arial" w:hAnsi="Arial"/>
                <w:b w:val="false"/>
                <w:bCs w:val="false"/>
                <w:color w:val="000000"/>
                <w:sz w:val="19"/>
                <w:szCs w:val="19"/>
              </w:rPr>
              <w:t xml:space="preserve">Distinguishes workflow redesign (durable value) from task automation (fragile, only measurable by time). Organizations achieving 25-30% gains implemented end-to-end workflow redesign — not incremental tooling.</w:t>
            </w:r>
          </w:p>
          <w:p>
            <w:pPr>
              <w:spacing w:after="30" w:before="0"/>
            </w:pPr>
            <w:r>
              <w:rPr>
                <w:rFonts w:ascii="Arial" w:cs="Arial" w:eastAsia="Arial" w:hAnsi="Arial"/>
                <w:i/>
                <w:iCs/>
                <w:color w:val="666666"/>
                <w:sz w:val="17"/>
                <w:szCs w:val="17"/>
              </w:rPr>
              <w:t xml:space="preserve">[AI News &amp; Strategy Daily, 'Junior Dev Jobs,' Feb 18, 2026, ~19:15 min]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2. What does 'using it well' look like vs. 'just using it'? Can Maude's team tell the difference?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20" w:before="30"/>
            </w:pPr>
            <w:r>
              <w:rPr>
                <w:rFonts w:ascii="Arial" w:cs="Arial" w:eastAsia="Arial" w:hAnsi="Arial"/>
                <w:b w:val="false"/>
                <w:bCs w:val="false"/>
                <w:color w:val="000000"/>
                <w:sz w:val="19"/>
                <w:szCs w:val="19"/>
              </w:rPr>
              <w:t xml:space="preserve">The Klarna failure occurred because there was no specification of what 'good' looked like beyond speed. The absence of a quality definition creates the Klarna failure mode by default.</w:t>
            </w:r>
          </w:p>
          <w:p>
            <w:pPr>
              <w:spacing w:after="30" w:before="0"/>
            </w:pPr>
            <w:r>
              <w:rPr>
                <w:rFonts w:ascii="Arial" w:cs="Arial" w:eastAsia="Arial" w:hAnsi="Arial"/>
                <w:i/>
                <w:iCs/>
                <w:color w:val="666666"/>
                <w:sz w:val="17"/>
                <w:szCs w:val="17"/>
              </w:rPr>
              <w:t xml:space="preserve">[AI News &amp; Strategy Daily, 'Intent Engineering,' Feb 2026, DP1]</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3. Is there a second-layer metric for customer or portfolio company impact connected to this project?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20" w:before="30"/>
            </w:pPr>
            <w:r>
              <w:rPr>
                <w:rFonts w:ascii="Arial" w:cs="Arial" w:eastAsia="Arial" w:hAnsi="Arial"/>
                <w:b w:val="false"/>
                <w:bCs w:val="false"/>
                <w:color w:val="000000"/>
                <w:sz w:val="19"/>
                <w:szCs w:val="19"/>
              </w:rPr>
              <w:t xml:space="preserve">87% of mature AI deployment teams report improved metrics — the common factor is outcome measurement, not activity measurement.</w:t>
            </w:r>
          </w:p>
          <w:p>
            <w:pPr>
              <w:spacing w:after="30" w:before="0"/>
            </w:pPr>
            <w:r>
              <w:rPr>
                <w:rFonts w:ascii="Arial" w:cs="Arial" w:eastAsia="Arial" w:hAnsi="Arial"/>
                <w:i/>
                <w:iCs/>
                <w:color w:val="666666"/>
                <w:sz w:val="17"/>
                <w:szCs w:val="17"/>
              </w:rPr>
              <w:t xml:space="preserve">[Intercom '2026 Customer Service Transformation Report,' Jan 2026, p.3]</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4. How is governance handled — built into the tool's design or added as policy on top?</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20" w:before="30"/>
            </w:pPr>
            <w:r>
              <w:rPr>
                <w:rFonts w:ascii="Arial" w:cs="Arial" w:eastAsia="Arial" w:hAnsi="Arial"/>
                <w:b w:val="false"/>
                <w:bCs w:val="false"/>
                <w:color w:val="000000"/>
                <w:sz w:val="19"/>
                <w:szCs w:val="19"/>
              </w:rPr>
              <w:t xml:space="preserve">ServiceNow: 3 years of pilots stalled until governance was embedded in execution. Organizations that govern first scale faster. NZTE has government data security constraints — this question is especially relevant.</w:t>
            </w:r>
          </w:p>
          <w:p>
            <w:pPr>
              <w:spacing w:after="30" w:before="0"/>
            </w:pPr>
            <w:r>
              <w:rPr>
                <w:rFonts w:ascii="Arial" w:cs="Arial" w:eastAsia="Arial" w:hAnsi="Arial"/>
                <w:i/>
                <w:iCs/>
                <w:color w:val="666666"/>
                <w:sz w:val="17"/>
                <w:szCs w:val="17"/>
              </w:rPr>
              <w:t xml:space="preserve">[VentureBeat, ServiceNow, Feb 26, 2026]</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5. What is the job redesign plan? Which part of the BDM workflow does this replace, and what are they freed to do instead?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20" w:before="30"/>
            </w:pPr>
            <w:r>
              <w:rPr>
                <w:rFonts w:ascii="Arial" w:cs="Arial" w:eastAsia="Arial" w:hAnsi="Arial"/>
                <w:b w:val="false"/>
                <w:bCs w:val="false"/>
                <w:color w:val="000000"/>
                <w:sz w:val="19"/>
                <w:szCs w:val="19"/>
              </w:rPr>
              <w:t xml:space="preserve">84% of organizations deploy AI without redesigning jobs (Deloitte). Without redesign, tools add to workload rather than create capacity. The McKinsey sales case worked because BDs were explicitly moved to 'strategic engagement' — that reallocation was the goal, not a side effect.</w:t>
            </w:r>
          </w:p>
          <w:p>
            <w:pPr>
              <w:spacing w:after="30" w:before="0"/>
            </w:pPr>
            <w:r>
              <w:rPr>
                <w:rFonts w:ascii="Arial" w:cs="Arial" w:eastAsia="Arial" w:hAnsi="Arial"/>
                <w:i/>
                <w:iCs/>
                <w:color w:val="666666"/>
                <w:sz w:val="17"/>
                <w:szCs w:val="17"/>
              </w:rPr>
              <w:t xml:space="preserve">[Deloitte State of AI 2026, Feb 2026, DP7] + [McKinsey 'Agents, Robots and Us,' p.43]</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6: Positive ROI Case Studies — Strong Evidence Only</w:t>
      </w:r>
    </w:p>
    <w:p>
      <w:pPr>
        <w:spacing w:after="80" w:before="60"/>
      </w:pPr>
      <w:r>
        <w:rPr>
          <w:rFonts w:ascii="Arial" w:cs="Arial" w:eastAsia="Arial" w:hAnsi="Arial"/>
          <w:b w:val="false"/>
          <w:bCs w:val="false"/>
          <w:i w:val="false"/>
          <w:iCs w:val="false"/>
          <w:color w:val="000000"/>
          <w:sz w:val="20"/>
          <w:szCs w:val="20"/>
        </w:rPr>
        <w:t xml:space="preserve">NZTE asked for examples of good AI execution with ROI. These are the cases in CRIS research with the strongest, most specific evidence. All have named companies or verified survey data. Cases are selected for relevance to NZTE's specific context: BDM productivity, team-based adoption, and SME applicability.</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1"/>
              <w:left w:val="thick" w:color="2E75B6" w:sz="12"/>
              <w:bottom w:val="single" w:color="2E75B6" w:sz="1"/>
              <w:right w:val="single" w:color="FFFFFF" w:sz="1"/>
            </w:tcBorders>
            <w:shd w:fill="F2F2F2" w:val="clear"/>
            <w:tcMar>
              <w:top w:type="dxa" w:w="100"/>
              <w:left w:type="dxa" w:w="140"/>
              <w:bottom w:type="dxa" w:w="100"/>
              <w:right w:type="dxa" w:w="140"/>
            </w:tcMar>
          </w:tcPr>
          <w:p>
            <w:pPr>
              <w:spacing w:after="40" w:before="40"/>
            </w:pPr>
            <w:r>
              <w:rPr>
                <w:rFonts w:ascii="Arial" w:cs="Arial" w:eastAsia="Arial" w:hAnsi="Arial"/>
                <w:b/>
                <w:bCs/>
                <w:color w:val="2E75B6"/>
                <w:sz w:val="19"/>
                <w:szCs w:val="19"/>
              </w:rPr>
              <w:t xml:space="preserve">Selection criteria: </w:t>
            </w:r>
            <w:r>
              <w:rPr>
                <w:rFonts w:ascii="Arial" w:cs="Arial" w:eastAsia="Arial" w:hAnsi="Arial"/>
                <w:color w:val="333333"/>
                <w:sz w:val="19"/>
                <w:szCs w:val="19"/>
              </w:rPr>
              <w:t xml:space="preserve">Only cases with: (1) a named company or statistically rigorous survey source, (2) a specific measured outcome, and (3) clear connection to NZTE's initiatives. Cases with only self-reported projections are excluded.</w:t>
            </w:r>
          </w:p>
        </w:tc>
      </w:tr>
    </w:tbl>
    <w:p>
      <w:pPr>
        <w:spacing w:after="100" w:before="0"/>
      </w:pPr>
      <w:r>
        <w:t xml:space="preserve"/>
      </w:r>
    </w:p>
    <w:p>
      <w:pPr>
        <w:pStyle w:val="Heading2"/>
        <w:spacing w:after="120" w:before="280"/>
      </w:pPr>
      <w:r>
        <w:rPr>
          <w:rFonts w:ascii="Arial" w:cs="Arial" w:eastAsia="Arial" w:hAnsi="Arial"/>
          <w:b/>
          <w:bCs/>
          <w:color w:val="2E75B6"/>
          <w:sz w:val="24"/>
          <w:szCs w:val="24"/>
        </w:rPr>
        <w:t xml:space="preserve">Case A: ServiceNow — Internal IT (Strongest Governance-First Evidence)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ServiceNow — Internal IT Operations (Already in Section 2)</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Three years of pilot stalls, then breakthrough by embedding governance in execution layer.</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IT resolution rate and speed — with confidence-based escalation built in, not as policy overlay.</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90% of IT requests resolved autonomously. 99% faster than human agents.</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Governance-first architecture. AI treated as workers inside workflows — not features on top. Three-tier agent hierarchy with confidence-based intervention.</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VentureBeat, 'ServiceNow resolves 90% of its own IT requests autonomously,' Sean Michael Kerner, Feb 26, 2026</w:t>
            </w:r>
          </w:p>
        </w:tc>
      </w:tr>
    </w:tbl>
    <w:p>
      <w:pPr>
        <w:spacing w:after="80" w:before="0"/>
      </w:pPr>
      <w:r>
        <w:t xml:space="preserve"/>
      </w:r>
    </w:p>
    <w:p>
      <w:pPr>
        <w:pStyle w:val="Heading2"/>
        <w:spacing w:after="120" w:before="280"/>
      </w:pPr>
      <w:r>
        <w:rPr>
          <w:rFonts w:ascii="Arial" w:cs="Arial" w:eastAsia="Arial" w:hAnsi="Arial"/>
          <w:b/>
          <w:bCs/>
          <w:color w:val="2E75B6"/>
          <w:sz w:val="24"/>
          <w:szCs w:val="24"/>
        </w:rPr>
        <w:t xml:space="preserve">Case B: Commercial Tech Company (McKinsey) — Sales Team Workflow Redesign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Commercial Technology Company (McKinsey case study, unnamed)</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AI agents deployed in sales workflow — from prospecting and research through to outreach and follow-up.</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Time reallocation: hours shifted from routine tasks to strategic engagement, tracked by role.</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30-50% time savings across all sales roles. Business development specialists moved from routine prospecting to relationship-building and negotiation — the higher-value activity.</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The reallocation was the stated goal, not a side effect. Time savings were tied to a specific role redesign: BDs do less prospecting, more strategic work. This is the second-layer measurement NZTE is missing.</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McKinsey, 'Agents, Robots and Us: Skill Partnerships in the Age of AI,' p.43</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is directly relevant to NZTE: NZTE's BDMs are essentially a business development function. If tools like 'Meeting Maker' and 'Slide Deck Builder' are framed around 'time saved on admin' but not tied to 'more time in strategic client conversations,' they are measuring the input, not the output. This McKinsey case shows what the measurement looks like when it is done right.</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Case C: Devoteam — Enterprise-Wide AI Upskilling with Retention ROI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Devoteam (11,000-employee tech consulting firm)</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Launched an AI upskilling program for all 11,000 employees. Goal: enable AI fluency across the entire workforce within 90 days.</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Workforce AI proficiency rate and employee retention.</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70% of workforce upskilled within 3 months. Employee attrition reduced by 4%.</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Immersive, role-specific learning integrated with actual business process outcomes — not generic AI training. Employees applied AI to their real workflows during training, not in simulation.</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Udemy, '2026 Global Learning Skills Trends Report,' p.10</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is relevant to NZTE's portfolio work: Jo runs AI workshops for portfolio companies. The Devoteam case shows that role-specific, workflow-embedded learning produces measurable retention and productivity outcomes. Generic AI workshops do not. The 4% attrition reduction is a business case for framing AI adoption as employee development, not just efficiency.</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Case D: Integrant — From Zero to 100% Adoption via Skills-Based Approach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Integrant (software company, ~200-500 employees)</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Launched AI adoption program tied to specific skill competency targets and continuous reassessment.</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AI adoption rate, skills gap closure rate — tracked per competency, per role.</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Near-100% AI adoption. 50% reduction in skills gaps for key competencies within 6 months.</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Adoption tied to skills currency, not tool access. Employees had clear competency targets to hit. Continuous reassessment maintained progress accountability. The 'adoption' metric was backed by a skills measurement that defined what adoption meant.</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Udemy, '2026 Global Learning Skills Trends Report,' p.26</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is relevant: This case directly addresses the gap between NZTE's adoption rate KPI and genuine adoption. Integrant got to near-100% adoption because they defined what 'adopting AI' meant in behavioral, skill-level terms — not just 'used the tool this week.' This is a model for how NZTE could deepen their adoption measurement.</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Case E: SMB Composite Data — Small Businesses Outperform Large on AI ROI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Small Business Composite (AI Daily Brief ROI Benchmarking Q4 2025 — 3,500+ respondents)</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Survey across companies of all sizes measuring actual vs. projected AI ROI. Smaller companies separated from large enterprises.</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ROI score (1-5 scale), revenue impact, transformational ROI projection.</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Small companies (1-50 employees): 3.49/5 ROI vs. large enterprises: 2.94/5 ROI — 19% advantage. 24% AI-generated revenue increase for small companies vs. ~12% for mid-sized. 71% of small companies project transformational ROI vs. 53% at enterprises 5,000+. 81.8% of ALL respondents reported positive ROI.</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Small companies have lower alignment costs, faster decision cycles, and higher specificity of use — they know their workflows better and can redesign them faster. They avoid the governance debt that large enterprises accumulate before deploying.</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AI Daily Brief, 'AI ROI Benchmarking Q4 2025,' Wave 4, p.8-18</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is directly relevant to NZTE portfolio work: This is the strongest single data set for making the case to NZTE's CPG/F&amp;B and manufacturing portfolio companies that AI works for businesses their size — often better than for large enterprises. The 24% revenue increase for companies under 50 employees is a compelling opener for a workshop.</w:t>
      </w:r>
    </w:p>
    <w:p>
      <w:pPr>
        <w:spacing w:after="80" w:before="0"/>
      </w:pPr>
      <w:r>
        <w:t xml:space="preserve"/>
      </w:r>
    </w:p>
    <w:p>
      <w:pPr>
        <w:pStyle w:val="Heading2"/>
        <w:spacing w:after="120" w:before="280"/>
      </w:pPr>
      <w:r>
        <w:rPr>
          <w:rFonts w:ascii="Arial" w:cs="Arial" w:eastAsia="Arial" w:hAnsi="Arial"/>
          <w:b/>
          <w:bCs/>
          <w:color w:val="2E75B6"/>
          <w:sz w:val="24"/>
          <w:szCs w:val="24"/>
        </w:rPr>
        <w:t xml:space="preserve">Case F: Chief Collective — SMB Operational Consistency (Case Study within Gusto Report)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6"/>
              <w:bottom w:val="single" w:color="CCCCCC" w:sz="1"/>
              <w:right w:val="single" w:color="FFFFFF" w:sz="1"/>
            </w:tcBorders>
            <w:shd w:fill="E2EFDA" w:val="clear"/>
            <w:tcMar>
              <w:top w:type="dxa" w:w="120"/>
              <w:left w:type="dxa" w:w="180"/>
              <w:bottom w:type="dxa" w:w="80"/>
              <w:right w:type="dxa" w:w="180"/>
            </w:tcMar>
          </w:tcPr>
          <w:p>
            <w:r>
              <w:rPr>
                <w:rFonts w:ascii="Arial" w:cs="Arial" w:eastAsia="Arial" w:hAnsi="Arial"/>
                <w:b/>
                <w:bCs/>
                <w:color w:val="375623"/>
                <w:sz w:val="22"/>
                <w:szCs w:val="22"/>
              </w:rPr>
              <w:t xml:space="preserve">Chief Collective (small consulting firm, exact size not disclosed)</w:t>
            </w:r>
          </w:p>
        </w:tc>
      </w:tr>
      <w:tr>
        <w:tc>
          <w:tcPr>
            <w:tcW w:type="dxa" w:w="9720"/>
            <w:tcBorders>
              <w:top w:val="single" w:color="CCCCCC" w:sz="1"/>
              <w:left w:val="single" w:color="CCCCCC" w:sz="1"/>
              <w:bottom w:val="single" w:color="CCCCCC" w:sz="1"/>
              <w:right w:val="single" w:color="CCCCCC" w:sz="1"/>
            </w:tcBorders>
            <w:shd w:fill="FAFAFA" w:val="clear"/>
            <w:tcMar>
              <w:top w:type="dxa" w:w="80"/>
              <w:left w:type="dxa" w:w="180"/>
              <w:bottom w:type="dxa" w:w="80"/>
              <w:right w:type="dxa" w:w="180"/>
            </w:tcMar>
          </w:tcPr>
          <w:p>
            <w:pPr>
              <w:spacing w:after="30" w:before="40"/>
            </w:pPr>
            <w:r>
              <w:rPr>
                <w:rFonts w:ascii="Arial" w:cs="Arial" w:eastAsia="Arial" w:hAnsi="Arial"/>
                <w:b/>
                <w:bCs/>
                <w:sz w:val="19"/>
                <w:szCs w:val="19"/>
              </w:rPr>
              <w:t xml:space="preserve">Situation:  </w:t>
            </w:r>
            <w:r>
              <w:rPr>
                <w:rFonts w:ascii="Arial" w:cs="Arial" w:eastAsia="Arial" w:hAnsi="Arial"/>
                <w:sz w:val="19"/>
                <w:szCs w:val="19"/>
              </w:rPr>
              <w:t xml:space="preserve">Deployed shared AI prompts, standards, and workflows across all staff — ending the 'rogue workflow' problem where each person used AI differently.</w:t>
            </w:r>
          </w:p>
          <w:p>
            <w:pPr>
              <w:spacing w:after="30" w:before="0"/>
            </w:pPr>
            <w:r>
              <w:rPr>
                <w:rFonts w:ascii="Arial" w:cs="Arial" w:eastAsia="Arial" w:hAnsi="Arial"/>
                <w:b/>
                <w:bCs/>
                <w:sz w:val="19"/>
                <w:szCs w:val="19"/>
              </w:rPr>
              <w:t xml:space="preserve">What was measured:  </w:t>
            </w:r>
            <w:r>
              <w:rPr>
                <w:rFonts w:ascii="Arial" w:cs="Arial" w:eastAsia="Arial" w:hAnsi="Arial"/>
                <w:color w:val="2E75B6"/>
                <w:sz w:val="19"/>
                <w:szCs w:val="19"/>
              </w:rPr>
              <w:t xml:space="preserve">Internal communication quality, output consistency, cross-team coordination.</w:t>
            </w:r>
          </w:p>
          <w:p>
            <w:pPr>
              <w:spacing w:after="30" w:before="0"/>
            </w:pPr>
            <w:r>
              <w:rPr>
                <w:rFonts w:ascii="Arial" w:cs="Arial" w:eastAsia="Arial" w:hAnsi="Arial"/>
                <w:b/>
                <w:bCs/>
                <w:sz w:val="19"/>
                <w:szCs w:val="19"/>
              </w:rPr>
              <w:t xml:space="preserve">Result:  </w:t>
            </w:r>
            <w:r>
              <w:rPr>
                <w:rFonts w:ascii="Arial" w:cs="Arial" w:eastAsia="Arial" w:hAnsi="Arial"/>
                <w:b/>
                <w:bCs/>
                <w:color w:val="375623"/>
                <w:sz w:val="19"/>
                <w:szCs w:val="19"/>
              </w:rPr>
              <w:t xml:space="preserve">Every employee approaches client work with shared methods, prompts, and standards. AI fluency strengthened internal communication — teams could flag issues in real time and keep projects moving smoothly between handoffs.</w:t>
            </w:r>
          </w:p>
          <w:p>
            <w:pPr>
              <w:spacing w:after="30" w:before="0"/>
            </w:pPr>
            <w:r>
              <w:rPr>
                <w:rFonts w:ascii="Arial" w:cs="Arial" w:eastAsia="Arial" w:hAnsi="Arial"/>
                <w:b/>
                <w:bCs/>
                <w:sz w:val="19"/>
                <w:szCs w:val="19"/>
              </w:rPr>
              <w:t xml:space="preserve">Why it worked:  </w:t>
            </w:r>
            <w:r>
              <w:rPr>
                <w:rFonts w:ascii="Arial" w:cs="Arial" w:eastAsia="Arial" w:hAnsi="Arial"/>
                <w:sz w:val="19"/>
                <w:szCs w:val="19"/>
              </w:rPr>
              <w:t xml:space="preserve">The intervention was specification, not tooling. They did not add a new tool — they documented how to use existing tools consistently. This created the organizational context layer that makes individual AI fluency compound into team-level advantage.</w:t>
            </w:r>
          </w:p>
          <w:p>
            <w:pPr>
              <w:spacing w:after="40" w:before="0"/>
            </w:pPr>
            <w:r>
              <w:rPr>
                <w:rFonts w:ascii="Arial" w:cs="Arial" w:eastAsia="Arial" w:hAnsi="Arial"/>
                <w:b/>
                <w:bCs/>
                <w:color w:val="666666"/>
                <w:sz w:val="17"/>
                <w:szCs w:val="17"/>
              </w:rPr>
              <w:t xml:space="preserve">Source:  </w:t>
            </w:r>
            <w:r>
              <w:rPr>
                <w:rFonts w:ascii="Arial" w:cs="Arial" w:eastAsia="Arial" w:hAnsi="Arial"/>
                <w:i/>
                <w:iCs/>
                <w:color w:val="666666"/>
                <w:sz w:val="17"/>
                <w:szCs w:val="17"/>
              </w:rPr>
              <w:t xml:space="preserve">Gusto, 'AI for Small Business,' p.10-11, Chief Collective Case Study</w:t>
            </w:r>
          </w:p>
        </w:tc>
      </w:tr>
    </w:tbl>
    <w:p>
      <w:pPr>
        <w:spacing w:after="80" w:before="0"/>
      </w:pPr>
      <w:r>
        <w:t xml:space="preserve"/>
      </w:r>
    </w:p>
    <w:p>
      <w:pPr>
        <w:spacing w:after="80" w:before="60"/>
      </w:pPr>
      <w:r>
        <w:rPr>
          <w:rFonts w:ascii="Arial" w:cs="Arial" w:eastAsia="Arial" w:hAnsi="Arial"/>
          <w:b w:val="false"/>
          <w:bCs w:val="false"/>
          <w:i w:val="false"/>
          <w:iCs w:val="false"/>
          <w:color w:val="000000"/>
          <w:sz w:val="20"/>
          <w:szCs w:val="20"/>
        </w:rPr>
        <w:t xml:space="preserve">Why this is relevant: This is the SMB-scale version of the ServiceNow governance lesson. The outcome was not time savings — it was operational consistency and communication quality. For NZTE's portfolio companies (especially 1-2 person teams), this shows that the value of AI can come from alignment and consistency, not just individual productivity.</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28"/>
          <w:szCs w:val="28"/>
        </w:rPr>
        <w:t xml:space="preserve">Section 7: High-Profile Failures — Context for the 'Bad Implementations' Point</w:t>
      </w:r>
    </w:p>
    <w:p>
      <w:pPr>
        <w:spacing w:after="80" w:before="60"/>
      </w:pPr>
      <w:r>
        <w:rPr>
          <w:rFonts w:ascii="Arial" w:cs="Arial" w:eastAsia="Arial" w:hAnsi="Arial"/>
          <w:b w:val="false"/>
          <w:bCs w:val="false"/>
          <w:i w:val="false"/>
          <w:iCs w:val="false"/>
          <w:color w:val="000000"/>
          <w:sz w:val="20"/>
          <w:szCs w:val="20"/>
        </w:rPr>
        <w:t xml:space="preserve">Basil asked for context on the bad implementations in NZTE's sector. Here are the cases from CRIS with the strongest verifiable evidence of failure — and what the failure mechanism was. These create the contrast for why the positive cases above worked.</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880"/>
        <w:gridCol w:w="2880"/>
      </w:tblGrid>
      <w:tr>
        <w:tc>
          <w:tcPr>
            <w:tcW w:type="dxa" w:w="2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Company/Case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Failed</w:t>
            </w:r>
          </w:p>
        </w:tc>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The Failure Mechanism</w:t>
            </w:r>
          </w:p>
        </w:tc>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Source</w:t>
            </w:r>
          </w:p>
        </w:tc>
      </w:tr>
      <w:tr>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30"/>
            </w:pPr>
            <w:r>
              <w:rPr>
                <w:rFonts w:ascii="Arial" w:cs="Arial" w:eastAsia="Arial" w:hAnsi="Arial"/>
                <w:b/>
                <w:bCs/>
                <w:color w:val="C55A11"/>
                <w:sz w:val="19"/>
                <w:szCs w:val="19"/>
              </w:rPr>
              <w:t xml:space="preserve">Klarna Customer Service AI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Optimized for speed, destroyed customer relationships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Specification failure — KPI was 'resolve fast', not 'maintain relationship quality.' 2.3M conversations handled. Dashboard looked excellent. Customer satisfaction diverged.</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AI News &amp; Strategy Daily, 'Intent Engineering,' Feb 2026, DP1</w:t>
            </w:r>
          </w:p>
        </w:tc>
      </w:tr>
      <w:tr>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30"/>
            </w:pPr>
            <w:r>
              <w:rPr>
                <w:rFonts w:ascii="Arial" w:cs="Arial" w:eastAsia="Arial" w:hAnsi="Arial"/>
                <w:b/>
                <w:bCs/>
                <w:color w:val="C55A11"/>
                <w:sz w:val="19"/>
                <w:szCs w:val="19"/>
              </w:rPr>
              <w:t xml:space="preserve">Microsoft Copilot Enterprise Rollout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85% pilot to 5% enterprise scale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Pilot programs select motivated adopters. Enterprise scale introduces job redesign requirements, governance gaps, and absent value propositions for median users. The tool did not change — the user population did.</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AI News &amp; Strategy Daily, 'Intent Engineering,' Feb 2026, DP4</w:t>
            </w:r>
          </w:p>
        </w:tc>
      </w:tr>
      <w:tr>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30"/>
            </w:pPr>
            <w:r>
              <w:rPr>
                <w:rFonts w:ascii="Arial" w:cs="Arial" w:eastAsia="Arial" w:hAnsi="Arial"/>
                <w:b/>
                <w:bCs/>
                <w:color w:val="C55A11"/>
                <w:sz w:val="19"/>
                <w:szCs w:val="19"/>
              </w:rPr>
              <w:t xml:space="preserve">$700M AI Investment Wave (Enterprise Average)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57% of companies invested $700M+; 74% reported no tangible value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Intent engineering failure — organizations deployed tools without aligning agent behavior to actual business goals. Investment in tool access; no investment in specification infrastructure, workflow redesign, or governance.</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AI News &amp; Strategy Daily, 'Intent Engineering,' Feb 2026, DP3-5 + Deloitte State of AI 2026, DP7</w:t>
            </w:r>
          </w:p>
        </w:tc>
      </w:tr>
      <w:tr>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30"/>
            </w:pPr>
            <w:r>
              <w:rPr>
                <w:rFonts w:ascii="Arial" w:cs="Arial" w:eastAsia="Arial" w:hAnsi="Arial"/>
                <w:b/>
                <w:bCs/>
                <w:color w:val="C55A11"/>
                <w:sz w:val="19"/>
                <w:szCs w:val="19"/>
              </w:rPr>
              <w:t xml:space="preserve">90% of companies that invested in AI (McKinsey survey)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Fewer than 40% reported measurable gains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Task automation without workflow redesign. Organizations automated discrete tasks rather than redesigning end-to-end workflows. Micro-efficiencies at the task level did not aggregate to business-level value.</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30"/>
            </w:pPr>
            <w:r>
              <w:rPr>
                <w:rFonts w:ascii="Arial" w:cs="Arial" w:eastAsia="Arial" w:hAnsi="Arial"/>
                <w:b w:val="false"/>
                <w:bCs w:val="false"/>
                <w:color w:val="000000"/>
                <w:sz w:val="19"/>
                <w:szCs w:val="19"/>
              </w:rPr>
              <w:t xml:space="preserve">McKinsey, 'Agents, Robots and Us,' p.35</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5623" w:sz="1"/>
              <w:left w:val="thick" w:color="375623" w:sz="12"/>
              <w:bottom w:val="single" w:color="375623" w:sz="1"/>
              <w:right w:val="single" w:color="FFFFFF" w:sz="1"/>
            </w:tcBorders>
            <w:shd w:fill="E2EFDA" w:val="clear"/>
            <w:tcMar>
              <w:top w:type="dxa" w:w="100"/>
              <w:left w:type="dxa" w:w="140"/>
              <w:bottom w:type="dxa" w:w="100"/>
              <w:right w:type="dxa" w:w="140"/>
            </w:tcMar>
          </w:tcPr>
          <w:p>
            <w:pPr>
              <w:spacing w:after="40" w:before="40"/>
            </w:pPr>
            <w:r>
              <w:rPr>
                <w:rFonts w:ascii="Arial" w:cs="Arial" w:eastAsia="Arial" w:hAnsi="Arial"/>
                <w:b/>
                <w:bCs/>
                <w:color w:val="375623"/>
                <w:sz w:val="19"/>
                <w:szCs w:val="19"/>
              </w:rPr>
              <w:t xml:space="preserve">The pattern across all failures: </w:t>
            </w:r>
            <w:r>
              <w:rPr>
                <w:rFonts w:ascii="Arial" w:cs="Arial" w:eastAsia="Arial" w:hAnsi="Arial"/>
                <w:color w:val="333333"/>
                <w:sz w:val="19"/>
                <w:szCs w:val="19"/>
              </w:rPr>
              <w:t xml:space="preserve">Every case has the same mechanism: KPIs measured activity (speed, volume, usage rate, investment) while the actual goal (relationship quality, workflow value, organizational capability) went unmeasured. The good cases in Section 6 all share the inverse: they defined what 'good' looked like before deploying, then measured that — not the tool's activity.</w:t>
            </w:r>
          </w:p>
        </w:tc>
      </w:tr>
    </w:tbl>
    <w:p>
      <w:pPr>
        <w:spacing w:after="160" w:before="0"/>
      </w:pPr>
      <w:r>
        <w:t xml:space="preserve"/>
      </w:r>
    </w:p>
    <w:p>
      <w:pPr>
        <w:pBdr>
          <w:bottom w:val="single" w:color="2E75B6" w:sz="4" w:space="1"/>
        </w:pBdr>
        <w:spacing w:after="80" w:before="80"/>
      </w:pPr>
      <w:r>
        <w:t xml:space="preserve"/>
      </w:r>
    </w:p>
    <w:p>
      <w:pPr>
        <w:spacing w:after="40" w:before="80"/>
      </w:pPr>
      <w:r>
        <w:rPr>
          <w:rFonts w:ascii="Arial" w:cs="Arial" w:eastAsia="Arial" w:hAnsi="Arial"/>
          <w:b/>
          <w:bCs/>
          <w:color w:val="555555"/>
          <w:sz w:val="18"/>
          <w:szCs w:val="18"/>
        </w:rPr>
        <w:t xml:space="preserve">Full Source Index:</w:t>
      </w:r>
      <w:r>
        <w:rPr>
          <w:rFonts w:ascii="Arial" w:cs="Arial" w:eastAsia="Arial" w:hAnsi="Arial"/>
          <w:color w:val="777777"/>
          <w:sz w:val="17"/>
          <w:szCs w:val="17"/>
        </w:rPr>
        <w:t xml:space="preserve">  HBR 'Why AI Adoption Stalls' (Feb 2026) | HBR 'Senior Leaders AI Adoption' (Feb 2026) | Deloitte State of AI 2026 (3,235 respondents, Feb 2026) | AI News &amp; Strategy Daily 'Intent Engineering' (Feb 2026) | AI News &amp; Strategy Daily 'Four Disciplines of Prompting Post-2026' (Feb 2026) | AI News &amp; Strategy Daily 'Capability Dissipation Gap' (Feb 2026) | AI News &amp; Strategy Daily 'Junior Dev Jobs' (Feb 18, 2026) | VentureBeat 'ServiceNow resolves 90%...' S. Kerner (Feb 26, 2026) | McKinsey 'Agents, Robots and Us' | Udemy '2026 Global Learning Skills Trends Report' | AI Daily Brief 'AI ROI Benchmarking Q4 2025' | AI Daily Brief 'The Time Savings Era of AI is Over' (Feb 14, 2026) | Section AI Proficiency Report (Jan 2026) | Gusto 'AI for Small Business' | Intercom '2026 Customer Service Transformation Report' (Jan 2026) | Vicky Zhao 'Protect Knowledge AI' (Feb 2026) | YouGov 'Americans AI Job Reduction' (Feb 2026) | NZ AI Strategy, MBIE (July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2026-03-06T23:04:46.639Z</dcterms:created>
  <dcterms:modified xsi:type="dcterms:W3CDTF">2026-03-06T23:04:46.639Z</dcterms:modified>
</cp:coreProperties>
</file>

<file path=docProps/custom.xml><?xml version="1.0" encoding="utf-8"?>
<Properties xmlns="http://schemas.openxmlformats.org/officeDocument/2006/custom-properties" xmlns:vt="http://schemas.openxmlformats.org/officeDocument/2006/docPropsVTypes"/>
</file>