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711" w:rsidRDefault="008D1120" w:rsidP="007A3B70">
      <w:pPr>
        <w:pStyle w:val="Heading1"/>
      </w:pPr>
      <w:bookmarkStart w:id="0" w:name="seeing-open-education-with-two-eyes"/>
      <w:r>
        <w:t>Seeing Open Education with Two Eyes</w:t>
      </w:r>
      <w:bookmarkEnd w:id="0"/>
    </w:p>
    <w:p w:rsidR="00D51711" w:rsidRDefault="008D1120" w:rsidP="007A3B70">
      <w:r>
        <w:t>Open education (OE) has a relatively short history compared to other educational ideas, but it is a history rich with aspirations about democratizing education, increasing student voice, reducing barriers to formal learning opportunities, and promoting jus</w:t>
      </w:r>
      <w:r>
        <w:t xml:space="preserve">tice for marginalized groups and individuals </w:t>
      </w:r>
      <w:hyperlink r:id="rId7">
        <w:r>
          <w:rPr>
            <w:rStyle w:val="Hyperlink"/>
          </w:rPr>
          <w:t>(2002)</w:t>
        </w:r>
      </w:hyperlink>
      <w:r>
        <w:t xml:space="preserve">. A citation analysis published by Weller, Jordan, DeVries, and Rolfe, (2018), showed some of the earliest roots of OE literature to be in both the ‘open classroom’ </w:t>
      </w:r>
      <w:r>
        <w:t xml:space="preserve">movement in the 1970s and in the distance education literature beginning in the 1980s. The open classroom movement originated in the UK following the Plowden report </w:t>
      </w:r>
      <w:hyperlink r:id="rId8">
        <w:r>
          <w:rPr>
            <w:rStyle w:val="Hyperlink"/>
          </w:rPr>
          <w:t>(Plowden, 1967)</w:t>
        </w:r>
      </w:hyperlink>
      <w:r>
        <w:t>, which argued for a stu</w:t>
      </w:r>
      <w:r>
        <w:t xml:space="preserve">dent-centred model of education with </w:t>
      </w:r>
      <w:r>
        <w:rPr>
          <w:i/>
        </w:rPr>
        <w:t>open</w:t>
      </w:r>
      <w:r>
        <w:t xml:space="preserve"> referring to the physical space of a classroom and the design of learning activities. Distance education, while originating with analog technologies such as the postal service and radio, television, or satellite br</w:t>
      </w:r>
      <w:r>
        <w:t>oadcasts pivoted to digital technologies with the advent of networked computer technologies. Both origins of OE reflect the aspirations of their advocates to broaden access to formal education.</w:t>
      </w:r>
    </w:p>
    <w:p w:rsidR="00D51711" w:rsidRDefault="008D1120" w:rsidP="007A3B70">
      <w:r>
        <w:t>A challenge to modern open educators is reconciling the contin</w:t>
      </w:r>
      <w:r>
        <w:t>uing emphasis on enacting social justice narratives with the attempt to do so in a digital landscape that is decidedly hostile, by design, to enacting social justice narratives. In the Canadian context, the most pressing need for justice is embodied in the</w:t>
      </w:r>
      <w:r>
        <w:t xml:space="preserve"> lives and communities of the Indigenous Peoples who have stewarded this land since time immemorial. OE, which is often, but not always, digital, seems at first to be at odds with the traditional principles of learning practiced by Indigenous Peoples. Two </w:t>
      </w:r>
      <w:r>
        <w:t xml:space="preserve">examples of this, according to Tessaro et al. </w:t>
      </w:r>
      <w:hyperlink r:id="rId9">
        <w:r>
          <w:rPr>
            <w:rStyle w:val="Hyperlink"/>
          </w:rPr>
          <w:t>(2018)</w:t>
        </w:r>
      </w:hyperlink>
      <w:r>
        <w:t xml:space="preserve"> are that Indigenous Education is heavily dependent upon being situated in a specific community context at a specific time, conversely, open education</w:t>
      </w:r>
      <w:r>
        <w:t xml:space="preserve"> is designed to transcend place and time and be accessible to anyone regardless of </w:t>
      </w:r>
      <w:r>
        <w:lastRenderedPageBreak/>
        <w:t>their location. Also, Indigenous Education should be carried out in a context where teachers are very attuned to their students personalities, histories, needs, and goals, b</w:t>
      </w:r>
      <w:r>
        <w:t>ut open educators may never meet or even speak to any given student, so there is little chance that they will be able to understand the contexts of their students.</w:t>
      </w:r>
    </w:p>
    <w:p w:rsidR="00D51711" w:rsidRDefault="008D1120" w:rsidP="007A3B70">
      <w:r>
        <w:t>The following table outlines some of the major points of conflict between Indigenous educati</w:t>
      </w:r>
      <w:r>
        <w:t xml:space="preserve">on and online education as described by Tessaro, et al. </w:t>
      </w:r>
      <w:hyperlink r:id="rId10">
        <w:r>
          <w:rPr>
            <w:rStyle w:val="Hyperlink"/>
          </w:rPr>
          <w:t>(2018)</w:t>
        </w:r>
      </w:hyperlink>
      <w:r>
        <w:t xml:space="preserve"> (Table 1). Note that they refer to </w:t>
      </w:r>
      <w:r>
        <w:rPr>
          <w:i/>
        </w:rPr>
        <w:t>online</w:t>
      </w:r>
      <w:r>
        <w:t xml:space="preserve"> education, not </w:t>
      </w:r>
      <w:r>
        <w:rPr>
          <w:i/>
        </w:rPr>
        <w:t>open</w:t>
      </w:r>
      <w:r>
        <w:t xml:space="preserve"> education, but the characteristics of online education they describe are also</w:t>
      </w:r>
      <w:r>
        <w:t xml:space="preserve"> characteristic of modern open education, which relies heavily on online technologies. It is not true that online education and open education are the same thing, but a thorough discussion of the differences is beyond the scope of this paper.</w:t>
      </w:r>
    </w:p>
    <w:tbl>
      <w:tblPr>
        <w:tblStyle w:val="Table"/>
        <w:tblW w:w="4720" w:type="pct"/>
        <w:tblLook w:val="07E0" w:firstRow="1" w:lastRow="1" w:firstColumn="1" w:lastColumn="1" w:noHBand="1" w:noVBand="1"/>
      </w:tblPr>
      <w:tblGrid>
        <w:gridCol w:w="3936"/>
        <w:gridCol w:w="5104"/>
      </w:tblGrid>
      <w:tr w:rsidR="00D51711" w:rsidTr="007A3B70">
        <w:tc>
          <w:tcPr>
            <w:tcW w:w="2177" w:type="pct"/>
            <w:tcBorders>
              <w:bottom w:val="single" w:sz="0" w:space="0" w:color="auto"/>
            </w:tcBorders>
            <w:vAlign w:val="bottom"/>
          </w:tcPr>
          <w:p w:rsidR="00D51711" w:rsidRDefault="008D1120" w:rsidP="007A3B70">
            <w:pPr>
              <w:pStyle w:val="Compact"/>
            </w:pPr>
            <w:r>
              <w:t>Indigenous ed</w:t>
            </w:r>
            <w:r>
              <w:t>ucation</w:t>
            </w:r>
          </w:p>
        </w:tc>
        <w:tc>
          <w:tcPr>
            <w:tcW w:w="2823" w:type="pct"/>
            <w:tcBorders>
              <w:bottom w:val="single" w:sz="0" w:space="0" w:color="auto"/>
            </w:tcBorders>
            <w:vAlign w:val="bottom"/>
          </w:tcPr>
          <w:p w:rsidR="00D51711" w:rsidRDefault="008D1120" w:rsidP="007A3B70">
            <w:pPr>
              <w:pStyle w:val="Compact"/>
            </w:pPr>
            <w:r>
              <w:t>Online Education</w:t>
            </w:r>
          </w:p>
        </w:tc>
      </w:tr>
      <w:tr w:rsidR="00D51711" w:rsidTr="007A3B70">
        <w:tc>
          <w:tcPr>
            <w:tcW w:w="2177" w:type="pct"/>
          </w:tcPr>
          <w:p w:rsidR="00D51711" w:rsidRDefault="008D1120" w:rsidP="007A3B70">
            <w:pPr>
              <w:pStyle w:val="Compact"/>
            </w:pPr>
            <w:r>
              <w:t>situated in a specific community</w:t>
            </w:r>
          </w:p>
        </w:tc>
        <w:tc>
          <w:tcPr>
            <w:tcW w:w="2823" w:type="pct"/>
          </w:tcPr>
          <w:p w:rsidR="00D51711" w:rsidRDefault="008D1120" w:rsidP="007A3B70">
            <w:pPr>
              <w:pStyle w:val="Compact"/>
            </w:pPr>
            <w:r>
              <w:t>accessible across multiple communities</w:t>
            </w:r>
          </w:p>
        </w:tc>
      </w:tr>
      <w:tr w:rsidR="00D51711" w:rsidTr="007A3B70">
        <w:tc>
          <w:tcPr>
            <w:tcW w:w="2177" w:type="pct"/>
          </w:tcPr>
          <w:p w:rsidR="00D51711" w:rsidRDefault="008D1120" w:rsidP="007A3B70">
            <w:pPr>
              <w:pStyle w:val="Compact"/>
            </w:pPr>
            <w:r>
              <w:t>highly contextual</w:t>
            </w:r>
          </w:p>
        </w:tc>
        <w:tc>
          <w:tcPr>
            <w:tcW w:w="2823" w:type="pct"/>
          </w:tcPr>
          <w:p w:rsidR="00D51711" w:rsidRDefault="008D1120" w:rsidP="007A3B70">
            <w:pPr>
              <w:pStyle w:val="Compact"/>
            </w:pPr>
            <w:r>
              <w:t>very low context</w:t>
            </w:r>
          </w:p>
        </w:tc>
      </w:tr>
      <w:tr w:rsidR="00D51711" w:rsidTr="007A3B70">
        <w:tc>
          <w:tcPr>
            <w:tcW w:w="2177" w:type="pct"/>
          </w:tcPr>
          <w:p w:rsidR="00D51711" w:rsidRDefault="008D1120" w:rsidP="007A3B70">
            <w:pPr>
              <w:pStyle w:val="Compact"/>
            </w:pPr>
            <w:r>
              <w:t>experiential</w:t>
            </w:r>
          </w:p>
        </w:tc>
        <w:tc>
          <w:tcPr>
            <w:tcW w:w="2823" w:type="pct"/>
          </w:tcPr>
          <w:p w:rsidR="00D51711" w:rsidRDefault="008D1120" w:rsidP="007A3B70">
            <w:pPr>
              <w:pStyle w:val="Compact"/>
            </w:pPr>
            <w:r>
              <w:t>technologically mediated</w:t>
            </w:r>
          </w:p>
        </w:tc>
      </w:tr>
      <w:tr w:rsidR="00D51711" w:rsidTr="007A3B70">
        <w:tc>
          <w:tcPr>
            <w:tcW w:w="2177" w:type="pct"/>
          </w:tcPr>
          <w:p w:rsidR="00D51711" w:rsidRDefault="008D1120" w:rsidP="007A3B70">
            <w:pPr>
              <w:pStyle w:val="Compact"/>
            </w:pPr>
            <w:r>
              <w:t>personal</w:t>
            </w:r>
          </w:p>
        </w:tc>
        <w:tc>
          <w:tcPr>
            <w:tcW w:w="2823" w:type="pct"/>
          </w:tcPr>
          <w:p w:rsidR="00D51711" w:rsidRDefault="008D1120" w:rsidP="007A3B70">
            <w:pPr>
              <w:pStyle w:val="Compact"/>
            </w:pPr>
            <w:r>
              <w:t>impersonal</w:t>
            </w:r>
          </w:p>
        </w:tc>
      </w:tr>
      <w:tr w:rsidR="00D51711" w:rsidTr="007A3B70">
        <w:tc>
          <w:tcPr>
            <w:tcW w:w="2177" w:type="pct"/>
          </w:tcPr>
          <w:p w:rsidR="00D51711" w:rsidRDefault="008D1120" w:rsidP="007A3B70">
            <w:pPr>
              <w:pStyle w:val="Compact"/>
            </w:pPr>
            <w:r>
              <w:t>orally transmitted</w:t>
            </w:r>
          </w:p>
        </w:tc>
        <w:tc>
          <w:tcPr>
            <w:tcW w:w="2823" w:type="pct"/>
          </w:tcPr>
          <w:p w:rsidR="00D51711" w:rsidRDefault="008D1120" w:rsidP="007A3B70">
            <w:pPr>
              <w:pStyle w:val="Compact"/>
            </w:pPr>
            <w:r>
              <w:t>text-based</w:t>
            </w:r>
          </w:p>
        </w:tc>
      </w:tr>
    </w:tbl>
    <w:p w:rsidR="00D51711" w:rsidRDefault="008D1120" w:rsidP="007A3B70">
      <w:r>
        <w:t>Table 1. Points of conflict between Indigenous and Open Education</w:t>
      </w:r>
    </w:p>
    <w:p w:rsidR="00D51711" w:rsidRDefault="008D1120" w:rsidP="007A3B70">
      <w:r>
        <w:t>With such apparent contradictions in approaches to learning environments, it seems that open educators, despite their commitment to social justice, may have a very difficult time respectfull</w:t>
      </w:r>
      <w:r>
        <w:t>y engaging with Indigenous Peoples in digital environments. A closer look, however, may tell a different story.</w:t>
      </w:r>
    </w:p>
    <w:p w:rsidR="00D51711" w:rsidRDefault="008D1120" w:rsidP="007A3B70">
      <w:pPr>
        <w:pStyle w:val="Heading5"/>
      </w:pPr>
      <w:bookmarkStart w:id="1" w:name="open-education"/>
      <w:r>
        <w:lastRenderedPageBreak/>
        <w:t>Open education</w:t>
      </w:r>
      <w:bookmarkEnd w:id="1"/>
    </w:p>
    <w:p w:rsidR="00D51711" w:rsidRDefault="008D1120" w:rsidP="007A3B70">
      <w:r>
        <w:t>Open education is typically understood as being a set of beliefs, values, practices, and resources that, when enacted, increase a</w:t>
      </w:r>
      <w:r>
        <w:t>ccess to educational environments for the benefit of marginalized or under-represented students. Educators who have surveyed the literature on the history of open education have found that early conceptions of open education were primarily focused on creat</w:t>
      </w:r>
      <w:r>
        <w:t>ing student-centred learning environments in K-12 (Cuban, 2004; Hendricks, 2017; Morgan, 2016) and, more specifically, three pairs of complementary values: “autonomy and interdependence; freedom and responsibility; democracy and participation” (Paquette, 2</w:t>
      </w:r>
      <w:r>
        <w:t>005). Morgan (2016) notes that these aims towards autonomy and freedom persist in the open education discourse today.</w:t>
      </w:r>
    </w:p>
    <w:p w:rsidR="00D51711" w:rsidRDefault="008D1120" w:rsidP="007A3B70">
      <w:r>
        <w:t>This paper will begin by briefly describing open education through three lenses: permissions, pedagogy, and participation.</w:t>
      </w:r>
    </w:p>
    <w:p w:rsidR="00D51711" w:rsidRDefault="008D1120" w:rsidP="007A3B70">
      <w:pPr>
        <w:pStyle w:val="Heading6"/>
      </w:pPr>
      <w:bookmarkStart w:id="2" w:name="permissions"/>
      <w:r>
        <w:t>Permissions</w:t>
      </w:r>
      <w:bookmarkEnd w:id="2"/>
    </w:p>
    <w:p w:rsidR="00D51711" w:rsidRDefault="008D1120" w:rsidP="007A3B70">
      <w:r>
        <w:t>The</w:t>
      </w:r>
      <w:r>
        <w:t xml:space="preserve"> dominant discourse in OE literature beginning with the 2002 UNESCO Forum on the Impact of Open Courseware for Higher Education </w:t>
      </w:r>
      <w:hyperlink r:id="rId11">
        <w:r>
          <w:rPr>
            <w:rStyle w:val="Hyperlink"/>
          </w:rPr>
          <w:t>(2002)</w:t>
        </w:r>
      </w:hyperlink>
      <w:r>
        <w:t xml:space="preserve"> until 2012 focussed on the benefits of openness that can be realized through the </w:t>
      </w:r>
      <w:r>
        <w:t xml:space="preserve">creation and adoption of open educational resources (OER) </w:t>
      </w:r>
      <w:hyperlink r:id="rId12">
        <w:r>
          <w:rPr>
            <w:rStyle w:val="Hyperlink"/>
          </w:rPr>
          <w:t>(Lambert, 2018)</w:t>
        </w:r>
      </w:hyperlink>
      <w:r>
        <w:t>. OER are typically described as being educational resources such as books, articles, videos, lessons, courses, or other artifacts that a</w:t>
      </w:r>
      <w:r>
        <w:t xml:space="preserve">re licensed to allow end users (teachers and students) to participate in 5 activities related to the resource. Users are permitted and encouraged to revise, remix, reuse, retain, and redistribute the materials </w:t>
      </w:r>
      <w:hyperlink r:id="rId13">
        <w:r>
          <w:rPr>
            <w:rStyle w:val="Hyperlink"/>
          </w:rPr>
          <w:t>(W</w:t>
        </w:r>
        <w:r>
          <w:rPr>
            <w:rStyle w:val="Hyperlink"/>
          </w:rPr>
          <w:t>iley, ND)</w:t>
        </w:r>
      </w:hyperlink>
      <w:r>
        <w:t>.</w:t>
      </w:r>
    </w:p>
    <w:p w:rsidR="00D51711" w:rsidRDefault="008D1120" w:rsidP="007A3B70">
      <w:r>
        <w:t xml:space="preserve">Lambert </w:t>
      </w:r>
      <w:hyperlink r:id="rId14">
        <w:r>
          <w:rPr>
            <w:rStyle w:val="Hyperlink"/>
          </w:rPr>
          <w:t>(2018|)</w:t>
        </w:r>
      </w:hyperlink>
      <w:r>
        <w:t xml:space="preserve"> describes this phase of the OE movement as being focussed on an aspirational narrative and that proponents were convinced </w:t>
      </w:r>
      <w:r>
        <w:rPr>
          <w:i/>
        </w:rPr>
        <w:t>a priori</w:t>
      </w:r>
      <w:r>
        <w:t xml:space="preserve"> that ‘openness’ and ‘access’ </w:t>
      </w:r>
      <w:r>
        <w:lastRenderedPageBreak/>
        <w:t>are necessarily good. S</w:t>
      </w:r>
      <w:r>
        <w:t>he challenges the assumption that simply providing free resources for all students will benefit all students.</w:t>
      </w:r>
    </w:p>
    <w:p w:rsidR="00D51711" w:rsidRDefault="008D1120" w:rsidP="007A3B70">
      <w:pPr>
        <w:pStyle w:val="Heading6"/>
      </w:pPr>
      <w:bookmarkStart w:id="3" w:name="pedagogy"/>
      <w:r>
        <w:t>Pedagogy</w:t>
      </w:r>
      <w:bookmarkEnd w:id="3"/>
    </w:p>
    <w:p w:rsidR="00D51711" w:rsidRDefault="008D1120" w:rsidP="007A3B70">
      <w:r>
        <w:t xml:space="preserve">A second lens in the discourse could be called “pedagogy”, “open pedagogy”, or “open educational practices”. The writers of the </w:t>
      </w:r>
      <w:r>
        <w:rPr>
          <w:i/>
        </w:rPr>
        <w:t>Cape Town Open Education Declaration</w:t>
      </w:r>
      <w:r>
        <w:t xml:space="preserve"> wrote:</w:t>
      </w:r>
    </w:p>
    <w:p w:rsidR="00D51711" w:rsidRDefault="008D1120" w:rsidP="007A3B70">
      <w:pPr>
        <w:pStyle w:val="BlockText"/>
      </w:pPr>
      <w:r>
        <w:t>However, open education is not limited to just open educational resources. It also draws upon open technologies that facilitate collaborative, flexible learning and the open sharing of teaching practices that emp</w:t>
      </w:r>
      <w:r>
        <w:t>ower educators to benefit from the best ideas of their colleagues. It may also grow to include new approaches to assessment, accreditation and collaborative learning. Understanding and embracing innovations like these is critical to the long term vision of</w:t>
      </w:r>
      <w:r>
        <w:t xml:space="preserve"> this movement </w:t>
      </w:r>
      <w:hyperlink r:id="rId15">
        <w:r>
          <w:rPr>
            <w:rStyle w:val="Hyperlink"/>
          </w:rPr>
          <w:t>(2007, para. 4)</w:t>
        </w:r>
      </w:hyperlink>
      <w:r>
        <w:t>.</w:t>
      </w:r>
    </w:p>
    <w:p w:rsidR="00D51711" w:rsidRDefault="008D1120" w:rsidP="007A3B70">
      <w:r>
        <w:t>This vision of pedagogical innovation is seen in Wiley and Hilton’s description of “OER-enabled pedagogy” as “the set of teaching and learning practices that are only possible or practical in</w:t>
      </w:r>
      <w:r>
        <w:t xml:space="preserve"> the context of the 5R permissions which are characteristic of OER” </w:t>
      </w:r>
      <w:hyperlink>
        <w:r>
          <w:rPr>
            <w:rStyle w:val="Hyperlink"/>
          </w:rPr>
          <w:t>(2018)</w:t>
        </w:r>
      </w:hyperlink>
      <w:r>
        <w:t>@wileyDefiningOEREnabledPedagogy2018). Paskevicius described OEP as:</w:t>
      </w:r>
    </w:p>
    <w:p w:rsidR="00D51711" w:rsidRDefault="008D1120" w:rsidP="007A3B70">
      <w:pPr>
        <w:pStyle w:val="BlockText"/>
      </w:pPr>
      <w:r>
        <w:t>Teaching and learning practices where openness is enacted within all aspects of instructional pr</w:t>
      </w:r>
      <w:r>
        <w:t>actice; including the design of learning outcomes, the selection of teaching resources, and the planning of activities and assessment. OEP engage both faculty and students with the use and creation of OER, draw attention to the potential afforded by open l</w:t>
      </w:r>
      <w:r>
        <w:t xml:space="preserve">icences, facilitate open peer-review, and support participatory student-directed projects </w:t>
      </w:r>
      <w:hyperlink r:id="rId16">
        <w:r>
          <w:rPr>
            <w:rStyle w:val="Hyperlink"/>
          </w:rPr>
          <w:t>(2017, p. 127)</w:t>
        </w:r>
      </w:hyperlink>
      <w:r>
        <w:t>.</w:t>
      </w:r>
    </w:p>
    <w:p w:rsidR="00D51711" w:rsidRDefault="008D1120" w:rsidP="007A3B70">
      <w:r>
        <w:lastRenderedPageBreak/>
        <w:t>Other researchers describe OE as “resources, tools and practices to improve educatio</w:t>
      </w:r>
      <w:r>
        <w:t xml:space="preserve">nal access, effectiveness, and equality worldwide” </w:t>
      </w:r>
      <w:hyperlink r:id="rId17">
        <w:r>
          <w:rPr>
            <w:rStyle w:val="Hyperlink"/>
          </w:rPr>
          <w:t>(Cronin &amp; MacLaren, 2018, p. 127)</w:t>
        </w:r>
      </w:hyperlink>
      <w:r>
        <w:t xml:space="preserve">. It is notable that Cronin and MacLaren’s definition does not specifically mention the use of open licenses or OER </w:t>
      </w:r>
      <w:r>
        <w:t>while Paskevicius’ definition is specific about the use and creation of OER coupled with innovative pedagogies that are enabled by open licenses.</w:t>
      </w:r>
    </w:p>
    <w:p w:rsidR="00D51711" w:rsidRDefault="008D1120" w:rsidP="007A3B70">
      <w:pPr>
        <w:pStyle w:val="Heading6"/>
      </w:pPr>
      <w:bookmarkStart w:id="4" w:name="participation"/>
      <w:r>
        <w:t>Participation</w:t>
      </w:r>
      <w:bookmarkEnd w:id="4"/>
    </w:p>
    <w:p w:rsidR="00D51711" w:rsidRDefault="008D1120" w:rsidP="007A3B70">
      <w:r>
        <w:t>More recently, researchers have published papers critical of the aspirational narrative around open education being focussed on issues of social justice for marginalized groups. If marginalized groups (such as Indigenous people living in remote communities</w:t>
      </w:r>
      <w:r>
        <w:t xml:space="preserve"> in northern Canada) have more difficulty accessing stable broadband internet, then the digital environment of most OE programming, regardless of whether it is pedagogically innovative, will only benefit those who do have stable access to broadband interne</w:t>
      </w:r>
      <w:r>
        <w:t xml:space="preserve">t and inequality will increase. This digital divide is suggested by the results of Rohs and Ganz’s investigation of massive open online courses (MOOCs) </w:t>
      </w:r>
      <w:hyperlink r:id="rId18">
        <w:r>
          <w:rPr>
            <w:rStyle w:val="Hyperlink"/>
          </w:rPr>
          <w:t>(2015)</w:t>
        </w:r>
      </w:hyperlink>
      <w:r>
        <w:t>. They found that participation in two different M</w:t>
      </w:r>
      <w:r>
        <w:t>OOCs was weighted towards people who already had obtained some level of higher education suggesting that MOOC participants were more likely to not be from a marginalized group.</w:t>
      </w:r>
    </w:p>
    <w:p w:rsidR="00D51711" w:rsidRDefault="008D1120" w:rsidP="007A3B70">
      <w:r>
        <w:t>Lambert’s recent article concludes with a definition of OE which centres social</w:t>
      </w:r>
      <w:r>
        <w:t xml:space="preserve"> justice. She writes that there are three distinct components to social justice: “redistributive justice, recognitive justice [and] representational justice” </w:t>
      </w:r>
      <w:hyperlink r:id="rId19">
        <w:r>
          <w:rPr>
            <w:rStyle w:val="Hyperlink"/>
          </w:rPr>
          <w:t>(Lambert, 2018, p. 227)</w:t>
        </w:r>
      </w:hyperlink>
      <w:r>
        <w:t>. Redistributive justice is t</w:t>
      </w:r>
      <w:r>
        <w:t>he act of making resources more readily available to those populations who may have less, recognitive justice engenders greater respect for marginalized voices, and representational justice involves giving voice to those who have been excluded from discour</w:t>
      </w:r>
      <w:r>
        <w:t xml:space="preserve">se. Lambert uses the example of an open textbook freely provided to a marginalized group (redistributive justice), but </w:t>
      </w:r>
      <w:r>
        <w:lastRenderedPageBreak/>
        <w:t>if that textbook doesn’t include examples or illustrations drawn from the marginalized culture, then it lacks recognitive justice, and if</w:t>
      </w:r>
      <w:r>
        <w:t xml:space="preserve"> it is written by and from the perspective of the dominant group, then it lacks representational justice. She offers the following definition of socially just OE:</w:t>
      </w:r>
    </w:p>
    <w:p w:rsidR="00D51711" w:rsidRDefault="008D1120" w:rsidP="007A3B70">
      <w:pPr>
        <w:pStyle w:val="BlockText"/>
      </w:pPr>
      <w:r>
        <w:t>Open Education is the development of free digitally enabled learning materials and experience</w:t>
      </w:r>
      <w:r>
        <w:t>s primarily by and for the benefit and empowerment of non-privileged learners who may be under-represented in education systems or marginalised in their global context. Success of social justice aligned programs can be measured not by any particular techni</w:t>
      </w:r>
      <w:r>
        <w:t>cal feature or format, but instead by the extent to which they enact redistributive justice, recognitive justice and/or representational justice. (p. 239)</w:t>
      </w:r>
    </w:p>
    <w:p w:rsidR="00D51711" w:rsidRDefault="008D1120" w:rsidP="007A3B70">
      <w:r>
        <w:t>But what if this isn’t enough? What if OE, with its reliance on digital technology is actually causin</w:t>
      </w:r>
      <w:r>
        <w:t xml:space="preserve">g greater </w:t>
      </w:r>
      <w:r w:rsidRPr="007A3B70">
        <w:t>injustice</w:t>
      </w:r>
      <w:r>
        <w:t xml:space="preserve"> by excluding the voices of Indigenous people in Canada? What if OE is just another form of white colonialism and the extermination of Indigeneity? These questions can begin to be resolved by paying attention to Lambert’s deliberate phra</w:t>
      </w:r>
      <w:r>
        <w:t xml:space="preserve">se “primarily </w:t>
      </w:r>
      <w:r>
        <w:rPr>
          <w:i/>
        </w:rPr>
        <w:t>by</w:t>
      </w:r>
      <w:r>
        <w:t xml:space="preserve"> and </w:t>
      </w:r>
      <w:r>
        <w:rPr>
          <w:i/>
        </w:rPr>
        <w:t>for</w:t>
      </w:r>
      <w:r>
        <w:t xml:space="preserve"> … non-privileged learners” (p. 239, emphasis added).</w:t>
      </w:r>
    </w:p>
    <w:p w:rsidR="00D51711" w:rsidRDefault="008D1120" w:rsidP="007A3B70">
      <w:pPr>
        <w:pStyle w:val="Heading3"/>
      </w:pPr>
      <w:bookmarkStart w:id="5" w:name="two-eyed-seeing"/>
      <w:r>
        <w:t>Two-eyed seeing</w:t>
      </w:r>
      <w:bookmarkEnd w:id="5"/>
    </w:p>
    <w:p w:rsidR="00D51711" w:rsidRDefault="008D1120" w:rsidP="007A3B70">
      <w:r>
        <w:t>If OE is to be “by and for” Indigenous Canadians, then OE practitioners must take the time to listen and to learn to see with two eyes. “Two-eyed seeing” is a ter</w:t>
      </w:r>
      <w:r>
        <w:t xml:space="preserve">m coined by Mi’kmaq Elder Albert Marshall to describe the integration of Indigenous and “western” ways of knowing </w:t>
      </w:r>
      <w:hyperlink r:id="rId20">
        <w:r>
          <w:rPr>
            <w:rStyle w:val="Hyperlink"/>
          </w:rPr>
          <w:t>(Marshall, 2017)</w:t>
        </w:r>
      </w:hyperlink>
      <w:r>
        <w:t xml:space="preserve">. Two-eyed seeing is the English version of the Mi’kmaq word </w:t>
      </w:r>
      <w:r>
        <w:rPr>
          <w:i/>
        </w:rPr>
        <w:t>Etuaptmumk</w:t>
      </w:r>
      <w:r>
        <w:t>. El</w:t>
      </w:r>
      <w:r>
        <w:t>der Marshall describes two-eyed seeing as:</w:t>
      </w:r>
    </w:p>
    <w:p w:rsidR="00D51711" w:rsidRDefault="008D1120" w:rsidP="007A3B70">
      <w:pPr>
        <w:pStyle w:val="BlockText"/>
      </w:pPr>
      <w:r>
        <w:lastRenderedPageBreak/>
        <w:t>learn to see from your one eye with the best or the strengths in the Indigenous knowledges and ways of knowing … and learn to see from your other eye with the best or the strengths in the mainstream (Western or Eu</w:t>
      </w:r>
      <w:r>
        <w:t>rocentric) knowledges and ways of knowing … but most importantly, learn to see with both these eyes together, for the benefit of all (para. 2).</w:t>
      </w:r>
    </w:p>
    <w:p w:rsidR="00D51711" w:rsidRDefault="008D1120" w:rsidP="007A3B70">
      <w:r>
        <w:t xml:space="preserve">It is not taking bits and pieces from one or the other way of knowing, but weaving together knowledge from both </w:t>
      </w:r>
      <w:r>
        <w:t xml:space="preserve">systems and a journey of co-learning that occurs between Indigenous and non-Indigenous learners </w:t>
      </w:r>
      <w:hyperlink r:id="rId21">
        <w:r>
          <w:rPr>
            <w:rStyle w:val="Hyperlink"/>
          </w:rPr>
          <w:t>(Bartlett, Marshall, &amp; Marshall, 2012)</w:t>
        </w:r>
      </w:hyperlink>
      <w:r>
        <w:t>.</w:t>
      </w:r>
    </w:p>
    <w:p w:rsidR="00D51711" w:rsidRDefault="008D1120" w:rsidP="007A3B70">
      <w:pPr>
        <w:pStyle w:val="Heading3"/>
      </w:pPr>
      <w:bookmarkStart w:id="6" w:name="truth-and-reconciliation"/>
      <w:r>
        <w:t>Truth and Reconciliation</w:t>
      </w:r>
      <w:bookmarkEnd w:id="6"/>
    </w:p>
    <w:p w:rsidR="00D51711" w:rsidRDefault="008D1120" w:rsidP="007A3B70">
      <w:r>
        <w:t xml:space="preserve">The </w:t>
      </w:r>
      <w:r>
        <w:rPr>
          <w:i/>
        </w:rPr>
        <w:t>Truth and Reconciliation Commission of C</w:t>
      </w:r>
      <w:r>
        <w:rPr>
          <w:i/>
        </w:rPr>
        <w:t>anada</w:t>
      </w:r>
      <w:r>
        <w:t xml:space="preserve"> has called open educators to action, generally in the sense that all Canadians are called to reconciliation, but also specifically in calls to close achievement gaps, improve educational attainment levels, develop culturally appropriate curricula and</w:t>
      </w:r>
      <w:r>
        <w:t xml:space="preserve"> provide sufficient funding to “end the backlog of First Nations students seeking a post-secondary education” </w:t>
      </w:r>
      <w:hyperlink r:id="rId22">
        <w:r>
          <w:rPr>
            <w:rStyle w:val="Hyperlink"/>
          </w:rPr>
          <w:t>(Truth and Reconciliation Commission of Canada, 2015, p. 2)</w:t>
        </w:r>
      </w:hyperlink>
      <w:r>
        <w:t>. There are a few ways to do this</w:t>
      </w:r>
      <w:r>
        <w:t xml:space="preserve"> appropriately, and myriad ways to make the situation worse.</w:t>
      </w:r>
    </w:p>
    <w:p w:rsidR="00D51711" w:rsidRDefault="008D1120" w:rsidP="007A3B70">
      <w:r>
        <w:t xml:space="preserve">According to Antoine, Mason, Mason, Palahicky, and Rodriguez de France </w:t>
      </w:r>
      <w:hyperlink r:id="rId23">
        <w:r>
          <w:rPr>
            <w:rStyle w:val="Hyperlink"/>
          </w:rPr>
          <w:t>(2018)</w:t>
        </w:r>
      </w:hyperlink>
      <w:r>
        <w:t>, there are three related processes with respect to addressing pas</w:t>
      </w:r>
      <w:r>
        <w:t>t evils and current systemic oppression: indigenization, decolonization, and reconciliation. Indigenization is another word for two-eyed seeing. It is the weaving or braiding of indigenous and western knowledge systems for the benefit of all students, teac</w:t>
      </w:r>
      <w:r>
        <w:t xml:space="preserve">hers, and community members. Decolonization is the “process of deconstructing colonial ideologies of the superiority and privilege of Western thought and approaches” (p. 4). It involves correcting misconceptions and misrepresentations, and </w:t>
      </w:r>
      <w:r>
        <w:lastRenderedPageBreak/>
        <w:t xml:space="preserve">dismantling the </w:t>
      </w:r>
      <w:r>
        <w:t>status quo. It is a process that must be led by Indigenous People. Reconciliation is about addressing past wrongs, making amends, and improving relationships between Indigenous and non-Indigenous people. According to Chief Justice Murray Sinclair, Chair of</w:t>
      </w:r>
      <w:r>
        <w:t xml:space="preserve"> the Truth and Reconciliation Commission of Canada, “Reconciliation is not an Aboriginal problem - it involves all of us” (p. 5).</w:t>
      </w:r>
    </w:p>
    <w:p w:rsidR="00D51711" w:rsidRDefault="008D1120" w:rsidP="007A3B70">
      <w:pPr>
        <w:pStyle w:val="Heading3"/>
      </w:pPr>
      <w:bookmarkStart w:id="7" w:name="indigenous-education"/>
      <w:r>
        <w:t>Indigenous Education</w:t>
      </w:r>
      <w:bookmarkEnd w:id="7"/>
    </w:p>
    <w:p w:rsidR="00D51711" w:rsidRDefault="008D1120" w:rsidP="007A3B70">
      <w:r>
        <w:t>There is not one single way of approaching Indigenous Education simply because there are hundreds of different First Nations in Canada alone. However, Antoine et al. (2018) identify four characteristics of Indigenous pedagogies that seem to be common to ma</w:t>
      </w:r>
      <w:r>
        <w:t xml:space="preserve">ny Indigenous societies. Indigenous education is </w:t>
      </w:r>
      <w:r>
        <w:rPr>
          <w:i/>
        </w:rPr>
        <w:t>personal and holistic</w:t>
      </w:r>
      <w:r>
        <w:t xml:space="preserve"> because it aims to develop the whole person, including emotional, cognitive, physical, and spiritual aspects. It also emphasizes </w:t>
      </w:r>
      <w:r>
        <w:rPr>
          <w:i/>
        </w:rPr>
        <w:t>experiential</w:t>
      </w:r>
      <w:r>
        <w:t xml:space="preserve"> learning, or learning by doing and being me</w:t>
      </w:r>
      <w:r>
        <w:t xml:space="preserve">ntored by older, more experienced members of the community. It is </w:t>
      </w:r>
      <w:r>
        <w:rPr>
          <w:i/>
        </w:rPr>
        <w:t>place-based</w:t>
      </w:r>
      <w:r>
        <w:t xml:space="preserve"> because it is tied to a specific place and community in a specific geographical location and environment. Finally, it is </w:t>
      </w:r>
      <w:r>
        <w:rPr>
          <w:i/>
        </w:rPr>
        <w:t>intergenerational</w:t>
      </w:r>
      <w:r>
        <w:t xml:space="preserve"> in that Indigenous Elders have a respon</w:t>
      </w:r>
      <w:r>
        <w:t>sibility to pass down knowledge and wisdom to younger generations.</w:t>
      </w:r>
    </w:p>
    <w:p w:rsidR="00D51711" w:rsidRDefault="008D1120" w:rsidP="007A3B70">
      <w:pPr>
        <w:pStyle w:val="Heading3"/>
      </w:pPr>
      <w:bookmarkStart w:id="8" w:name="five-rs"/>
      <w:r>
        <w:t>Five R’s</w:t>
      </w:r>
      <w:bookmarkEnd w:id="8"/>
    </w:p>
    <w:p w:rsidR="00D51711" w:rsidRDefault="008D1120" w:rsidP="007A3B70">
      <w:r>
        <w:t xml:space="preserve">Tessaro et al. (2018) described an online course designed for Principals of First Nations schools. The course needed to be online in order to engage learners in remote areas where </w:t>
      </w:r>
      <w:r>
        <w:t>opportunities for professional development are scarce, but there was concern that there might be a conflict between the characteristics of online learning and the needs of Indigenous learners. To mitigate this risk, the course was designed to align with th</w:t>
      </w:r>
      <w:r>
        <w:t>e five R’s of Indigenous Education: respect, reciprocity, relevance, responsibility, and relationships.</w:t>
      </w:r>
    </w:p>
    <w:p w:rsidR="00D51711" w:rsidRDefault="008D1120" w:rsidP="007A3B70">
      <w:pPr>
        <w:pStyle w:val="Heading4"/>
      </w:pPr>
      <w:bookmarkStart w:id="9" w:name="respect"/>
      <w:r>
        <w:lastRenderedPageBreak/>
        <w:t>Respect</w:t>
      </w:r>
      <w:bookmarkEnd w:id="9"/>
    </w:p>
    <w:p w:rsidR="00D51711" w:rsidRDefault="008D1120" w:rsidP="007A3B70">
      <w:r>
        <w:t>It is critical for Indigenous learning environments to be respectful of Indigenous values, specifically the lack of hierarchy in Indigenous cult</w:t>
      </w:r>
      <w:r>
        <w:t>ures where every person is equal to every other person. This can clearly be a problem as modern Canadian universities are very hierarchical and bureaucratic, leading Indigenous learners feeling alienated.</w:t>
      </w:r>
    </w:p>
    <w:p w:rsidR="00D51711" w:rsidRDefault="008D1120" w:rsidP="007A3B70">
      <w:pPr>
        <w:pStyle w:val="Heading4"/>
      </w:pPr>
      <w:bookmarkStart w:id="10" w:name="reciprocity"/>
      <w:r>
        <w:t>Reciprocity</w:t>
      </w:r>
      <w:bookmarkEnd w:id="10"/>
    </w:p>
    <w:p w:rsidR="00D51711" w:rsidRDefault="008D1120" w:rsidP="007A3B70">
      <w:r>
        <w:t>For decades, Indigenous communities hav</w:t>
      </w:r>
      <w:r>
        <w:t>e been the objects of Western greed, research, and experimentation with researchers seeking only to answer an academic question. This extractive exploitation of Indigenous knowledge is deeply problematic. It is essential for both research and reconciliator</w:t>
      </w:r>
      <w:r>
        <w:t>y educational programs to be mutually beneficial with the community receiving tangible and durable benefits.</w:t>
      </w:r>
    </w:p>
    <w:p w:rsidR="00D51711" w:rsidRDefault="008D1120" w:rsidP="007A3B70">
      <w:pPr>
        <w:pStyle w:val="Heading4"/>
      </w:pPr>
      <w:bookmarkStart w:id="11" w:name="relevance"/>
      <w:r>
        <w:t>Relevance</w:t>
      </w:r>
      <w:bookmarkEnd w:id="11"/>
    </w:p>
    <w:p w:rsidR="00D51711" w:rsidRDefault="008D1120" w:rsidP="007A3B70">
      <w:r>
        <w:t>Indigenous learning environments must be relevant to the learners, meaning that the learning experiences must go beyond studying texts. T</w:t>
      </w:r>
      <w:r>
        <w:t>here must be allowance for learners to engage with their own community needs and also to experience a sense of a learning community within the course.</w:t>
      </w:r>
    </w:p>
    <w:p w:rsidR="00D51711" w:rsidRDefault="008D1120" w:rsidP="007A3B70">
      <w:pPr>
        <w:pStyle w:val="Heading4"/>
      </w:pPr>
      <w:bookmarkStart w:id="12" w:name="responsibility"/>
      <w:r>
        <w:t>Responsibility</w:t>
      </w:r>
      <w:bookmarkEnd w:id="12"/>
    </w:p>
    <w:p w:rsidR="00D51711" w:rsidRDefault="008D1120" w:rsidP="007A3B70">
      <w:r>
        <w:t xml:space="preserve">With the deeply inter-related nature of Indigenous communities, it is important for there </w:t>
      </w:r>
      <w:r>
        <w:t>to be a clear sense of responsibility for each individual to uphold the cultural norms of the community. This includes responsibilities within the course, but also responsibilities to the community and family.</w:t>
      </w:r>
    </w:p>
    <w:p w:rsidR="00D51711" w:rsidRDefault="008D1120" w:rsidP="007A3B70">
      <w:pPr>
        <w:pStyle w:val="Heading4"/>
      </w:pPr>
      <w:bookmarkStart w:id="13" w:name="relationships"/>
      <w:r>
        <w:lastRenderedPageBreak/>
        <w:t>Relationships</w:t>
      </w:r>
      <w:bookmarkEnd w:id="13"/>
    </w:p>
    <w:p w:rsidR="00D51711" w:rsidRDefault="008D1120" w:rsidP="007A3B70">
      <w:r>
        <w:t>Relationships are the foundation</w:t>
      </w:r>
      <w:r>
        <w:t xml:space="preserve"> of Indigenous education. The other 4 R’s depend on the existence and maintenance of healthy relationships within the course and also external to the course.</w:t>
      </w:r>
    </w:p>
    <w:p w:rsidR="00D51711" w:rsidRDefault="008D1120" w:rsidP="007A3B70">
      <w:pPr>
        <w:pStyle w:val="Heading3"/>
      </w:pPr>
      <w:bookmarkStart w:id="14" w:name="conflicting-educational-worldviews"/>
      <w:r>
        <w:t>Conflicting Educational Worldviews?</w:t>
      </w:r>
      <w:bookmarkEnd w:id="14"/>
    </w:p>
    <w:p w:rsidR="00D51711" w:rsidRDefault="008D1120" w:rsidP="007A3B70">
      <w:r>
        <w:t>It seems extremely unlikely there are any OE practitioners who</w:t>
      </w:r>
      <w:r>
        <w:t xml:space="preserve"> would have any problem with the goal of OE to bring about a more just Canadian society by promoting reconciliation, nor would many think that the Indigenous pedagogies above are in any way foreign to how they wish to conduct their own courses. It seems mu</w:t>
      </w:r>
      <w:r>
        <w:t>ch more likely, however, that Indigenous educators and learners might be reticent to trust settler society to honour and respect Indigenous ways of knowing and learning, even if it is in a well-intentioned effort to help.</w:t>
      </w:r>
    </w:p>
    <w:p w:rsidR="00D51711" w:rsidRDefault="008D1120" w:rsidP="007A3B70">
      <w:r>
        <w:t>This reticence would be rooted deeply in the psyche of Indigenous learners due to the generational impact of the horrors of the attempted cultural genocide perpetrated by church, government, and settler society. To make matters worse, the fact that OE is s</w:t>
      </w:r>
      <w:r>
        <w:t>o closely tied to online technologies and the fact that many Indigenous communities in Canada are very remote means that the technological platform used must be in alignment with the principles of Indigenous education. Unfortunately, the modern Internet is</w:t>
      </w:r>
      <w:r>
        <w:t xml:space="preserve"> built on principles that defy the principles of Indigenous education.</w:t>
      </w:r>
    </w:p>
    <w:p w:rsidR="00D51711" w:rsidRDefault="008D1120" w:rsidP="007A3B70">
      <w:r>
        <w:t>However, despite the apparent conflict between Indigenous values and the values and characteristics of online education, Tessaro et al. learned that by attending to the five R’s, they w</w:t>
      </w:r>
      <w:r>
        <w:t xml:space="preserve">ere able to create a learning environment for Indigenous school Principals that was surprisingly </w:t>
      </w:r>
      <w:r>
        <w:lastRenderedPageBreak/>
        <w:t>positive. They found that the challenges presented by the online environment actually turned out to be strengths.</w:t>
      </w:r>
    </w:p>
    <w:tbl>
      <w:tblPr>
        <w:tblStyle w:val="Table"/>
        <w:tblW w:w="5000" w:type="pct"/>
        <w:tblBorders>
          <w:insideH w:val="single" w:sz="4" w:space="0" w:color="auto"/>
        </w:tblBorders>
        <w:tblLook w:val="07E0" w:firstRow="1" w:lastRow="1" w:firstColumn="1" w:lastColumn="1" w:noHBand="1" w:noVBand="1"/>
      </w:tblPr>
      <w:tblGrid>
        <w:gridCol w:w="1668"/>
        <w:gridCol w:w="2687"/>
        <w:gridCol w:w="3015"/>
        <w:gridCol w:w="2206"/>
      </w:tblGrid>
      <w:tr w:rsidR="00D51711" w:rsidTr="007A3B70">
        <w:tc>
          <w:tcPr>
            <w:tcW w:w="871" w:type="pct"/>
            <w:vAlign w:val="bottom"/>
          </w:tcPr>
          <w:p w:rsidR="00D51711" w:rsidRDefault="008D1120" w:rsidP="007A3B70">
            <w:pPr>
              <w:pStyle w:val="Compact"/>
            </w:pPr>
            <w:r>
              <w:t>5Rs</w:t>
            </w:r>
          </w:p>
        </w:tc>
        <w:tc>
          <w:tcPr>
            <w:tcW w:w="1403" w:type="pct"/>
            <w:vAlign w:val="bottom"/>
          </w:tcPr>
          <w:p w:rsidR="00D51711" w:rsidRDefault="008D1120" w:rsidP="007A3B70">
            <w:pPr>
              <w:pStyle w:val="Compact"/>
            </w:pPr>
            <w:r>
              <w:t>Indigenous Education*</w:t>
            </w:r>
          </w:p>
        </w:tc>
        <w:tc>
          <w:tcPr>
            <w:tcW w:w="0" w:type="auto"/>
            <w:vAlign w:val="bottom"/>
          </w:tcPr>
          <w:p w:rsidR="00D51711" w:rsidRDefault="008D1120" w:rsidP="007A3B70">
            <w:pPr>
              <w:pStyle w:val="Compact"/>
            </w:pPr>
            <w:r>
              <w:t xml:space="preserve">Corporate Internet </w:t>
            </w:r>
            <w:r>
              <w:t>&amp; Social Media</w:t>
            </w:r>
          </w:p>
        </w:tc>
        <w:tc>
          <w:tcPr>
            <w:tcW w:w="0" w:type="auto"/>
            <w:vAlign w:val="bottom"/>
          </w:tcPr>
          <w:p w:rsidR="00D51711" w:rsidRDefault="008D1120" w:rsidP="007A3B70">
            <w:pPr>
              <w:pStyle w:val="Compact"/>
            </w:pPr>
            <w:r>
              <w:t>Socially Just OE</w:t>
            </w:r>
          </w:p>
        </w:tc>
      </w:tr>
      <w:tr w:rsidR="00D51711" w:rsidTr="007A3B70">
        <w:tc>
          <w:tcPr>
            <w:tcW w:w="871" w:type="pct"/>
          </w:tcPr>
          <w:p w:rsidR="00D51711" w:rsidRDefault="008D1120" w:rsidP="007A3B70">
            <w:pPr>
              <w:pStyle w:val="Compact"/>
              <w:ind w:firstLine="0"/>
            </w:pPr>
            <w:r>
              <w:t>Respect</w:t>
            </w:r>
          </w:p>
        </w:tc>
        <w:tc>
          <w:tcPr>
            <w:tcW w:w="1403" w:type="pct"/>
          </w:tcPr>
          <w:p w:rsidR="007A3B70" w:rsidRDefault="008D1120" w:rsidP="007A3B70">
            <w:pPr>
              <w:pStyle w:val="Compact"/>
            </w:pPr>
            <w:r>
              <w:t xml:space="preserve">- incorporating local values; </w:t>
            </w:r>
          </w:p>
          <w:p w:rsidR="007A3B70" w:rsidRDefault="008D1120" w:rsidP="007A3B70">
            <w:pPr>
              <w:pStyle w:val="Compact"/>
            </w:pPr>
            <w:r>
              <w:t xml:space="preserve">- connecting students with their community; </w:t>
            </w:r>
          </w:p>
          <w:p w:rsidR="007A3B70" w:rsidRDefault="008D1120" w:rsidP="007A3B70">
            <w:pPr>
              <w:pStyle w:val="Compact"/>
            </w:pPr>
            <w:r>
              <w:t xml:space="preserve">- adjusting course requirements based on student needs; </w:t>
            </w:r>
          </w:p>
          <w:p w:rsidR="00D51711" w:rsidRDefault="008D1120" w:rsidP="007A3B70">
            <w:pPr>
              <w:pStyle w:val="Compact"/>
            </w:pPr>
            <w:r>
              <w:t>- teachers and students as co-learners</w:t>
            </w:r>
          </w:p>
        </w:tc>
        <w:tc>
          <w:tcPr>
            <w:tcW w:w="0" w:type="auto"/>
          </w:tcPr>
          <w:p w:rsidR="007A3B70" w:rsidRDefault="008D1120" w:rsidP="007A3B70">
            <w:pPr>
              <w:pStyle w:val="Compact"/>
              <w:ind w:firstLine="0"/>
            </w:pPr>
            <w:r>
              <w:t>- homogeneous; - ignorant or dismissive of loc</w:t>
            </w:r>
            <w:r>
              <w:t xml:space="preserve">al values; </w:t>
            </w:r>
          </w:p>
          <w:p w:rsidR="00D51711" w:rsidRDefault="008D1120" w:rsidP="007A3B70">
            <w:pPr>
              <w:pStyle w:val="Compact"/>
              <w:ind w:firstLine="0"/>
            </w:pPr>
            <w:r>
              <w:t>- templated existence</w:t>
            </w:r>
          </w:p>
        </w:tc>
        <w:tc>
          <w:tcPr>
            <w:tcW w:w="0" w:type="auto"/>
          </w:tcPr>
          <w:p w:rsidR="00D51711" w:rsidRDefault="00D51711" w:rsidP="007A3B70">
            <w:pPr>
              <w:pStyle w:val="Compact"/>
            </w:pPr>
          </w:p>
        </w:tc>
      </w:tr>
      <w:tr w:rsidR="00D51711" w:rsidTr="007A3B70">
        <w:tc>
          <w:tcPr>
            <w:tcW w:w="871" w:type="pct"/>
          </w:tcPr>
          <w:p w:rsidR="00D51711" w:rsidRDefault="008D1120" w:rsidP="007A3B70">
            <w:pPr>
              <w:pStyle w:val="Compact"/>
              <w:ind w:firstLine="0"/>
            </w:pPr>
            <w:r>
              <w:t>Reciprocity</w:t>
            </w:r>
          </w:p>
        </w:tc>
        <w:tc>
          <w:tcPr>
            <w:tcW w:w="1403" w:type="pct"/>
          </w:tcPr>
          <w:p w:rsidR="007A3B70" w:rsidRDefault="008D1120" w:rsidP="007A3B70">
            <w:pPr>
              <w:pStyle w:val="Compact"/>
              <w:ind w:firstLine="0"/>
            </w:pPr>
            <w:r>
              <w:t xml:space="preserve">- actively listen to student voices; </w:t>
            </w:r>
          </w:p>
          <w:p w:rsidR="007A3B70" w:rsidRDefault="008D1120" w:rsidP="007A3B70">
            <w:pPr>
              <w:pStyle w:val="Compact"/>
              <w:ind w:firstLine="0"/>
            </w:pPr>
            <w:r>
              <w:t xml:space="preserve">- accommodate needs and goals of students; </w:t>
            </w:r>
          </w:p>
          <w:p w:rsidR="007A3B70" w:rsidRDefault="008D1120" w:rsidP="007A3B70">
            <w:pPr>
              <w:pStyle w:val="Compact"/>
              <w:ind w:firstLine="0"/>
            </w:pPr>
            <w:r>
              <w:t xml:space="preserve">- giving back to the community; </w:t>
            </w:r>
          </w:p>
          <w:p w:rsidR="007A3B70" w:rsidRDefault="008D1120" w:rsidP="007A3B70">
            <w:pPr>
              <w:pStyle w:val="Compact"/>
              <w:ind w:firstLine="0"/>
            </w:pPr>
            <w:r>
              <w:t xml:space="preserve">- two-way transfer of knowledge; - video conferencing; </w:t>
            </w:r>
          </w:p>
          <w:p w:rsidR="00D51711" w:rsidRDefault="008D1120" w:rsidP="007A3B70">
            <w:pPr>
              <w:pStyle w:val="Compact"/>
              <w:ind w:firstLine="0"/>
            </w:pPr>
            <w:r>
              <w:lastRenderedPageBreak/>
              <w:t>- final projects for the benefit of the co</w:t>
            </w:r>
            <w:r>
              <w:t>mmunity</w:t>
            </w:r>
          </w:p>
        </w:tc>
        <w:tc>
          <w:tcPr>
            <w:tcW w:w="0" w:type="auto"/>
          </w:tcPr>
          <w:p w:rsidR="007A3B70" w:rsidRDefault="008D1120" w:rsidP="007A3B70">
            <w:pPr>
              <w:pStyle w:val="Compact"/>
              <w:ind w:firstLine="0"/>
            </w:pPr>
            <w:r>
              <w:lastRenderedPageBreak/>
              <w:t xml:space="preserve">- fundamentally extractive (data) and one-way; </w:t>
            </w:r>
          </w:p>
          <w:p w:rsidR="00D51711" w:rsidRDefault="008D1120" w:rsidP="007A3B70">
            <w:pPr>
              <w:pStyle w:val="Compact"/>
              <w:ind w:firstLine="0"/>
            </w:pPr>
            <w:r>
              <w:t>- independence and individuality</w:t>
            </w:r>
          </w:p>
        </w:tc>
        <w:tc>
          <w:tcPr>
            <w:tcW w:w="0" w:type="auto"/>
          </w:tcPr>
          <w:p w:rsidR="00D51711" w:rsidRDefault="008D1120" w:rsidP="007A3B70">
            <w:pPr>
              <w:pStyle w:val="Compact"/>
              <w:ind w:firstLine="0"/>
            </w:pPr>
            <w:r>
              <w:t>- renewable assignments</w:t>
            </w:r>
          </w:p>
        </w:tc>
      </w:tr>
      <w:tr w:rsidR="00D51711" w:rsidTr="007A3B70">
        <w:tc>
          <w:tcPr>
            <w:tcW w:w="871" w:type="pct"/>
          </w:tcPr>
          <w:p w:rsidR="00D51711" w:rsidRDefault="008D1120" w:rsidP="007A3B70">
            <w:pPr>
              <w:pStyle w:val="Compact"/>
              <w:ind w:firstLine="0"/>
            </w:pPr>
            <w:bookmarkStart w:id="15" w:name="_GoBack"/>
            <w:bookmarkEnd w:id="15"/>
            <w:r>
              <w:t>Relevance</w:t>
            </w:r>
          </w:p>
        </w:tc>
        <w:tc>
          <w:tcPr>
            <w:tcW w:w="1403" w:type="pct"/>
          </w:tcPr>
          <w:p w:rsidR="007A3B70" w:rsidRDefault="008D1120" w:rsidP="007A3B70">
            <w:pPr>
              <w:pStyle w:val="Compact"/>
              <w:ind w:firstLine="0"/>
            </w:pPr>
            <w:r>
              <w:t xml:space="preserve">- community and oral communication; </w:t>
            </w:r>
          </w:p>
          <w:p w:rsidR="007A3B70" w:rsidRDefault="008D1120" w:rsidP="007A3B70">
            <w:pPr>
              <w:pStyle w:val="Compact"/>
              <w:ind w:firstLine="0"/>
            </w:pPr>
            <w:r>
              <w:t xml:space="preserve">- activities connected to local community and land; </w:t>
            </w:r>
          </w:p>
          <w:p w:rsidR="00D51711" w:rsidRDefault="008D1120" w:rsidP="007A3B70">
            <w:pPr>
              <w:pStyle w:val="Compact"/>
              <w:ind w:firstLine="0"/>
            </w:pPr>
            <w:r>
              <w:t>- heavy use of video conferencing</w:t>
            </w:r>
          </w:p>
        </w:tc>
        <w:tc>
          <w:tcPr>
            <w:tcW w:w="0" w:type="auto"/>
          </w:tcPr>
          <w:p w:rsidR="007A3B70" w:rsidRDefault="008D1120" w:rsidP="007A3B70">
            <w:pPr>
              <w:pStyle w:val="Compact"/>
              <w:ind w:firstLine="0"/>
            </w:pPr>
            <w:r>
              <w:t xml:space="preserve">- disconnected from ‘real-life’ and the land; </w:t>
            </w:r>
          </w:p>
          <w:p w:rsidR="00D51711" w:rsidRDefault="008D1120" w:rsidP="007A3B70">
            <w:pPr>
              <w:pStyle w:val="Compact"/>
              <w:ind w:firstLine="0"/>
            </w:pPr>
            <w:r>
              <w:t>- community is a virtual construct</w:t>
            </w:r>
          </w:p>
        </w:tc>
        <w:tc>
          <w:tcPr>
            <w:tcW w:w="0" w:type="auto"/>
          </w:tcPr>
          <w:p w:rsidR="00D51711" w:rsidRDefault="008D1120" w:rsidP="007A3B70">
            <w:pPr>
              <w:pStyle w:val="Compact"/>
              <w:ind w:firstLine="0"/>
            </w:pPr>
            <w:r>
              <w:t>- choice of platform increases student agency</w:t>
            </w:r>
          </w:p>
        </w:tc>
      </w:tr>
      <w:tr w:rsidR="00D51711" w:rsidTr="007A3B70">
        <w:tc>
          <w:tcPr>
            <w:tcW w:w="871" w:type="pct"/>
          </w:tcPr>
          <w:p w:rsidR="00D51711" w:rsidRDefault="008D1120" w:rsidP="007A3B70">
            <w:pPr>
              <w:pStyle w:val="Compact"/>
              <w:ind w:firstLine="0"/>
            </w:pPr>
            <w:r>
              <w:t>Responsibility</w:t>
            </w:r>
          </w:p>
        </w:tc>
        <w:tc>
          <w:tcPr>
            <w:tcW w:w="1403" w:type="pct"/>
          </w:tcPr>
          <w:p w:rsidR="00D51711" w:rsidRDefault="008D1120" w:rsidP="007A3B70">
            <w:pPr>
              <w:pStyle w:val="Compact"/>
              <w:ind w:firstLine="0"/>
            </w:pPr>
            <w:r>
              <w:t>- mutual responsibilities to uphold community values</w:t>
            </w:r>
          </w:p>
        </w:tc>
        <w:tc>
          <w:tcPr>
            <w:tcW w:w="0" w:type="auto"/>
          </w:tcPr>
          <w:p w:rsidR="00D51711" w:rsidRDefault="008D1120" w:rsidP="007A3B70">
            <w:pPr>
              <w:pStyle w:val="Compact"/>
              <w:ind w:firstLine="0"/>
            </w:pPr>
            <w:r>
              <w:t>- anonymity leads to disappearance of responsibility and acc</w:t>
            </w:r>
            <w:r>
              <w:t>ountability</w:t>
            </w:r>
          </w:p>
        </w:tc>
        <w:tc>
          <w:tcPr>
            <w:tcW w:w="0" w:type="auto"/>
          </w:tcPr>
          <w:p w:rsidR="00D51711" w:rsidRDefault="00D51711" w:rsidP="007A3B70">
            <w:pPr>
              <w:pStyle w:val="Compact"/>
            </w:pPr>
          </w:p>
        </w:tc>
      </w:tr>
      <w:tr w:rsidR="00D51711" w:rsidTr="007A3B70">
        <w:tc>
          <w:tcPr>
            <w:tcW w:w="871" w:type="pct"/>
          </w:tcPr>
          <w:p w:rsidR="00D51711" w:rsidRDefault="008D1120" w:rsidP="007A3B70">
            <w:pPr>
              <w:pStyle w:val="Compact"/>
              <w:ind w:firstLine="0"/>
            </w:pPr>
            <w:r>
              <w:t>Relationships</w:t>
            </w:r>
          </w:p>
        </w:tc>
        <w:tc>
          <w:tcPr>
            <w:tcW w:w="1403" w:type="pct"/>
          </w:tcPr>
          <w:p w:rsidR="00D51711" w:rsidRDefault="008D1120" w:rsidP="007A3B70">
            <w:pPr>
              <w:pStyle w:val="Compact"/>
              <w:ind w:firstLine="0"/>
            </w:pPr>
            <w:r>
              <w:t>- foundational to learning environment</w:t>
            </w:r>
          </w:p>
        </w:tc>
        <w:tc>
          <w:tcPr>
            <w:tcW w:w="0" w:type="auto"/>
          </w:tcPr>
          <w:p w:rsidR="00D51711" w:rsidRDefault="008D1120" w:rsidP="007A3B70">
            <w:pPr>
              <w:pStyle w:val="Compact"/>
              <w:ind w:firstLine="0"/>
            </w:pPr>
            <w:r>
              <w:t>- relationship-building is required to enrich databases</w:t>
            </w:r>
          </w:p>
        </w:tc>
        <w:tc>
          <w:tcPr>
            <w:tcW w:w="0" w:type="auto"/>
          </w:tcPr>
          <w:p w:rsidR="00D51711" w:rsidRDefault="00D51711" w:rsidP="007A3B70">
            <w:pPr>
              <w:pStyle w:val="Compact"/>
            </w:pPr>
          </w:p>
        </w:tc>
      </w:tr>
      <w:tr w:rsidR="00D51711" w:rsidTr="007A3B70">
        <w:tc>
          <w:tcPr>
            <w:tcW w:w="871" w:type="pct"/>
          </w:tcPr>
          <w:p w:rsidR="00D51711" w:rsidRDefault="00D51711" w:rsidP="007A3B70">
            <w:pPr>
              <w:pStyle w:val="Compact"/>
            </w:pPr>
          </w:p>
        </w:tc>
        <w:tc>
          <w:tcPr>
            <w:tcW w:w="1403" w:type="pct"/>
          </w:tcPr>
          <w:p w:rsidR="00D51711" w:rsidRDefault="00D51711" w:rsidP="007A3B70">
            <w:pPr>
              <w:pStyle w:val="Compact"/>
            </w:pPr>
          </w:p>
        </w:tc>
        <w:tc>
          <w:tcPr>
            <w:tcW w:w="0" w:type="auto"/>
          </w:tcPr>
          <w:p w:rsidR="00D51711" w:rsidRDefault="00D51711" w:rsidP="007A3B70">
            <w:pPr>
              <w:pStyle w:val="Compact"/>
            </w:pPr>
          </w:p>
        </w:tc>
        <w:tc>
          <w:tcPr>
            <w:tcW w:w="0" w:type="auto"/>
          </w:tcPr>
          <w:p w:rsidR="00D51711" w:rsidRDefault="00D51711" w:rsidP="007A3B70">
            <w:pPr>
              <w:pStyle w:val="Compact"/>
            </w:pPr>
          </w:p>
        </w:tc>
      </w:tr>
    </w:tbl>
    <w:p w:rsidR="00D51711" w:rsidRDefault="008D1120" w:rsidP="007A3B70">
      <w:r>
        <w:t>* Course activities and characteristics as described by Tessaro et al. (2018).</w:t>
      </w:r>
    </w:p>
    <w:sectPr w:rsidR="00D517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120" w:rsidRDefault="008D1120" w:rsidP="007A3B70">
      <w:r>
        <w:separator/>
      </w:r>
    </w:p>
  </w:endnote>
  <w:endnote w:type="continuationSeparator" w:id="0">
    <w:p w:rsidR="008D1120" w:rsidRDefault="008D1120" w:rsidP="007A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120" w:rsidRDefault="008D1120" w:rsidP="007A3B70">
      <w:r>
        <w:separator/>
      </w:r>
    </w:p>
  </w:footnote>
  <w:footnote w:type="continuationSeparator" w:id="0">
    <w:p w:rsidR="008D1120" w:rsidRDefault="008D1120" w:rsidP="007A3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9C68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E163F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84C6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FA4D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F0FD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AFA8E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0C07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8231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3CB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44E1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DE405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912B4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A3B70"/>
    <w:rsid w:val="008D1120"/>
    <w:rsid w:val="008D6863"/>
    <w:rsid w:val="00B86B75"/>
    <w:rsid w:val="00BC48D5"/>
    <w:rsid w:val="00C36279"/>
    <w:rsid w:val="00D51711"/>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A1A043"/>
  <w15:docId w15:val="{4D76D060-FB48-F14A-8DB0-7318E747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3B70"/>
    <w:pPr>
      <w:spacing w:line="480" w:lineRule="auto"/>
      <w:ind w:firstLine="426"/>
    </w:pPr>
    <w:rPr>
      <w:rFonts w:ascii="Times New Roman" w:hAnsi="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Normal"/>
    <w:next w:val="Normal"/>
    <w:uiPriority w:val="9"/>
    <w:unhideWhenUsed/>
    <w:qFormat/>
    <w:rsid w:val="007A3B70"/>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7A3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plowdenChildrenTheirPrimary1967" TargetMode="External"/><Relationship Id="rId13" Type="http://schemas.openxmlformats.org/officeDocument/2006/relationships/hyperlink" Target="@wileyDefiningOpenOpenND" TargetMode="External"/><Relationship Id="rId18" Type="http://schemas.openxmlformats.org/officeDocument/2006/relationships/hyperlink" Target="@rohsMOOCsClaimEducation2015" TargetMode="External"/><Relationship Id="rId3" Type="http://schemas.openxmlformats.org/officeDocument/2006/relationships/settings" Target="settings.xml"/><Relationship Id="rId21" Type="http://schemas.openxmlformats.org/officeDocument/2006/relationships/hyperlink" Target="@bartlettTwoEyedSeeingOther2012" TargetMode="External"/><Relationship Id="rId7" Type="http://schemas.openxmlformats.org/officeDocument/2006/relationships/hyperlink" Target="@ForumImpactOpen2002" TargetMode="External"/><Relationship Id="rId12" Type="http://schemas.openxmlformats.org/officeDocument/2006/relationships/hyperlink" Target="@lambertChangingOurDis2018" TargetMode="External"/><Relationship Id="rId17" Type="http://schemas.openxmlformats.org/officeDocument/2006/relationships/hyperlink" Target="@croninConceptualisingOEPReview201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paskeviciusConceptualizingOpenEducational2017" TargetMode="External"/><Relationship Id="rId20" Type="http://schemas.openxmlformats.org/officeDocument/2006/relationships/hyperlink" Target="@marshallTwoEyedSeeingElder2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orumImpactOpen200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CapeTownOpen" TargetMode="External"/><Relationship Id="rId23" Type="http://schemas.openxmlformats.org/officeDocument/2006/relationships/hyperlink" Target="@antoinePullingTogetherGuide2018" TargetMode="External"/><Relationship Id="rId10" Type="http://schemas.openxmlformats.org/officeDocument/2006/relationships/hyperlink" Target="@tessaroFiveIndigenizingOnline2018" TargetMode="External"/><Relationship Id="rId19" Type="http://schemas.openxmlformats.org/officeDocument/2006/relationships/hyperlink" Target="@lambertChangingOurDis2018" TargetMode="External"/><Relationship Id="rId4" Type="http://schemas.openxmlformats.org/officeDocument/2006/relationships/webSettings" Target="webSettings.xml"/><Relationship Id="rId9" Type="http://schemas.openxmlformats.org/officeDocument/2006/relationships/hyperlink" Target="@tessaroFiveIndigenizingOnline2018" TargetMode="External"/><Relationship Id="rId14" Type="http://schemas.openxmlformats.org/officeDocument/2006/relationships/hyperlink" Target="@lambertChangingOurDis2018" TargetMode="External"/><Relationship Id="rId22" Type="http://schemas.openxmlformats.org/officeDocument/2006/relationships/hyperlink" Target="@TruthReconciliationCommission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2899</Words>
  <Characters>16529</Characters>
  <Application>Microsoft Office Word</Application>
  <DocSecurity>0</DocSecurity>
  <Lines>137</Lines>
  <Paragraphs>38</Paragraphs>
  <ScaleCrop>false</ScaleCrop>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Madland</dc:creator>
  <cp:keywords/>
  <cp:lastModifiedBy>Colin Madland</cp:lastModifiedBy>
  <cp:revision>2</cp:revision>
  <dcterms:created xsi:type="dcterms:W3CDTF">2018-12-03T06:33:00Z</dcterms:created>
  <dcterms:modified xsi:type="dcterms:W3CDTF">2018-12-03T06:33:00Z</dcterms:modified>
</cp:coreProperties>
</file>