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D1D1D"/>
          <w:sz w:val="40"/>
          <w:szCs w:val="40"/>
        </w:rPr>
        <w:t xml:space="preserve">Strona 04 – Farmacja i kosmetyki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Makieta v14 · /branzowe/przemysl-farmaceutyczny-i-kosmetyczny/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Persona: Compliance / Sustainability Manager</w:t>
      </w:r>
    </w:p>
    <w:p>
      <w:pPr>
        <w:spacing w:after="14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Główna fraza: opakowania farmaceutyczne</w:t>
      </w:r>
    </w:p>
    <w:p>
      <w:pPr>
        <w:pBdr>
          <w:top w:val="single" w:color="DEDEDE" w:sz="6" w:space="10"/>
        </w:pBdr>
        <w:spacing w:after="120" w:line="240"/>
      </w:pPr>
      <w:r>
        <w:rPr>
          <w:rFonts w:ascii="Calibri" w:cs="Calibri" w:eastAsia="Calibri" w:hAnsi="Calibri"/>
          <w:i/>
          <w:iCs/>
          <w:color w:val="717171"/>
          <w:sz w:val="17"/>
          <w:szCs w:val="17"/>
        </w:rPr>
        <w:t xml:space="preserve">Dokument zawiera treść makiety do recenzji. Komentarze prosimy nanosić bezpośrednio w pliku.</w:t>
      </w:r>
    </w:p>
    <w:p>
      <w:pPr>
        <w:pBdr>
          <w:bottom w:val="single" w:color="DEDEDE" w:sz="6" w:space="2"/>
        </w:pBdr>
        <w:spacing w:after="260" w:before="12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D1D1D"/>
          <w:sz w:val="32"/>
          <w:szCs w:val="32"/>
        </w:rPr>
        <w:t xml:space="preserve">Opakowania farmaceutyczne i kosmetyczne</w:t>
      </w:r>
    </w:p>
    <w:p>
      <w:pPr>
        <w:spacing w:after="200" w:line="276"/>
      </w:pPr>
      <w:r>
        <w:rPr>
          <w:rFonts w:ascii="Calibri" w:cs="Calibri" w:eastAsia="Calibri" w:hAnsi="Calibri"/>
          <w:color w:val="434343"/>
          <w:sz w:val="23"/>
          <w:szCs w:val="23"/>
        </w:rPr>
        <w:t xml:space="preserve">Opakowania wielokrotnego użytku dla farmacji i kosmetyków: pojemniki ESD EURO-NORM, pojemniki ALC tradeline dla obiegu zwrotnego farmacji i drogerii oraz pojemniki transportowe dla chemii kosmetycznej.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Przyciski: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Zapytaj eksperta  ·  Przeprowadź audyt PPWR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NAJWAŻNIEJSZE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Kluczowe wnioski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Kosmetyki: cele dotyczą opakowań transportowych.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PPWR przewiduje cele ponownego użycia dla opakowań transportowych stosowanych w branży kosmetycznej – w kosmetyce kontraktowej i dystrybucji do handlu – a nie dla samych produktów kosmetycznych: co najmniej 40% w 2030 r. i 70% w 2040 r. (art. 29 ust. 1).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Rok 2035 to nie wyłączenie farmacji.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To unijny próg redukcji odpadów opakowaniowych (−10% na mieszkańca względem 2018 r., art. 43) – dotyczy wszystkich sektorów.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Obieg wewnątrz firmy od 2030 r.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PPWR przewiduje, że od 2030 r. opakowania transportowe w obiegu między zakładami tego samego przedsiębiorstwa lub przedsiębiorstw powiązanych będą opakowaniami wielokrotnego użytku (art. 29 ust. 2).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ESD rośnie razem z med-techem.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bekuplast produkuje pojemniki EURO-NORM ESD (materiał PP-ESD trwale rozpraszający ładunki elektrostatyczne) – stosowane tam, gdzie transportuje się komponenty wrażliwe na wyładowania elektrostatyczne, m.in. w diagnostyce, urządzeniach medycznych i sensorach.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WYZWANIA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Trzy wyzwania farmacji i kosmetyki kontraktowej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Farmacja i kosmetyka kontraktowa potrzebują opakowań łączących odpowiednie materiały do kontaktu, ochronę ESD i zgodność z PPWR w logistyce transportowej.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Materiały do kontaktu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Farmacja i kosmetyka kontraktowa wymagają opakowań transportowych o potwierdzonym składzie materiałowym. Materiał dobieramy do zastosowania: dla wybranych serii stosujemy HDPE dopuszczony do kontaktu z żywnością – materiał zgodny z wymaganiami rozporządzenia (UE) nr 10/2011. Rozporządzenie to dotyczy materiałów do kontaktu z żywnością (nie jest standardem farmaceutycznym); zgodność potwierdzamy deklaracją zgodności dla konkretnego wyrobu.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basicline – Uniwersalne pojemniki transportowe dla kosmetyków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ESD dla urządzeń medycznych i diagnostyki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Sektor med-tech (diagnostyka, urządzenia monitorujące, sensory) szybko rośnie. Wymagania ESD w med-techu są zbliżone do elektroniki – materiał PP-ESD trwale rozprasza ładunki elektrostatyczne i chroni komponenty wrażliwe. Pojemniki EURO-NORM ESD.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Pojemnik EURO-NORM ESD – IEC 61340-5-1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Cele ponownego użycia w transporcie i dystrybucji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PPWR przewiduje cele ponownego użycia dla opakowań transportowych – w logistyce farmaceutycznej i w dystrybucji kosmetyków tak samo jak w innych branżach: co najmniej 40% w 2030 r. i 70% w 2040 r. (art. 29 ust. 1); opakowania zbiorcze mają osobny cel 10% w 2030 r. i 25% w 2040 r. (art. 29 ust. 5). Pojemniki zwrotne ESD oraz ALC tradeline wspierają obieg zwrotny farmacji i drogerii.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ALC tradeline AL643G – Obieg zwrotny farmacji i drogerii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PRODUKTY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Pojemniki ESD i rozwiązania transportowe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ALC tradeline AL643G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ALC tradeline dla obiegu zwrotnego farmacji i drogerii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EURO-NORM ESD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PP-ESD · trwałe rozpraszanie ładunków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basicline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Uniwersalne dla kosmetyków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lightline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Lekka kompletacja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PPWR · COMPLIANCE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PPWR a farmacja i kosmetyki – co naprawdę jest objęte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PPWR (rozporządzenie (UE) 2025/40 – weszło w życie 11 lutego 2025 r., stosuje się od 12 sierpnia 2026 r.) wprowadza cele ponownego użycia opakowań transportowych. Dotyczą one także opakowań transportowych i dystrybucyjnych w logistyce farmaceutycznej oraz opakowań transportowych stosowanych w branży kosmetycznej – tak samo jak w innych branżach. Data 2035 w PPWR to nie wyłączenie farmacji, lecz unijny próg redukcji odpadów opakowaniowych (−10% na mieszkańca względem 2018 r., art. 43) – obowiązujący wszystkie sektory.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Opakowania transportowe w obiegu wewnątrz firmy (między miejscami działalności tego samego podmiotu lub podmiotów powiązanych) – wielokrotnego użytku od 1 stycznia 2030 r. (art. 29 ust. 2). Cel ogólny dla podmiotów stosujących opakowania transportowe – co najmniej 40% w 2030 r. i 70% w 2040 r. (art. 29 ust. 1).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43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Próg redukcji odpadów opakowaniowych na mieszkańca względem 2018 r.: −5% (2030), −10% (2035), −15% (2040) – dotyczy wszystkich branż.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Kosmetyki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Opakowania transportowe stosowane w branży kosmetycznej – w kosmetyce kontraktowej i dystrybucji do handlu – podlegają celom ponownego użycia (art. 29). Wymagania dotyczą opakowań transportowych, nie samych produktów kosmetycznych.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NASTĘPNE KROKI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Co możesz zrobić już teraz</w:t>
      </w:r>
    </w:p>
    <w:p>
      <w:pPr>
        <w:pBdr>
          <w:left w:val="single" w:color="65B32E" w:sz="18" w:space="14"/>
        </w:pBdr>
        <w:spacing w:after="60" w:before="160" w:line="264"/>
        <w:ind w:left="340"/>
      </w:pPr>
      <w:r>
        <w:rPr>
          <w:rFonts w:ascii="Calibri" w:cs="Calibri" w:eastAsia="Calibri" w:hAnsi="Calibri"/>
          <w:i/>
          <w:iCs/>
          <w:color w:val="434343"/>
          <w:sz w:val="21"/>
          <w:szCs w:val="21"/>
        </w:rPr>
        <w:t xml:space="preserve">Wcześniejsze przygotowanie przedsiębiorstwa do nowych wymagań – przegląd stosowanych opakowań transportowych, pilotaż rozwiązań wielokrotnego użytku i plan wdrożenia – ułatwia dostosowanie się do harmonogramu określonego w rozporządzeniu.</w:t>
      </w:r>
    </w:p>
    <w:p>
      <w:pPr>
        <w:spacing w:after="220" w:line="240"/>
        <w:ind w:left="340"/>
      </w:pPr>
      <w:r>
        <w:rPr>
          <w:rFonts w:ascii="Calibri" w:cs="Calibri" w:eastAsia="Calibri" w:hAnsi="Calibri"/>
          <w:color w:val="9A9A9A"/>
          <w:sz w:val="16"/>
          <w:szCs w:val="16"/>
        </w:rPr>
        <w:t xml:space="preserve">zgodnie z rozporządzeniem (UE) 2025/40 Parlamentu Europejskiego i Rady z dnia 19 grudnia 2024 r. w sprawie opakowań i odpadów opakowaniowych (PPWR)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Przeprowadź audyt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Sprawdź, co dotyczy Twoich opakowań transportowych w farmacji i kosmetyce.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Przejdź do audytu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Oblicz koszt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opakowania jednorazowe ze zwrotnymi pojemnikami ESD – poznaj próg rentowności.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Otwórz kalkulator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Zapytaj eksperta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O PPWR w farmacji i kosmetyce.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Umów rozmowę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CASE STUDIES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Opakowania wielokrotnego użytku we wdrożeniach bekuplast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Każde wdrożenie to osobna historia naszego Klienta. Indywidualne wymagania, do których dopasowujemy optymalne rozwiązania.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ROSSMANN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Intralogistyka sieci drogerii, Landsberg (DE) – pojemniki obiegowe w magazynie centralnym.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2025  ·  160 000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Orbico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beauty i FMCG (PL) – pojemniki contecline w zautomatyzowanych magazynach AKL/Shuttle.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2023  ·  46 000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Onninen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materiałów budowlanych i instalacyjnych (PL) – pojemniki contecline.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2019  ·  40 000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Auto Partner SA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części samochodowych (PL) – pojemniki contecline i silverline w magazynach AKL.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2022  ·  27 000 pojemników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KOSZT PPWR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Koszt przejścia na opakowania wielokrotnego użytku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koszty opakowań jednorazowych i zwrotnych pojemników ESD w logistyce farmaceutycznej i kosmetycznej – kalkulator pokaże próg rentowności i strukturę emisji CO₂.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Oblicz koszt PPWR w 2 min.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POWIĄZANE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Może Cię też zainteresować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Przetwórstwo żywności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HACCP + materiały do kontaktu z żywnością + PFAS – wspólne wyzwania regulacyjne.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Produkcja przemysłowa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Pojemniki ESD dla podzespołów elektronicznych w urządzeniach medycznych.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FAQ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Najczęściej zadawane pytania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farmacja jest objęta PPWR?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w zakresie opakowań transportowych i dystrybucyjnych. Opakowania transportowe w logistyce farmaceutycznej oraz opakowania transportowe stosowane w branży kosmetycznej podlegają celom ponownego użycia jak w innych branżach (art. 29 PPWR).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Co to są pojemniki ESD i kiedy są potrzebne w farmacji?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Pojemniki ESD (Electrostatic Discharge) wykonane są ze specjalnego materiału PP-ESD z domieszką cząstek przewodzących, który trwale rozprasza ładunki elektrostatyczne i chroni komponenty przed wyładowaniami. W farmacji stosowane dla urządzeń medycznych, sensorów diagnostycznych, modułów IoT. Zgodność z IEC 61340-5-1.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Co z PFAS w opakowaniach kosmetyków?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Ograniczenie PFAS (art. 5 PPWR, od 12 sierpnia 2026 r.) dotyczy opakowań przeznaczonych do kontaktu z żywnością – nie obejmuje opakowań kosmetyków ani chemii. Skład materiałowy naszych pojemników potwierdzamy deklaracją materiałową dla konkretnego wyrobu.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pojemniki bekuplast są dopuszczone do kontaktu z kosmetykami?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dla wybranych serii stosujemy HDPE dopuszczony do kontaktu z żywnością (materiał zgodny z wymaganiami dla tworzyw w kontakcie z żywnością). Ten sam materiał stosujemy w opakowaniach transportowych dla chemii kosmetycznej. Deklarację zgodności potwierdzamy dla konkretnego wyrobu.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warto inwestować w RTP w farmacji już teraz?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Tak. PPWR przewiduje, że od 2030 r. opakowania transportowe w obiegu między zakładami tego samego przedsiębiorstwa lub przedsiębiorstw powiązanych będą opakowaniami wielokrotnego użytku (art. 29 ust. 2), a dla podmiotów stosujących opakowania transportowe – m.in. w dystrybucji do hurtowni, aptek i drogerii – wprowadza cel ogólny co najmniej 40% w 2030 r. i 70% w 2040 r. (art. 29 ust. 1). Obowiązek dotyczy podmiotu stosującego opakowania transportowe – także wtedy, gdy nie jest ich producentem. Wczesny pilotaż buduje przewagę operacyjną.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KONTAKT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Możliwość pozyskania próbek produktów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Pozostaw dane kontaktowe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Pola: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Imię i nazwisko  ·  Firma  ·  E-mail  ·  Telefon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Zgoda: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Wyrażam zgodę na przetwarzanie danych osobowych i potwierdzam, że zapoznałem/am się z Polityką prywatności dotyczącą zasad ich przetwarzania.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Proszę o kontakt</w:t>
      </w:r>
    </w:p>
    <w:sectPr>
      <w:footerReference w:type="default" r:id="rId7"/>
      <w:pgSz w:w="11906" w:h="16838" w:orient="portrait"/>
      <w:pgMar w:top="1247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DEDE" w:sz="4" w:space="8"/>
      </w:pBdr>
      <w:tabs>
        <w:tab w:val="right" w:pos="9412"/>
      </w:tabs>
    </w:pPr>
    <w:r>
      <w:rPr>
        <w:rFonts w:ascii="Calibri" w:cs="Calibri" w:eastAsia="Calibri" w:hAnsi="Calibri"/>
        <w:color w:val="9A9A9A"/>
        <w:sz w:val="15"/>
        <w:szCs w:val="15"/>
      </w:rPr>
      <w:t xml:space="preserve">Strona 04 – Farmacja i kosmetyki · makieta v14</w:t>
    </w:r>
    <w:r>
      <w:rPr>
        <w:rFonts w:ascii="Calibri" w:cs="Calibri" w:eastAsia="Calibri" w:hAnsi="Calibri"/>
        <w:sz w:val="15"/>
        <w:szCs w:val="15"/>
      </w:rPr>
      <w:t xml:space="preserve">	</w:t>
    </w:r>
    <w:r>
      <w:rPr>
        <w:rFonts w:ascii="Calibri" w:cs="Calibri" w:eastAsia="Calibri" w:hAnsi="Calibri"/>
        <w:color w:val="9A9A9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65B32E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Strona 04 – Farmacja i kosmetyki</dc:title>
  <dc:creator>crear agency</dc:creator>
  <dc:description>Treść makiety branżowej PPWR v14 do recenzji</dc:description>
  <cp:lastModifiedBy>Un-named</cp:lastModifiedBy>
  <cp:revision>1</cp:revision>
  <dcterms:created xsi:type="dcterms:W3CDTF">2026-07-20T12:21:56.458Z</dcterms:created>
  <dcterms:modified xsi:type="dcterms:W3CDTF">2026-07-20T12:21:56.458Z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