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D1D1D"/>
          <w:sz w:val="40"/>
          <w:szCs w:val="40"/>
        </w:rPr>
        <w:t xml:space="preserve">Strona 09 – Handel detaliczny i FMCG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Makieta v14 · /branzowe/handel-detaliczny-fmcg/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Persona: Category Manager / Logistics Director sieci</w:t>
      </w:r>
    </w:p>
    <w:p>
      <w:pPr>
        <w:spacing w:after="14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Główna fraza: opakowania zwrotne dla handlu</w:t>
      </w:r>
    </w:p>
    <w:p>
      <w:pPr>
        <w:pBdr>
          <w:top w:val="single" w:color="DEDEDE" w:sz="6" w:space="10"/>
        </w:pBdr>
        <w:spacing w:after="120" w:line="240"/>
      </w:pPr>
      <w:r>
        <w:rPr>
          <w:rFonts w:ascii="Calibri" w:cs="Calibri" w:eastAsia="Calibri" w:hAnsi="Calibri"/>
          <w:i/>
          <w:iCs/>
          <w:color w:val="717171"/>
          <w:sz w:val="17"/>
          <w:szCs w:val="17"/>
        </w:rPr>
        <w:t xml:space="preserve">Dokument zawiera treść makiety do recenzji. Komentarze prosimy nanosić bezpośrednio w pliku.</w:t>
      </w:r>
    </w:p>
    <w:p>
      <w:pPr>
        <w:pBdr>
          <w:bottom w:val="single" w:color="DEDEDE" w:sz="6" w:space="2"/>
        </w:pBdr>
        <w:spacing w:after="2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D1D1D"/>
          <w:sz w:val="32"/>
          <w:szCs w:val="32"/>
        </w:rPr>
        <w:t xml:space="preserve">Opakowania zwrotne dla handlu i FMCG</w:t>
      </w:r>
    </w:p>
    <w:p>
      <w:pPr>
        <w:spacing w:after="200" w:line="276"/>
      </w:pPr>
      <w:r>
        <w:rPr>
          <w:rFonts w:ascii="Calibri" w:cs="Calibri" w:eastAsia="Calibri" w:hAnsi="Calibri"/>
          <w:color w:val="434343"/>
          <w:sz w:val="23"/>
          <w:szCs w:val="23"/>
        </w:rPr>
        <w:t xml:space="preserve">Opakowania transportowe dla handlu detalicznego i FMCG: palety, skrzynki przegrodowe i systemy dystrybucyjne dla sieci handlowych, hurtowni i dystrybutorów FMCG. PPWR art. 29 – 40% opakowań wielokrotnego użytku do 2030 r.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Przyciski: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Zapytaj eksperta  ·  Przeprowadź audyt PPWR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NAJWAŻNIEJSZE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Kluczowe wnioski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Sieci handlowe należą do branż silnie objętych obowiązkami PPWR.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Przejście z opakowań jednorazowych na wielokrotnego użytku to projekt na lata 2026–2030.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PPWR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dotyczy podmiotów gospodarczych stosujących opakowania transportowe – w tym sieci handlowych i hurtowni. Obowiązuje </w:t>
      </w: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40% opakowań wielokrotnego użytku do 2030 r. i dążenie do 70% do 2040 r.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Obowiązek dotyczy podmiotu stosującego opakowania, nawet gdy nie jest ich producentem.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Skrzynki przegrodowe, palety plastikowe i systemy dystrybucyjne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to fundament RTP w handlu detalicznym.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Nie projektujemy pojedynczego SKU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– projektujemy system: DC → sklep → zwrot → mycie → DC.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WYZWANIA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Pięć wyzwań handlu detalicznego i FMCG, które rozwiązujemy systemowo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Pokazujemy, jak opakowania zwrotne zastępują opakowania jednorazowe w logistyce handlu i FMCG – od centrum dystrybucyjnego po półkę.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Dystrybucja DC → sklep dziś głównie na opakowaniach jednorazowych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Polskie sieci wysyłają z DC do sklepu produkty głównie w kartonach jednorazowych, folii stretch i na paletach drewnianych EPAL. Obieg zamknięty DC → sklep → zwrot → mycie obniża koszt odpadów.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ALC tradeline AL643G – Obieg zamknięty DC → sklep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PPWR art. 29 – obowiązek po stronie podmiotu stosującego opakowania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Do 2030 r. sieć wielosklepowa będzie zobowiązana przestawić co najmniej 40% strumienia opakowań transportowych na wielokrotnego użytku. Rozwiązanie: skrzynki przegrodowe i palety plastikowe.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Skrzynki przegrodowe – + palety plastikowe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ROP za opakowania – rosnący koszt opakowań jednorazowych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Sieci ponoszą podwójny koszt: jako sprzedawca (ROP dla puszki, butelki i folii) oraz jako dystrybutor (ROP dla kartonu, folii i palety). Opakowania jednorazowe oznaczają rosnący koszt netto.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04. Kaucja konsumencka – operacyjna integracja sklepu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Zbiórka opakowań objętych systemem kaucyjnym (m.in. butelki szklane, puszki, PET) wymaga infrastruktury zbierania w sklepie: skrzynki przegrodowe, systemy znakowania zwrotnego, integracja z systemem rozliczeniowym. Skrzynki przegrodowe z trwałym znakowaniem i miejscem na etykietę identyfikacyjną są gotowe na zharmonizowane oznakowanie opakowań przewidziane w PPWR.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Skrzynki przegrodowe – trwałe znakowanie i etykiety identyfikacyjne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05. Presja ze strony międzynarodowych central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Wiele polskich sieci handlowych należy do międzynarodowych grup z korporacyjnymi strategiami ponownego użycia. Rekomendujemy start od pilotażu i stopniowe skalowanie do 2030 r.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Indywidualne pod sieć – projektowane pod wymagania Twojej sieci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PRODUKTY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Systemy dystrybucyjne, skrzynki i palety dla sieci handlowych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ALC tradeline AL643G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ALC tradeline dla zwrotów, dystrybucji do sklepów, e-commerce B2B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Skrzynki przegrodowe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Napoje, butelki zwrotne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basicline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Uniwersalna DC → sklep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lightline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Przenoszenie ręczne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Składane (clever)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Redukcja objętości do 84%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Palety Euro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Bez obróbki ISPM-15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Indywidualne pod sieć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projektowane pod wymagania Twojej sieci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PPWR · ZGODNOŚĆ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PPWR dla sieci handlowych – najpilniejszy problem i jak go rozwiązać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Handel detaliczny i FMCG to jedna z branż najmocniej objętych obowiązkami PPWR – dotyczą Cię praktycznie wszystkie kluczowe artykuły PPWR jednocześnie. Trzy etapy dla Twojej sieci: pilotaż w wybranych sklepach, pełne wdrożenie w jednej kategorii, a następnie ponowne użycie w całej sieci do 2030 r.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25 + zał. V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Ograniczenia niektórych jednorazowych opakowań z tworzyw sztucznych – m.in. dla wybranych świeżych owoców i warzyw w małych opakowaniach oraz porcji serwowanych na miejscu w gastronomii.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5 PFAS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Ograniczenie PFAS w opakowaniach mających kontakt z żywnością od 12 sierpnia 2026 r. (np. powlekane pudełka na frytki, tacki). To odrębny przepis – nie dotyczy palet ani ich obróbki.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6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Cele ponownego użycia opakowań napojowych – sieć jako dystrybutor końcowy odpowiada za infrastrukturę zwrotu butelek.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50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Harmonizacja systemów kaucyjnych (DRS) w Unii Europejskiej oraz krajowy system kaucyjny w Polsce sprawiają, że sieci handlowe stają się fizycznymi punktami zbierania puszek i PET.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NASTĘPNE KROKI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Co możesz zrobić już teraz</w:t>
      </w:r>
    </w:p>
    <w:p>
      <w:pPr>
        <w:pBdr>
          <w:left w:val="single" w:color="65B32E" w:sz="18" w:space="14"/>
        </w:pBdr>
        <w:spacing w:after="60" w:before="160" w:line="264"/>
        <w:ind w:left="340"/>
      </w:pPr>
      <w:r>
        <w:rPr>
          <w:rFonts w:ascii="Calibri" w:cs="Calibri" w:eastAsia="Calibri" w:hAnsi="Calibri"/>
          <w:i/>
          <w:iCs/>
          <w:color w:val="434343"/>
          <w:sz w:val="21"/>
          <w:szCs w:val="21"/>
        </w:rPr>
        <w:t xml:space="preserve">Sieci handlowe jako podmioty gospodarcze stosujące opakowania transportowe są objęte celami ponownego użycia (co najmniej 40% do 2030 r.; dążenie do 70% do 2040 r.) oraz obowiązkami systemów kaucyjnych dla jednorazowych butelek PET i puszek (wymóg unijny od 2029 r.; w Polsce od 1 października 2025 r.).</w:t>
      </w:r>
    </w:p>
    <w:p>
      <w:pPr>
        <w:spacing w:after="220" w:line="240"/>
        <w:ind w:left="340"/>
      </w:pPr>
      <w:r>
        <w:rPr>
          <w:rFonts w:ascii="Calibri" w:cs="Calibri" w:eastAsia="Calibri" w:hAnsi="Calibri"/>
          <w:color w:val="9A9A9A"/>
          <w:sz w:val="16"/>
          <w:szCs w:val="16"/>
        </w:rPr>
        <w:t xml:space="preserve">zgodnie z rozporządzeniem (UE) 2025/40 Parlamentu Europejskiego i Rady z dnia 19 grudnia 2024 r. w sprawie opakowań i odpadów opakowaniowych (PPWR)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Przeprowadź audyt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Sprawdź gotowość sieci w kilka minut.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Przejdź do audytu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Oblicz koszt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opakowania jednorazowe i zwrotne, zobacz próg rentowności.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Otwórz kalkulator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Zapytaj eksperta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Zapytaj eksperta o PPWR w swojej branży.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Umów rozmowę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CASE STUDIES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Opakowania wielokrotnego użytku we wdrożeniach bekuplast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Każde wdrożenie to osobna historia naszego Klienta. Indywidualne wymagania, do których dopasowujemy optymalne rozwiązania.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ROSSMANN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centralnego magazynu w Landsberg (DE) – pojemniki obiegowe w magazynie centralnym.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2025  ·  160 000 pojemników kompletacyjnych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Orbico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beauty i FMCG (PL) – pojemniki contecline w kompletacji AKL/Shuttle.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2023  ·  46 000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Onninen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materiałów budowlanych (PL) – projekt DOMINO, pojemniki contecline.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2019  ·  40 000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Auto Partner SA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części samochodowych (PL) – pojemniki contecline i silverline.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2022  ·  27 000 pojemników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KOSZT PPWR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Koszt przejścia na opakowania wielokrotnego użytku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koszt opakowań jednorazowych i zwrotnych skrzynek dystrybucyjnych dla sieci – kalkulator pomoże oszacować próg rentowności.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Oblicz koszt PPWR online.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POWIĄZANE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Może Cię też zainteresować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E-commerce, 3PL i fulfillment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Operatorzy e-commerce i fulfillmentu to kolejny strumień objęty obowiązkami PPWR (art. 29), o ile stosują opakowania transportowe.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Przetwórstwo żywności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Producenci żywności (mleczarnie, piekarnie, zakłady mięsne) są Twoimi dostawcami. HACCP, PPWR i PFAS w sektorze spożywczym.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Sprzedaż i transport na rynku napojów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Kategoria napoje należy do najbardziej wrażliwych regulacyjnie: kaucja + ROP za napoje + PPWR.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Logistyka i transport (3PL)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Operatorzy logistyczni obsługujący transport DC → DC.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FAQ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Najczęściej zadawane pytania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Czym jest art. 29 PPWR dla sieci handlowych i dlaczego jest tak ważny?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Art. 29 PPWR dotyczy podmiotów gospodarczych stosujących opakowania transportowe – w tym sieci handlowych i hurtowni. Wymaga, aby co najmniej 40% takich opakowań stanowiły opakowania wielokrotnego użytku do 2030 r., a do 2040 r. podmioty te dążą do co najmniej 70%. Obowiązek dotyczy podmiotu stosującego opakowania transportowe nawet wtedy, gdy nie jest ich producentem.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Jakie są kary za niespełnienie art. 29 PPWR?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Kary za niespełnienie celów PPWR określi polska ustawa krajowa wdrażająca rozporządzenie (obecnie w toku prac legislacyjnych); ich ostateczna wysokość nie jest jeszcze przesądzona (art. 68 PPWR pozostawia wysokość kar państwom członkowskim, termin ustanowienia przepisów: 12.02.2027).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to dotyczy wszystkich sieci handlowych w Polsce?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Co do zasady tak – art. 29 PPWR obejmuje podmioty stosujące opakowania transportowe, czyli praktycznie wszystkie sieci ponadlokalne (sieci spożywcze, cash&amp;carry, drogerie i sieci franczyzowe). Zwolnione jest jedynie mikroprzedsiębiorstwo, które w danym roku udostępniło nie więcej niż 1000 kg opakowań na terytorium państwa członkowskiego (art. 29 ust. 13).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pojedyncze sklepy lub franczyza są objęte?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Ze zwolnienia może skorzystać tylko mikroprzedsiębiorstwo udostępniające nie więcej niż 1000 kg opakowań rocznie (art. 29 ust. 13) – PPWR nie przewiduje progu obrotowego dla tego obowiązku. Sieci franczyzowe są objęte na poziomie centrali, ale zakres wdrożenia zależy od struktury organizacyjnej.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 wygląda typowy pilotaż RTP w sieci handlowej?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Wybieramy 1–2 kategorie produktowe + grupę wybranych sklepów w jednym regionie + DC obsługujące tę grupę. Wdrażamy: skrzynki przegrodowe + palety plastikowe + system znakowania + integrację z systemem magazynowym. Czas uruchomienia ustalamy indywidualnie w zależności od skali.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pomożecie nam dobrać skrzynki przegrodowe pod kategorię świeżych warzyw?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projektujemy skrzynki indywidualne pod konkretne kategorie produktów. Dla warzyw świeżych stosujemy skrzynki z otworami wentylacyjnymi (np. warianty perforowane serii basicline lub lightline). Czas realizacji i prototypowania ustalamy indywidualnie.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macie doświadczenie z sieciami handlowymi w Niemczech / DACH?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opakowania transportowe wielokrotnego użytku (Mehrweg) są od lat utrwalonym rozwiązaniem w niemieckim handlu spożywczym. Polska spółka bekuplast korzysta z tej wiedzy i doświadczenia.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KONTAKT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Omówmy rozwiązanie dla Twojego procesu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Szybki kontakt zwrotny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Rozmawiamy o Twoich konkretnych potrzebach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Bezpłatnie i bez zobowiązań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Możliwość pozyskania próbek produktów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Pozostaw dane kontaktowe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Pola: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Imię i nazwisko  ·  Firma  ·  E-mail  ·  Telefon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Zgoda: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Wyrażam zgodę na przetwarzanie danych osobowych i potwierdzam, że zapoznałem/am się z Polityką prywatności dotyczącą zasad ich przetwarzania.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Proszę o kontakt</w:t>
      </w:r>
    </w:p>
    <w:sectPr>
      <w:footerReference w:type="default" r:id="rId7"/>
      <w:pgSz w:w="11906" w:h="16838" w:orient="portrait"/>
      <w:pgMar w:top="1247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4" w:space="8"/>
      </w:pBdr>
      <w:tabs>
        <w:tab w:val="right" w:pos="9412"/>
      </w:tabs>
    </w:pPr>
    <w:r>
      <w:rPr>
        <w:rFonts w:ascii="Calibri" w:cs="Calibri" w:eastAsia="Calibri" w:hAnsi="Calibri"/>
        <w:color w:val="9A9A9A"/>
        <w:sz w:val="15"/>
        <w:szCs w:val="15"/>
      </w:rPr>
      <w:t xml:space="preserve">Strona 09 – Handel detaliczny i FMCG · makieta v14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9A9A9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Calibri" w:cs="Calibri" w:eastAsia="Calibri" w:hAnsi="Calibri"/>
        <w:color w:val="65B32E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09 – Handel detaliczny i FMCG</dc:title>
  <dc:creator>crear agency</dc:creator>
  <dc:description>Treść makiety branżowej PPWR v14 do recenzji</dc:description>
  <cp:lastModifiedBy>Un-named</cp:lastModifiedBy>
  <cp:revision>1</cp:revision>
  <dcterms:created xsi:type="dcterms:W3CDTF">2026-07-20T12:21:56.494Z</dcterms:created>
  <dcterms:modified xsi:type="dcterms:W3CDTF">2026-07-20T12:21:56.494Z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