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D1D1D"/>
          <w:sz w:val="40"/>
          <w:szCs w:val="40"/>
        </w:rPr>
        <w:t xml:space="preserve">Strona 10 – E-commerce, 3PL i fulfillment</w:t>
      </w:r>
    </w:p>
    <w:p>
      <w:pPr>
        <w:spacing w:after="30" w:line="240"/>
      </w:pPr>
      <w:r>
        <w:rPr>
          <w:rFonts w:ascii="Calibri" w:cs="Calibri" w:eastAsia="Calibri" w:hAnsi="Calibri"/>
          <w:color w:val="717171"/>
          <w:sz w:val="17"/>
          <w:szCs w:val="17"/>
        </w:rPr>
        <w:t xml:space="preserve">Makieta v14 · /branzowe/e-commerce-3pl-fulfillment/</w:t>
      </w:r>
    </w:p>
    <w:p>
      <w:pPr>
        <w:spacing w:after="30" w:line="240"/>
      </w:pPr>
      <w:r>
        <w:rPr>
          <w:rFonts w:ascii="Calibri" w:cs="Calibri" w:eastAsia="Calibri" w:hAnsi="Calibri"/>
          <w:color w:val="717171"/>
          <w:sz w:val="17"/>
          <w:szCs w:val="17"/>
        </w:rPr>
        <w:t xml:space="preserve">Persona: Head of Fulfillment / Operations Manager 3PL e-com</w:t>
      </w:r>
    </w:p>
    <w:p>
      <w:pPr>
        <w:spacing w:after="140" w:line="240"/>
      </w:pPr>
      <w:r>
        <w:rPr>
          <w:rFonts w:ascii="Calibri" w:cs="Calibri" w:eastAsia="Calibri" w:hAnsi="Calibri"/>
          <w:color w:val="717171"/>
          <w:sz w:val="17"/>
          <w:szCs w:val="17"/>
        </w:rPr>
        <w:t xml:space="preserve">Główna fraza: opakowania ecommerce</w:t>
      </w:r>
    </w:p>
    <w:p>
      <w:pPr>
        <w:pBdr>
          <w:top w:val="single" w:color="DEDEDE" w:sz="6" w:space="10"/>
        </w:pBdr>
        <w:spacing w:after="120" w:line="240"/>
      </w:pPr>
      <w:r>
        <w:rPr>
          <w:rFonts w:ascii="Calibri" w:cs="Calibri" w:eastAsia="Calibri" w:hAnsi="Calibri"/>
          <w:i/>
          <w:iCs/>
          <w:color w:val="717171"/>
          <w:sz w:val="17"/>
          <w:szCs w:val="17"/>
        </w:rPr>
        <w:t xml:space="preserve">Dokument zawiera treść makiety do recenzji. Komentarze prosimy nanosić bezpośrednio w pliku.</w:t>
      </w:r>
    </w:p>
    <w:p>
      <w:pPr>
        <w:pBdr>
          <w:bottom w:val="single" w:color="DEDEDE" w:sz="6" w:space="2"/>
        </w:pBdr>
        <w:spacing w:after="260" w:before="120"/>
      </w:pPr>
      <w:r>
        <w:rPr>
          <w:rFonts w:ascii="Calibri" w:cs="Calibri" w:eastAsia="Calibri" w:hAnsi="Calibri"/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Calibri" w:cs="Calibri" w:eastAsia="Calibri" w:hAnsi="Calibri"/>
          <w:b/>
          <w:bCs/>
          <w:color w:val="1D1D1D"/>
          <w:sz w:val="32"/>
          <w:szCs w:val="32"/>
        </w:rPr>
        <w:t xml:space="preserve">Opakowania zwrotne dla e-commerce</w:t>
      </w:r>
    </w:p>
    <w:p>
      <w:pPr>
        <w:spacing w:after="200" w:line="276"/>
      </w:pPr>
      <w:r>
        <w:rPr>
          <w:rFonts w:ascii="Calibri" w:cs="Calibri" w:eastAsia="Calibri" w:hAnsi="Calibri"/>
          <w:color w:val="434343"/>
          <w:sz w:val="23"/>
          <w:szCs w:val="23"/>
        </w:rPr>
        <w:t xml:space="preserve">Opakowania zwrotne dla e-commerce – składane skrzynki, pojemniki magazynowe i pojemniki na zwroty dla operatorów fulfillmentu i 3PL. Rozwiązania wspierające realizację wymagań PPWR dotyczących opakowań transportowych.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b/>
          <w:bCs/>
          <w:color w:val="9A9A9A"/>
          <w:sz w:val="17"/>
          <w:szCs w:val="17"/>
        </w:rPr>
        <w:t xml:space="preserve">Przyciski: </w:t>
      </w:r>
      <w:r>
        <w:rPr>
          <w:rFonts w:ascii="Calibri" w:cs="Calibri" w:eastAsia="Calibri" w:hAnsi="Calibri"/>
          <w:color w:val="717171"/>
          <w:sz w:val="17"/>
          <w:szCs w:val="17"/>
        </w:rPr>
        <w:t xml:space="preserve">Zapytaj eksperta  ·  Przeprowadź audyt PPWR</w:t>
      </w:r>
    </w:p>
    <w:p>
      <w:pPr>
        <w:spacing w:after="40" w:before="420"/>
      </w:pPr>
      <w:r>
        <w:rPr>
          <w:rFonts w:ascii="Calibri" w:cs="Calibri" w:eastAsia="Calibri" w:hAnsi="Calibri"/>
          <w:b/>
          <w:bCs/>
          <w:color w:val="65B32E"/>
          <w:spacing w:val="30"/>
          <w:sz w:val="15"/>
          <w:szCs w:val="15"/>
        </w:rPr>
        <w:t xml:space="preserve">NAJWAŻNIEJSZE</w:t>
      </w:r>
    </w:p>
    <w:p>
      <w:pPr>
        <w:pStyle w:val="Heading2"/>
        <w:pBdr>
          <w:bottom w:val="single" w:color="DEDEDE" w:sz="6" w:space="8"/>
        </w:pBdr>
        <w:spacing w:after="180" w:before="40"/>
      </w:pPr>
      <w:r>
        <w:rPr>
          <w:rFonts w:ascii="Calibri" w:cs="Calibri" w:eastAsia="Calibri" w:hAnsi="Calibri"/>
          <w:b/>
          <w:bCs/>
          <w:color w:val="427718"/>
          <w:sz w:val="27"/>
          <w:szCs w:val="27"/>
        </w:rPr>
        <w:t xml:space="preserve">Kluczowe wnioski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Obowiązki PPWR w e-commerce i 3PL zależą od roli podmiotu i rodzaju stosowanych opakowań.</w:t>
      </w:r>
      <w:r>
        <w:rPr>
          <w:rFonts w:ascii="Calibri" w:cs="Calibri" w:eastAsia="Calibri" w:hAnsi="Calibri"/>
          <w:b w:val="false"/>
          <w:bCs w:val="false"/>
          <w:color w:val="2D2D2D"/>
          <w:sz w:val="21"/>
          <w:szCs w:val="21"/>
        </w:rPr>
        <w:t xml:space="preserve"> Art. 29 dotyczy podmiotów stosujących opakowania transportowe i obejmuje także handel elektroniczny (art. 29 ust. 3); operatorzy fulfillmentu, platformy marketplace i operatorzy logistyczni stosujący opakowania transportowe mogą podlegać wymaganiom wynikającym z PPWR – rozporządzenie nie wymienia ich z nazwy jako odrębnych adresatów. Cel: 40% ponownego użycia opakowań transportowych do 2030 r.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Składana skrzynka zwrotna w e-commerce to dziś nisza, która może stać się standardem.</w:t>
      </w:r>
      <w:r>
        <w:rPr>
          <w:rFonts w:ascii="Calibri" w:cs="Calibri" w:eastAsia="Calibri" w:hAnsi="Calibri"/>
          <w:b w:val="false"/>
          <w:bCs w:val="false"/>
          <w:color w:val="2D2D2D"/>
          <w:sz w:val="21"/>
          <w:szCs w:val="21"/>
        </w:rPr>
        <w:t xml:space="preserve"> Składane skrzynki (clever move box) redukują objętość po zwrocie do 84% (dane bekuplast), ograniczając puste przebiegi w transporcie.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Rozbudowana sieć automatów paczkowych w Polsce może stać się naturalną bazą dla opakowań zwrotnych (RTP).</w:t>
      </w:r>
      <w:r>
        <w:rPr>
          <w:rFonts w:ascii="Calibri" w:cs="Calibri" w:eastAsia="Calibri" w:hAnsi="Calibri"/>
          <w:b w:val="false"/>
          <w:bCs w:val="false"/>
          <w:color w:val="2D2D2D"/>
          <w:sz w:val="21"/>
          <w:szCs w:val="21"/>
        </w:rPr>
        <w:t xml:space="preserve"> To potencjalny kierunek rozwoju rynku, a nie wymóg wynikający z PPWR: konsument oddaje skrzynkę do automatu → kurier zabiera → DC czyści → ponowna dystrybucja. Infrastruktura automatów już istnieje.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Gotowa sieć automatów paczkowych daje Polsce przewagę nad regionem DACH</w:t>
      </w:r>
      <w:r>
        <w:rPr>
          <w:rFonts w:ascii="Calibri" w:cs="Calibri" w:eastAsia="Calibri" w:hAnsi="Calibri"/>
          <w:b w:val="false"/>
          <w:bCs w:val="false"/>
          <w:color w:val="2D2D2D"/>
          <w:sz w:val="21"/>
          <w:szCs w:val="21"/>
        </w:rPr>
        <w:t xml:space="preserve"> – rynki Europy Zachodniej rozwijają opakowania wielokrotnego użytku w e-commerce, jednak bez porównywalnej do Polski infrastruktury automatów paczkowych.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Przejście na flotę opakowań wielokrotnego użytku i system zwrotu to inwestycja, której skala zależy od wolumenu paczek i profilu operatora</w:t>
      </w:r>
      <w:r>
        <w:rPr>
          <w:rFonts w:ascii="Calibri" w:cs="Calibri" w:eastAsia="Calibri" w:hAnsi="Calibri"/>
          <w:b w:val="false"/>
          <w:bCs w:val="false"/>
          <w:color w:val="2D2D2D"/>
          <w:sz w:val="21"/>
          <w:szCs w:val="21"/>
        </w:rPr>
        <w:t xml:space="preserve"> – wyliczymy ją dla Twojego procesu. Okres zwrotu inwestycji zależy od skali i intensywności rotacji – oszacujemy go w kalkulatorze.</w:t>
      </w:r>
    </w:p>
    <w:p>
      <w:pPr>
        <w:spacing w:after="40" w:before="420"/>
      </w:pPr>
      <w:r>
        <w:rPr>
          <w:rFonts w:ascii="Calibri" w:cs="Calibri" w:eastAsia="Calibri" w:hAnsi="Calibri"/>
          <w:b/>
          <w:bCs/>
          <w:color w:val="65B32E"/>
          <w:spacing w:val="30"/>
          <w:sz w:val="15"/>
          <w:szCs w:val="15"/>
        </w:rPr>
        <w:t xml:space="preserve">WYZWANIA</w:t>
      </w:r>
    </w:p>
    <w:p>
      <w:pPr>
        <w:pStyle w:val="Heading2"/>
        <w:pBdr>
          <w:bottom w:val="single" w:color="DEDEDE" w:sz="6" w:space="8"/>
        </w:pBdr>
        <w:spacing w:after="180" w:before="40"/>
      </w:pPr>
      <w:r>
        <w:rPr>
          <w:rFonts w:ascii="Calibri" w:cs="Calibri" w:eastAsia="Calibri" w:hAnsi="Calibri"/>
          <w:b/>
          <w:bCs/>
          <w:color w:val="427718"/>
          <w:sz w:val="27"/>
          <w:szCs w:val="27"/>
        </w:rPr>
        <w:t xml:space="preserve">Cztery wyzwania e-commerce – i cztery odpowiedzi opakowań zwrotnych</w:t>
      </w:r>
    </w:p>
    <w:p>
      <w:pPr>
        <w:spacing w:after="18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Pokazujemy, jak opakowania zwrotne dla e-commerce ograniczają karton i obsługują zwroty w fulfillmencie.</w:t>
      </w:r>
    </w:p>
    <w:p>
      <w:pPr>
        <w:pStyle w:val="Heading3"/>
        <w:spacing w:after="90" w:before="260"/>
      </w:pPr>
      <w:r>
        <w:rPr>
          <w:rFonts w:ascii="Calibri" w:cs="Calibri" w:eastAsia="Calibri" w:hAnsi="Calibri"/>
          <w:b/>
          <w:bCs/>
          <w:color w:val="1D1D1D"/>
          <w:sz w:val="23"/>
          <w:szCs w:val="23"/>
        </w:rPr>
        <w:t xml:space="preserve">01. Karton jednorazowy dominuje w opakowaniach e-commerce</w:t>
      </w:r>
    </w:p>
    <w:p>
      <w:pPr>
        <w:spacing w:after="9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W typowym fulfillment center dominują jednorazowe kartony i folia stretch, generujące istotny wolumen odpadów opakowaniowych oraz koszt ich utylizacji.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b/>
          <w:bCs/>
          <w:color w:val="9A9A9A"/>
          <w:sz w:val="17"/>
          <w:szCs w:val="17"/>
        </w:rPr>
        <w:t xml:space="preserve">Produkt: </w:t>
      </w:r>
      <w:r>
        <w:rPr>
          <w:rFonts w:ascii="Calibri" w:cs="Calibri" w:eastAsia="Calibri" w:hAnsi="Calibri"/>
          <w:color w:val="717171"/>
          <w:sz w:val="17"/>
          <w:szCs w:val="17"/>
        </w:rPr>
        <w:t xml:space="preserve">Clever-Retail-Box – Skrzynka zwrotna e-commerce · okres amortyzacji zależny od skali wdrożenia</w:t>
      </w:r>
    </w:p>
    <w:p>
      <w:pPr>
        <w:pStyle w:val="Heading3"/>
        <w:spacing w:after="90" w:before="260"/>
      </w:pPr>
      <w:r>
        <w:rPr>
          <w:rFonts w:ascii="Calibri" w:cs="Calibri" w:eastAsia="Calibri" w:hAnsi="Calibri"/>
          <w:b/>
          <w:bCs/>
          <w:color w:val="1D1D1D"/>
          <w:sz w:val="23"/>
          <w:szCs w:val="23"/>
        </w:rPr>
        <w:t xml:space="preserve">02. Puste przebiegi w transporcie zwrotnym</w:t>
      </w:r>
    </w:p>
    <w:p>
      <w:pPr>
        <w:spacing w:after="9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Znacząca część paczek wraca jako zwroty, a opakowanie zwrotne wraca od konsumenta do DC puste. Sztywna skrzynka zajmuje po zwrocie tyle samo miejsca co pełna – składana redukuje objętość do 84%.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b/>
          <w:bCs/>
          <w:color w:val="9A9A9A"/>
          <w:sz w:val="17"/>
          <w:szCs w:val="17"/>
        </w:rPr>
        <w:t xml:space="preserve">Produkt: </w:t>
      </w:r>
      <w:r>
        <w:rPr>
          <w:rFonts w:ascii="Calibri" w:cs="Calibri" w:eastAsia="Calibri" w:hAnsi="Calibri"/>
          <w:color w:val="717171"/>
          <w:sz w:val="17"/>
          <w:szCs w:val="17"/>
        </w:rPr>
        <w:t xml:space="preserve">Clever move box – Redukcja objętości po złożeniu do 84% (dane bekuplast)</w:t>
      </w:r>
    </w:p>
    <w:p>
      <w:pPr>
        <w:pStyle w:val="Heading3"/>
        <w:spacing w:after="90" w:before="260"/>
      </w:pPr>
      <w:r>
        <w:rPr>
          <w:rFonts w:ascii="Calibri" w:cs="Calibri" w:eastAsia="Calibri" w:hAnsi="Calibri"/>
          <w:b/>
          <w:bCs/>
          <w:color w:val="1D1D1D"/>
          <w:sz w:val="23"/>
          <w:szCs w:val="23"/>
        </w:rPr>
        <w:t xml:space="preserve">03. Art. 29 PPWR – obowiązek po stronie podmiotu stosującego opakowania transportowe</w:t>
      </w:r>
    </w:p>
    <w:p>
      <w:pPr>
        <w:spacing w:after="9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Podmioty stosujące opakowania transportowe (operatorzy fulfillmentu, platformy marketplace, kurierzy) podlegają art. 29 o tyle, o ile stosują takie opakowania – rozporządzenie nie wymienia ich z nazwy. Cel: 40% ponownego użycia opakowań transportowych do 2030 r.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b/>
          <w:bCs/>
          <w:color w:val="9A9A9A"/>
          <w:sz w:val="17"/>
          <w:szCs w:val="17"/>
        </w:rPr>
        <w:t xml:space="preserve">Produkt: </w:t>
      </w:r>
      <w:r>
        <w:rPr>
          <w:rFonts w:ascii="Calibri" w:cs="Calibri" w:eastAsia="Calibri" w:hAnsi="Calibri"/>
          <w:color w:val="717171"/>
          <w:sz w:val="17"/>
          <w:szCs w:val="17"/>
        </w:rPr>
        <w:t xml:space="preserve">Skrzynki pod automaty paczkowe – clever move box + palety plastikowe · skrzynki w wymiarach dopasowanych pod automaty paczkowe</w:t>
      </w:r>
    </w:p>
    <w:p>
      <w:pPr>
        <w:pStyle w:val="Heading3"/>
        <w:spacing w:after="90" w:before="260"/>
      </w:pPr>
      <w:r>
        <w:rPr>
          <w:rFonts w:ascii="Calibri" w:cs="Calibri" w:eastAsia="Calibri" w:hAnsi="Calibri"/>
          <w:b/>
          <w:bCs/>
          <w:color w:val="1D1D1D"/>
          <w:sz w:val="23"/>
          <w:szCs w:val="23"/>
        </w:rPr>
        <w:t xml:space="preserve">04. Zwroty w e-commerce – pojemniki na produkty zwrócone</w:t>
      </w:r>
    </w:p>
    <w:p>
      <w:pPr>
        <w:spacing w:after="9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Współczynnik zwrotów w e-commerce bywa wysoki, zwłaszcza w modzie – pojemniki zwrotne porządkują ten proces, który dziś dla wielu operatorów jest improwizacją.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b/>
          <w:bCs/>
          <w:color w:val="9A9A9A"/>
          <w:sz w:val="17"/>
          <w:szCs w:val="17"/>
        </w:rPr>
        <w:t xml:space="preserve">Produkt: </w:t>
      </w:r>
      <w:r>
        <w:rPr>
          <w:rFonts w:ascii="Calibri" w:cs="Calibri" w:eastAsia="Calibri" w:hAnsi="Calibri"/>
          <w:color w:val="717171"/>
          <w:sz w:val="17"/>
          <w:szCs w:val="17"/>
        </w:rPr>
        <w:t xml:space="preserve">Kuwety na zwroty – Trwałe znakowanie i miejsce na etykietę · integracja z WMS</w:t>
      </w:r>
    </w:p>
    <w:p>
      <w:pPr>
        <w:spacing w:after="40" w:before="420"/>
      </w:pPr>
      <w:r>
        <w:rPr>
          <w:rFonts w:ascii="Calibri" w:cs="Calibri" w:eastAsia="Calibri" w:hAnsi="Calibri"/>
          <w:b/>
          <w:bCs/>
          <w:color w:val="65B32E"/>
          <w:spacing w:val="30"/>
          <w:sz w:val="15"/>
          <w:szCs w:val="15"/>
        </w:rPr>
        <w:t xml:space="preserve">PRODUKTY</w:t>
      </w:r>
    </w:p>
    <w:p>
      <w:pPr>
        <w:pStyle w:val="Heading2"/>
        <w:pBdr>
          <w:bottom w:val="single" w:color="DEDEDE" w:sz="6" w:space="8"/>
        </w:pBdr>
        <w:spacing w:after="180" w:before="40"/>
      </w:pPr>
      <w:r>
        <w:rPr>
          <w:rFonts w:ascii="Calibri" w:cs="Calibri" w:eastAsia="Calibri" w:hAnsi="Calibri"/>
          <w:b/>
          <w:bCs/>
          <w:color w:val="427718"/>
          <w:sz w:val="27"/>
          <w:szCs w:val="27"/>
        </w:rPr>
        <w:t xml:space="preserve">Składane skrzynki, totes magazynowe i palety dla operatorów e-commerce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Clever Retail Box 4011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Składana skrzynka retail / fulfillment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Clever move box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Redukcja objętości do 84% (dane bekuplast)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silverline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AKL, automatyzacja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contecline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Magazyny automatyczne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lightline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Kompletacja ręczna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Palety Euro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Transport DC → DC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Skrzynki pod automaty paczkowe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formaty S/M/L do uzgodnienia z operatorem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Indywidualne pod paczkomat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Pod operatora</w:t>
      </w:r>
    </w:p>
    <w:p>
      <w:pPr>
        <w:spacing w:after="40" w:before="420"/>
      </w:pPr>
      <w:r>
        <w:rPr>
          <w:rFonts w:ascii="Calibri" w:cs="Calibri" w:eastAsia="Calibri" w:hAnsi="Calibri"/>
          <w:b/>
          <w:bCs/>
          <w:color w:val="65B32E"/>
          <w:spacing w:val="30"/>
          <w:sz w:val="15"/>
          <w:szCs w:val="15"/>
        </w:rPr>
        <w:t xml:space="preserve">PPWR · ZGODNOŚĆ</w:t>
      </w:r>
    </w:p>
    <w:p>
      <w:pPr>
        <w:pStyle w:val="Heading2"/>
        <w:pBdr>
          <w:bottom w:val="single" w:color="DEDEDE" w:sz="6" w:space="8"/>
        </w:pBdr>
        <w:spacing w:after="180" w:before="40"/>
      </w:pPr>
      <w:r>
        <w:rPr>
          <w:rFonts w:ascii="Calibri" w:cs="Calibri" w:eastAsia="Calibri" w:hAnsi="Calibri"/>
          <w:b/>
          <w:bCs/>
          <w:color w:val="427718"/>
          <w:sz w:val="27"/>
          <w:szCs w:val="27"/>
        </w:rPr>
        <w:t xml:space="preserve">PPWR dla e-commerce – art. 29 i co konkretnie musisz zrobić</w:t>
      </w:r>
    </w:p>
    <w:p>
      <w:pPr>
        <w:spacing w:after="18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Polski rynek e-commerce opiera się dziś niemal wyłącznie na opakowaniach jednorazowych (karton, folia stretch, wypełniacze). PPWR wprowadza wymagania dotyczące określonych kategorii opakowań: cele ponownego użycia obejmują opakowania transportowe (pudła tekturowe pozostają poza celami), a art. 24 ogranicza pustą przestrzeń w paczkach. Propozycja bekuplast: trzy pilotaże, które warto uruchomić w 2026 r., to składana skrzynka na zwroty (clever move box), skrzynka zwrotna do automatu paczkowego oraz totes magazynowe w DC w obiegu zamkniętym między magazynami.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Art. 29 ust. 1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Kluczowy dla e-commerce – 40% ponownego użycia w opakowaniach transportowych do 2030 r. oraz dążenie do 70% do 2040 r. Kary określi polska ustawa krajowa (w toku prac legislacyjnych).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Art. 24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Ograniczenie nadmiarowego opakowania – art. 24 PPWR przewiduje, że pusta przestrzeń w paczce e-commerce nie będzie mogła przekraczać 50% (zgodnie z harmonogramem określonym w rozporządzeniu), co w praktyce oznacza minimalizację warstw opakowaniowych w wysyłce.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Art. 29 ust. 6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Cele ponownego użycia dla napojów (10% w 2030 r., dążenie do 40% w 2040 r.) obejmują dystrybutorów końcowych udostępniających napoje konsumentom.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Art. 50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PPWR przewiduje obowiązek ustanowienia systemów kaucyjnych dla jednorazowych butelek z tworzyw sztucznych i puszek, z wyjątkami określonymi w rozporządzeniu – to obszar istotny także dla e-commerce sprzedającego napoje. Wykorzystanie automatów paczkowych jako punktów zbiórki to potencjalny kierunek rozwoju rynku, a nie element rozporządzenia.</w:t>
      </w:r>
    </w:p>
    <w:p>
      <w:pPr>
        <w:spacing w:after="40" w:before="420"/>
      </w:pPr>
      <w:r>
        <w:rPr>
          <w:rFonts w:ascii="Calibri" w:cs="Calibri" w:eastAsia="Calibri" w:hAnsi="Calibri"/>
          <w:b/>
          <w:bCs/>
          <w:color w:val="65B32E"/>
          <w:spacing w:val="30"/>
          <w:sz w:val="15"/>
          <w:szCs w:val="15"/>
        </w:rPr>
        <w:t xml:space="preserve">NASTĘPNE KROKI</w:t>
      </w:r>
    </w:p>
    <w:p>
      <w:pPr>
        <w:pStyle w:val="Heading2"/>
        <w:pBdr>
          <w:bottom w:val="single" w:color="DEDEDE" w:sz="6" w:space="8"/>
        </w:pBdr>
        <w:spacing w:after="180" w:before="40"/>
      </w:pPr>
      <w:r>
        <w:rPr>
          <w:rFonts w:ascii="Calibri" w:cs="Calibri" w:eastAsia="Calibri" w:hAnsi="Calibri"/>
          <w:b/>
          <w:bCs/>
          <w:color w:val="427718"/>
          <w:sz w:val="27"/>
          <w:szCs w:val="27"/>
        </w:rPr>
        <w:t xml:space="preserve">Co możesz zrobić już teraz</w:t>
      </w:r>
    </w:p>
    <w:p>
      <w:pPr>
        <w:pBdr>
          <w:left w:val="single" w:color="65B32E" w:sz="18" w:space="14"/>
        </w:pBdr>
        <w:spacing w:after="60" w:before="160" w:line="264"/>
        <w:ind w:left="340"/>
      </w:pPr>
      <w:r>
        <w:rPr>
          <w:rFonts w:ascii="Calibri" w:cs="Calibri" w:eastAsia="Calibri" w:hAnsi="Calibri"/>
          <w:i/>
          <w:iCs/>
          <w:color w:val="434343"/>
          <w:sz w:val="21"/>
          <w:szCs w:val="21"/>
        </w:rPr>
        <w:t xml:space="preserve">Operatorzy e-commerce i fulfillmentu mogą podlegać celom ponownego użycia opakowań transportowych – zależnie od zakresu działalności i rodzaju stosowanych opakowań: co najmniej 40% do 2030 r. i dążenie do 70% do 2040 r.</w:t>
      </w:r>
    </w:p>
    <w:p>
      <w:pPr>
        <w:spacing w:after="220" w:line="240"/>
        <w:ind w:left="340"/>
      </w:pPr>
      <w:r>
        <w:rPr>
          <w:rFonts w:ascii="Calibri" w:cs="Calibri" w:eastAsia="Calibri" w:hAnsi="Calibri"/>
          <w:color w:val="9A9A9A"/>
          <w:sz w:val="16"/>
          <w:szCs w:val="16"/>
        </w:rPr>
        <w:t xml:space="preserve">zgodnie z rozporządzeniem (UE) 2025/40 Parlamentu Europejskiego i Rady z dnia 19 grudnia 2024 r. w sprawie opakowań i odpadów opakowaniowych (PPWR)</w:t>
      </w:r>
    </w:p>
    <w:p>
      <w:pPr>
        <w:pStyle w:val="Heading3"/>
        <w:spacing w:after="90" w:before="260"/>
      </w:pPr>
      <w:r>
        <w:rPr>
          <w:rFonts w:ascii="Calibri" w:cs="Calibri" w:eastAsia="Calibri" w:hAnsi="Calibri"/>
          <w:b/>
          <w:bCs/>
          <w:color w:val="1D1D1D"/>
          <w:sz w:val="23"/>
          <w:szCs w:val="23"/>
        </w:rPr>
        <w:t xml:space="preserve">01. Przeprowadź audyt PPWR</w:t>
      </w:r>
    </w:p>
    <w:p>
      <w:pPr>
        <w:spacing w:after="9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Sprawdź gotowość operatora e-commerce w kilka minut.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b/>
          <w:bCs/>
          <w:color w:val="9A9A9A"/>
          <w:sz w:val="17"/>
          <w:szCs w:val="17"/>
        </w:rPr>
        <w:t xml:space="preserve">Przycisk: </w:t>
      </w:r>
      <w:r>
        <w:rPr>
          <w:rFonts w:ascii="Calibri" w:cs="Calibri" w:eastAsia="Calibri" w:hAnsi="Calibri"/>
          <w:color w:val="717171"/>
          <w:sz w:val="17"/>
          <w:szCs w:val="17"/>
        </w:rPr>
        <w:t xml:space="preserve">Przejdź do audytu</w:t>
      </w:r>
    </w:p>
    <w:p>
      <w:pPr>
        <w:pStyle w:val="Heading3"/>
        <w:spacing w:after="90" w:before="260"/>
      </w:pPr>
      <w:r>
        <w:rPr>
          <w:rFonts w:ascii="Calibri" w:cs="Calibri" w:eastAsia="Calibri" w:hAnsi="Calibri"/>
          <w:b/>
          <w:bCs/>
          <w:color w:val="1D1D1D"/>
          <w:sz w:val="23"/>
          <w:szCs w:val="23"/>
        </w:rPr>
        <w:t xml:space="preserve">02. Oblicz koszt PPWR</w:t>
      </w:r>
    </w:p>
    <w:p>
      <w:pPr>
        <w:spacing w:after="9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Porównaj opakowania jednorazowe i zwrotne, zobacz próg rentowności.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b/>
          <w:bCs/>
          <w:color w:val="9A9A9A"/>
          <w:sz w:val="17"/>
          <w:szCs w:val="17"/>
        </w:rPr>
        <w:t xml:space="preserve">Przycisk: </w:t>
      </w:r>
      <w:r>
        <w:rPr>
          <w:rFonts w:ascii="Calibri" w:cs="Calibri" w:eastAsia="Calibri" w:hAnsi="Calibri"/>
          <w:color w:val="717171"/>
          <w:sz w:val="17"/>
          <w:szCs w:val="17"/>
        </w:rPr>
        <w:t xml:space="preserve">Otwórz kalkulator</w:t>
      </w:r>
    </w:p>
    <w:p>
      <w:pPr>
        <w:pStyle w:val="Heading3"/>
        <w:spacing w:after="90" w:before="260"/>
      </w:pPr>
      <w:r>
        <w:rPr>
          <w:rFonts w:ascii="Calibri" w:cs="Calibri" w:eastAsia="Calibri" w:hAnsi="Calibri"/>
          <w:b/>
          <w:bCs/>
          <w:color w:val="1D1D1D"/>
          <w:sz w:val="23"/>
          <w:szCs w:val="23"/>
        </w:rPr>
        <w:t xml:space="preserve">03. Zapytaj eksperta</w:t>
      </w:r>
    </w:p>
    <w:p>
      <w:pPr>
        <w:spacing w:after="9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Zapytaj eksperta o PPWR w swojej branży.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b/>
          <w:bCs/>
          <w:color w:val="9A9A9A"/>
          <w:sz w:val="17"/>
          <w:szCs w:val="17"/>
        </w:rPr>
        <w:t xml:space="preserve">Przycisk: </w:t>
      </w:r>
      <w:r>
        <w:rPr>
          <w:rFonts w:ascii="Calibri" w:cs="Calibri" w:eastAsia="Calibri" w:hAnsi="Calibri"/>
          <w:color w:val="717171"/>
          <w:sz w:val="17"/>
          <w:szCs w:val="17"/>
        </w:rPr>
        <w:t xml:space="preserve">Umów rozmowę</w:t>
      </w:r>
    </w:p>
    <w:p>
      <w:pPr>
        <w:spacing w:after="40" w:before="420"/>
      </w:pPr>
      <w:r>
        <w:rPr>
          <w:rFonts w:ascii="Calibri" w:cs="Calibri" w:eastAsia="Calibri" w:hAnsi="Calibri"/>
          <w:b/>
          <w:bCs/>
          <w:color w:val="65B32E"/>
          <w:spacing w:val="30"/>
          <w:sz w:val="15"/>
          <w:szCs w:val="15"/>
        </w:rPr>
        <w:t xml:space="preserve">CASE STUDIES</w:t>
      </w:r>
    </w:p>
    <w:p>
      <w:pPr>
        <w:pStyle w:val="Heading2"/>
        <w:pBdr>
          <w:bottom w:val="single" w:color="DEDEDE" w:sz="6" w:space="8"/>
        </w:pBdr>
        <w:spacing w:after="180" w:before="40"/>
      </w:pPr>
      <w:r>
        <w:rPr>
          <w:rFonts w:ascii="Calibri" w:cs="Calibri" w:eastAsia="Calibri" w:hAnsi="Calibri"/>
          <w:b/>
          <w:bCs/>
          <w:color w:val="427718"/>
          <w:sz w:val="27"/>
          <w:szCs w:val="27"/>
        </w:rPr>
        <w:t xml:space="preserve">Opakowania wielokrotnego użytku we wdrożeniach bekuplast</w:t>
      </w:r>
    </w:p>
    <w:p>
      <w:pPr>
        <w:spacing w:after="18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Każde wdrożenie to osobna historia naszego Klienta. Indywidualne wymagania, do których dopasowujemy optymalne rozwiązania.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1D1D1D"/>
          <w:sz w:val="23"/>
          <w:szCs w:val="23"/>
        </w:rPr>
        <w:t xml:space="preserve">ROSSMANN</w:t>
      </w:r>
    </w:p>
    <w:p>
      <w:pPr>
        <w:spacing w:after="6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Intralogistyka sieci drogerii (Landsberg, DE) – pojemnik kompletacyjny w zautomatyzowanym magazynie centralnym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color w:val="717171"/>
          <w:sz w:val="17"/>
          <w:szCs w:val="17"/>
        </w:rPr>
        <w:t xml:space="preserve">2025  ·  160 000 pojemników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1D1D1D"/>
          <w:sz w:val="23"/>
          <w:szCs w:val="23"/>
        </w:rPr>
        <w:t xml:space="preserve">Orbico</w:t>
      </w:r>
    </w:p>
    <w:p>
      <w:pPr>
        <w:spacing w:after="6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Dystrybucja beauty i FMCG (PL) – pojemniki contecline w zautomatyzowanych magazynach (AKL/Shuttle)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color w:val="717171"/>
          <w:sz w:val="17"/>
          <w:szCs w:val="17"/>
        </w:rPr>
        <w:t xml:space="preserve">2023  ·  46 000 pojemników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1D1D1D"/>
          <w:sz w:val="23"/>
          <w:szCs w:val="23"/>
        </w:rPr>
        <w:t xml:space="preserve">Onninen</w:t>
      </w:r>
    </w:p>
    <w:p>
      <w:pPr>
        <w:spacing w:after="6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Dystrybucja materiałów budowlanych i instalacyjnych (PL) – 40 000 pojemników contecline w automatycznym magazynie Onnimat (projekt DOMINO)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color w:val="717171"/>
          <w:sz w:val="17"/>
          <w:szCs w:val="17"/>
        </w:rPr>
        <w:t xml:space="preserve">2019  ·  40 000 pojemników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1D1D1D"/>
          <w:sz w:val="23"/>
          <w:szCs w:val="23"/>
        </w:rPr>
        <w:t xml:space="preserve">Auto Partner SA</w:t>
      </w:r>
    </w:p>
    <w:p>
      <w:pPr>
        <w:spacing w:after="6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Dystrybucja części samochodowych (PL) – pojemniki contecline i silverline w magazynach AKL/Shuttle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color w:val="717171"/>
          <w:sz w:val="17"/>
          <w:szCs w:val="17"/>
        </w:rPr>
        <w:t xml:space="preserve">2022  ·  27 000 pojemników</w:t>
      </w:r>
    </w:p>
    <w:p>
      <w:pPr>
        <w:spacing w:after="40" w:before="420"/>
      </w:pPr>
      <w:r>
        <w:rPr>
          <w:rFonts w:ascii="Calibri" w:cs="Calibri" w:eastAsia="Calibri" w:hAnsi="Calibri"/>
          <w:b/>
          <w:bCs/>
          <w:color w:val="65B32E"/>
          <w:spacing w:val="30"/>
          <w:sz w:val="15"/>
          <w:szCs w:val="15"/>
        </w:rPr>
        <w:t xml:space="preserve">KOSZT PPWR</w:t>
      </w:r>
    </w:p>
    <w:p>
      <w:pPr>
        <w:pStyle w:val="Heading2"/>
        <w:pBdr>
          <w:bottom w:val="single" w:color="DEDEDE" w:sz="6" w:space="8"/>
        </w:pBdr>
        <w:spacing w:after="180" w:before="40"/>
      </w:pPr>
      <w:r>
        <w:rPr>
          <w:rFonts w:ascii="Calibri" w:cs="Calibri" w:eastAsia="Calibri" w:hAnsi="Calibri"/>
          <w:b/>
          <w:bCs/>
          <w:color w:val="427718"/>
          <w:sz w:val="27"/>
          <w:szCs w:val="27"/>
        </w:rPr>
        <w:t xml:space="preserve">Koszt przejścia na opakowania wielokrotnego użytku</w:t>
      </w:r>
    </w:p>
    <w:p>
      <w:pPr>
        <w:spacing w:after="18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Porównaj koszt kartonów jednorazowych i zwrotnych pojemników e-commerce – kalkulator pokaże próg rentowności i strukturę emisji CO₂ dla operatora fulfillmentu.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b/>
          <w:bCs/>
          <w:color w:val="9A9A9A"/>
          <w:sz w:val="17"/>
          <w:szCs w:val="17"/>
        </w:rPr>
        <w:t xml:space="preserve">Przycisk: </w:t>
      </w:r>
      <w:r>
        <w:rPr>
          <w:rFonts w:ascii="Calibri" w:cs="Calibri" w:eastAsia="Calibri" w:hAnsi="Calibri"/>
          <w:color w:val="717171"/>
          <w:sz w:val="17"/>
          <w:szCs w:val="17"/>
        </w:rPr>
        <w:t xml:space="preserve">Oblicz koszt PPWR w 2 min.</w:t>
      </w:r>
    </w:p>
    <w:p>
      <w:pPr>
        <w:spacing w:after="40" w:before="420"/>
      </w:pPr>
      <w:r>
        <w:rPr>
          <w:rFonts w:ascii="Calibri" w:cs="Calibri" w:eastAsia="Calibri" w:hAnsi="Calibri"/>
          <w:b/>
          <w:bCs/>
          <w:color w:val="65B32E"/>
          <w:spacing w:val="30"/>
          <w:sz w:val="15"/>
          <w:szCs w:val="15"/>
        </w:rPr>
        <w:t xml:space="preserve">POWIĄZANE</w:t>
      </w:r>
    </w:p>
    <w:p>
      <w:pPr>
        <w:pStyle w:val="Heading2"/>
        <w:pBdr>
          <w:bottom w:val="single" w:color="DEDEDE" w:sz="6" w:space="8"/>
        </w:pBdr>
        <w:spacing w:after="180" w:before="40"/>
      </w:pPr>
      <w:r>
        <w:rPr>
          <w:rFonts w:ascii="Calibri" w:cs="Calibri" w:eastAsia="Calibri" w:hAnsi="Calibri"/>
          <w:b/>
          <w:bCs/>
          <w:color w:val="427718"/>
          <w:sz w:val="27"/>
          <w:szCs w:val="27"/>
        </w:rPr>
        <w:t xml:space="preserve">Może Cię też zainteresować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Handel detaliczny i FMCG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Sieci handlowe to często sprzedawcy na Twoich platformach marketplace. Art. 29 PPWR może dotyczyć ich podobnie jak operatorów e-commerce – zależnie od stosowanych opakowań transportowych.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Logistyka i transport (3PL)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Operatorzy logistyczni B2B obsługujący transport międzymagazynowy.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Intralogistyka i magazyn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AKL, shuttle, WMS – fundament fulfillment center.</w:t>
      </w:r>
    </w:p>
    <w:p>
      <w:pPr>
        <w:spacing w:after="40" w:before="420"/>
      </w:pPr>
      <w:r>
        <w:rPr>
          <w:rFonts w:ascii="Calibri" w:cs="Calibri" w:eastAsia="Calibri" w:hAnsi="Calibri"/>
          <w:b/>
          <w:bCs/>
          <w:color w:val="65B32E"/>
          <w:spacing w:val="30"/>
          <w:sz w:val="15"/>
          <w:szCs w:val="15"/>
        </w:rPr>
        <w:t xml:space="preserve">FAQ</w:t>
      </w:r>
    </w:p>
    <w:p>
      <w:pPr>
        <w:pStyle w:val="Heading2"/>
        <w:pBdr>
          <w:bottom w:val="single" w:color="DEDEDE" w:sz="6" w:space="8"/>
        </w:pBdr>
        <w:spacing w:after="180" w:before="40"/>
      </w:pPr>
      <w:r>
        <w:rPr>
          <w:rFonts w:ascii="Calibri" w:cs="Calibri" w:eastAsia="Calibri" w:hAnsi="Calibri"/>
          <w:b/>
          <w:bCs/>
          <w:color w:val="427718"/>
          <w:sz w:val="27"/>
          <w:szCs w:val="27"/>
        </w:rPr>
        <w:t xml:space="preserve">Najczęściej zadawane pytania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D1D1D"/>
          <w:sz w:val="22"/>
          <w:szCs w:val="22"/>
        </w:rPr>
        <w:t xml:space="preserve">Czym jest art. 29 PPWR i kogo obejmuje?</w:t>
      </w:r>
    </w:p>
    <w:p>
      <w:pPr>
        <w:spacing w:after="15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Art. 29 PPWR dotyczy podmiotów stosujących opakowania transportowe – obejmuje także handel elektroniczny (art. 29 ust. 3). Sieci handlowe, operatorzy fulfillmentu, kurierzy i platformy marketplace podlegają mu o tyle, o ile stosują takie opakowania. Cel: 40% ponownego użycia opakowań transportowych do 2030 r. oraz dążenie do 70% do 2040 r. Z celów ponownego użycia zwolnione są mikroprzedsiębiorstwa udostępniające nie więcej niż 1000 kg opakowań rocznie (art. 29 ust. 13). Pudła tekturowe są wyłączone z tych obowiązków (art. 29 ust. 4 lit. d), co jest istotne dla paczek e-commerce.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D1D1D"/>
          <w:sz w:val="22"/>
          <w:szCs w:val="22"/>
        </w:rPr>
        <w:t xml:space="preserve">Czy operatorzy e-commerce i logistyki są objęci PPWR?</w:t>
      </w:r>
    </w:p>
    <w:p>
      <w:pPr>
        <w:spacing w:after="15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Operatorzy fulfillmentu, platformy marketplace i operatorzy logistyczni stosujący opakowania transportowe mogą podlegać wymaganiom wynikającym z PPWR. Rozporządzenie nie wymienia ich z nazwy jako odrębnych adresatów – podlegają art. 29 o tyle, o ile stosują opakowania transportowe.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D1D1D"/>
          <w:sz w:val="22"/>
          <w:szCs w:val="22"/>
        </w:rPr>
        <w:t xml:space="preserve">Co to jest clever move box i czym różni się od zwykłej skrzynki?</w:t>
      </w:r>
    </w:p>
    <w:p>
      <w:pPr>
        <w:spacing w:after="15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Clever move box to składana skrzynka z tworzywa – po złożeniu redukuje objętość do 84% w porównaniu ze skrzynkami sztywnymi (dane bekuplast). Ogranicza puste przebiegi w transporcie zwrotnym (kurier zabiera na jednym przebiegu znacznie więcej zwracanych skrzynek).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D1D1D"/>
          <w:sz w:val="22"/>
          <w:szCs w:val="22"/>
        </w:rPr>
        <w:t xml:space="preserve">Czy można zrobić skrzynkę dopasowaną do skrytki automatu paczkowego?</w:t>
      </w:r>
    </w:p>
    <w:p>
      <w:pPr>
        <w:spacing w:after="15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Tak – projektujemy skrzynki dopasowane wymiarowo pod skrytki automatów paczkowych. Wymaga to uzgodnienia z operatorem automatu, a czas projektu i prototypu ustalamy indywidualnie.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D1D1D"/>
          <w:sz w:val="22"/>
          <w:szCs w:val="22"/>
        </w:rPr>
        <w:t xml:space="preserve">Jakie kary za niespełnienie art. 29?</w:t>
      </w:r>
    </w:p>
    <w:p>
      <w:pPr>
        <w:spacing w:after="15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Kary za niespełnienie celów PPWR określi polska ustawa krajowa (w toku prac legislacyjnych). Zgodnie z art. 68 PPWR to państwa członkowskie ustanawiają kary skuteczne, proporcjonalne i odstraszające – ich ostateczna wysokość nie jest jeszcze przesądzona.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D1D1D"/>
          <w:sz w:val="22"/>
          <w:szCs w:val="22"/>
        </w:rPr>
        <w:t xml:space="preserve">Ile cykli wytrzymuje clever move box?</w:t>
      </w:r>
    </w:p>
    <w:p>
      <w:pPr>
        <w:spacing w:after="15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Składane skrzynki transportowe z tworzywa są przeznaczone do wielokrotnej rotacji i wieloletniej eksploatacji; realną liczbę cykli dobieramy do intensywności Twojego procesu.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D1D1D"/>
          <w:sz w:val="22"/>
          <w:szCs w:val="22"/>
        </w:rPr>
        <w:t xml:space="preserve">Czy obsługujecie operatorów fulfillmentu i 3PL na rynkach DACH?</w:t>
      </w:r>
    </w:p>
    <w:p>
      <w:pPr>
        <w:spacing w:after="15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Tak – bekuplast od lat obsługuje operatorów fulfillmentu i logistyki w regionie DACH oraz w Polsce.</w:t>
      </w:r>
    </w:p>
    <w:p>
      <w:pPr>
        <w:spacing w:after="40" w:before="420"/>
      </w:pPr>
      <w:r>
        <w:rPr>
          <w:rFonts w:ascii="Calibri" w:cs="Calibri" w:eastAsia="Calibri" w:hAnsi="Calibri"/>
          <w:b/>
          <w:bCs/>
          <w:color w:val="65B32E"/>
          <w:spacing w:val="30"/>
          <w:sz w:val="15"/>
          <w:szCs w:val="15"/>
        </w:rPr>
        <w:t xml:space="preserve">KONTAKT</w:t>
      </w:r>
    </w:p>
    <w:p>
      <w:pPr>
        <w:pStyle w:val="Heading2"/>
        <w:pBdr>
          <w:bottom w:val="single" w:color="DEDEDE" w:sz="6" w:space="8"/>
        </w:pBdr>
        <w:spacing w:after="180" w:before="40"/>
      </w:pPr>
      <w:r>
        <w:rPr>
          <w:rFonts w:ascii="Calibri" w:cs="Calibri" w:eastAsia="Calibri" w:hAnsi="Calibri"/>
          <w:b/>
          <w:bCs/>
          <w:color w:val="427718"/>
          <w:sz w:val="27"/>
          <w:szCs w:val="27"/>
        </w:rPr>
        <w:t xml:space="preserve">Omówmy rozwiązanie dla Twojego procesu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Szybki kontakt zwrotny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Rozmawiamy o Twoich konkretnych potrzebach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Bezpłatnie i bez zobowiązań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Możliwość pozyskania próbek produktów</w:t>
      </w:r>
    </w:p>
    <w:p>
      <w:pPr>
        <w:pStyle w:val="Heading3"/>
        <w:spacing w:after="90" w:before="260"/>
      </w:pPr>
      <w:r>
        <w:rPr>
          <w:rFonts w:ascii="Calibri" w:cs="Calibri" w:eastAsia="Calibri" w:hAnsi="Calibri"/>
          <w:b/>
          <w:bCs/>
          <w:color w:val="1D1D1D"/>
          <w:sz w:val="23"/>
          <w:szCs w:val="23"/>
        </w:rPr>
        <w:t xml:space="preserve">Pozostaw dane kontaktowe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b/>
          <w:bCs/>
          <w:color w:val="9A9A9A"/>
          <w:sz w:val="17"/>
          <w:szCs w:val="17"/>
        </w:rPr>
        <w:t xml:space="preserve">Pola: </w:t>
      </w:r>
      <w:r>
        <w:rPr>
          <w:rFonts w:ascii="Calibri" w:cs="Calibri" w:eastAsia="Calibri" w:hAnsi="Calibri"/>
          <w:color w:val="717171"/>
          <w:sz w:val="17"/>
          <w:szCs w:val="17"/>
        </w:rPr>
        <w:t xml:space="preserve">Imię i nazwisko  ·  Firma  ·  E-mail  ·  Telefon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b/>
          <w:bCs/>
          <w:color w:val="9A9A9A"/>
          <w:sz w:val="17"/>
          <w:szCs w:val="17"/>
        </w:rPr>
        <w:t xml:space="preserve">Zgoda: </w:t>
      </w:r>
      <w:r>
        <w:rPr>
          <w:rFonts w:ascii="Calibri" w:cs="Calibri" w:eastAsia="Calibri" w:hAnsi="Calibri"/>
          <w:color w:val="717171"/>
          <w:sz w:val="17"/>
          <w:szCs w:val="17"/>
        </w:rPr>
        <w:t xml:space="preserve">Wyrażam zgodę na przetwarzanie danych osobowych i potwierdzam, że zapoznałem/am się z Polityką prywatności dotyczącą zasad ich przetwarzania.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b/>
          <w:bCs/>
          <w:color w:val="9A9A9A"/>
          <w:sz w:val="17"/>
          <w:szCs w:val="17"/>
        </w:rPr>
        <w:t xml:space="preserve">Przycisk: </w:t>
      </w:r>
      <w:r>
        <w:rPr>
          <w:rFonts w:ascii="Calibri" w:cs="Calibri" w:eastAsia="Calibri" w:hAnsi="Calibri"/>
          <w:color w:val="717171"/>
          <w:sz w:val="17"/>
          <w:szCs w:val="17"/>
        </w:rPr>
        <w:t xml:space="preserve">Proszę o kontakt</w:t>
      </w:r>
    </w:p>
    <w:sectPr>
      <w:footerReference w:type="default" r:id="rId7"/>
      <w:pgSz w:w="11906" w:h="16838" w:orient="portrait"/>
      <w:pgMar w:top="1247" w:right="1247" w:bottom="1133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EDEDE" w:sz="4" w:space="8"/>
      </w:pBdr>
      <w:tabs>
        <w:tab w:val="right" w:pos="9412"/>
      </w:tabs>
    </w:pPr>
    <w:r>
      <w:rPr>
        <w:rFonts w:ascii="Calibri" w:cs="Calibri" w:eastAsia="Calibri" w:hAnsi="Calibri"/>
        <w:color w:val="9A9A9A"/>
        <w:sz w:val="15"/>
        <w:szCs w:val="15"/>
      </w:rPr>
      <w:t xml:space="preserve">Strona 10 – E-commerce, 3PL i fulfillment · makieta v14</w:t>
    </w:r>
    <w:r>
      <w:rPr>
        <w:rFonts w:ascii="Calibri" w:cs="Calibri" w:eastAsia="Calibri" w:hAnsi="Calibri"/>
        <w:sz w:val="15"/>
        <w:szCs w:val="15"/>
      </w:rPr>
      <w:t xml:space="preserve">	</w:t>
    </w:r>
    <w:r>
      <w:rPr>
        <w:rFonts w:ascii="Calibri" w:cs="Calibri" w:eastAsia="Calibri" w:hAnsi="Calibri"/>
        <w:color w:val="9A9A9A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20"/>
      </w:pPr>
      <w:rPr>
        <w:rFonts w:ascii="Calibri" w:cs="Calibri" w:eastAsia="Calibri" w:hAnsi="Calibri"/>
        <w:color w:val="65B32E"/>
        <w:sz w:val="21"/>
        <w:szCs w:val="21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D2D2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Strona 10 – E-commerce, 3PL i fulfillment</dc:title>
  <dc:creator>crear agency</dc:creator>
  <dc:description>Treść makiety branżowej PPWR v14 do recenzji</dc:description>
  <cp:lastModifiedBy>Un-named</cp:lastModifiedBy>
  <cp:revision>1</cp:revision>
  <dcterms:created xsi:type="dcterms:W3CDTF">2026-07-20T12:21:56.502Z</dcterms:created>
  <dcterms:modified xsi:type="dcterms:W3CDTF">2026-07-20T12:21:56.502Z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