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159C" w14:textId="77777777" w:rsidR="00232517" w:rsidRDefault="00147E3B">
      <w:pPr>
        <w:spacing w:after="60"/>
      </w:pPr>
      <w:r>
        <w:rPr>
          <w:b/>
          <w:bCs/>
          <w:color w:val="1D1D1D"/>
          <w:sz w:val="40"/>
          <w:szCs w:val="40"/>
        </w:rPr>
        <w:t xml:space="preserve">Strona 01 – Motoryzacja i </w:t>
      </w:r>
      <w:proofErr w:type="spellStart"/>
      <w:r>
        <w:rPr>
          <w:b/>
          <w:bCs/>
          <w:color w:val="1D1D1D"/>
          <w:sz w:val="40"/>
          <w:szCs w:val="40"/>
        </w:rPr>
        <w:t>automotive</w:t>
      </w:r>
      <w:proofErr w:type="spellEnd"/>
    </w:p>
    <w:p w14:paraId="00B0CF3A" w14:textId="77777777" w:rsidR="00232517" w:rsidRDefault="00147E3B">
      <w:pPr>
        <w:spacing w:after="30"/>
      </w:pPr>
      <w:r>
        <w:rPr>
          <w:color w:val="717171"/>
          <w:sz w:val="17"/>
          <w:szCs w:val="17"/>
        </w:rPr>
        <w:t>Makieta v14 · /</w:t>
      </w:r>
      <w:proofErr w:type="spellStart"/>
      <w:r>
        <w:rPr>
          <w:color w:val="717171"/>
          <w:sz w:val="17"/>
          <w:szCs w:val="17"/>
        </w:rPr>
        <w:t>branzowe</w:t>
      </w:r>
      <w:proofErr w:type="spellEnd"/>
      <w:r>
        <w:rPr>
          <w:color w:val="717171"/>
          <w:sz w:val="17"/>
          <w:szCs w:val="17"/>
        </w:rPr>
        <w:t>/</w:t>
      </w:r>
      <w:proofErr w:type="spellStart"/>
      <w:r>
        <w:rPr>
          <w:color w:val="717171"/>
          <w:sz w:val="17"/>
          <w:szCs w:val="17"/>
        </w:rPr>
        <w:t>przemysl-motoryzacyjny-i-automotive</w:t>
      </w:r>
      <w:proofErr w:type="spellEnd"/>
      <w:r>
        <w:rPr>
          <w:color w:val="717171"/>
          <w:sz w:val="17"/>
          <w:szCs w:val="17"/>
        </w:rPr>
        <w:t>/</w:t>
      </w:r>
    </w:p>
    <w:p w14:paraId="1A0A9779" w14:textId="77777777" w:rsidR="00232517" w:rsidRDefault="00147E3B">
      <w:pPr>
        <w:spacing w:after="30"/>
      </w:pPr>
      <w:r>
        <w:rPr>
          <w:color w:val="717171"/>
          <w:sz w:val="17"/>
          <w:szCs w:val="17"/>
        </w:rPr>
        <w:t>Persona: Dyrektor Logistyki tier-1</w:t>
      </w:r>
    </w:p>
    <w:p w14:paraId="2361C7AA" w14:textId="77777777" w:rsidR="00232517" w:rsidRDefault="00147E3B">
      <w:pPr>
        <w:spacing w:after="140"/>
      </w:pPr>
      <w:r>
        <w:rPr>
          <w:color w:val="717171"/>
          <w:sz w:val="17"/>
          <w:szCs w:val="17"/>
        </w:rPr>
        <w:t>Główna fraza: opakowania dla przemysłu motoryzacyjnego</w:t>
      </w:r>
    </w:p>
    <w:p w14:paraId="79358767" w14:textId="77777777" w:rsidR="00232517" w:rsidRDefault="00147E3B">
      <w:pPr>
        <w:pBdr>
          <w:top w:val="single" w:sz="6" w:space="10" w:color="DEDEDE"/>
        </w:pBdr>
        <w:spacing w:after="120"/>
      </w:pPr>
      <w:r>
        <w:rPr>
          <w:i/>
          <w:iCs/>
          <w:color w:val="717171"/>
          <w:sz w:val="17"/>
          <w:szCs w:val="17"/>
        </w:rPr>
        <w:t>Dokument zawiera treść makiety do recenzji. Komentarze prosimy nanosić bezpośrednio w pliku.</w:t>
      </w:r>
    </w:p>
    <w:p w14:paraId="15987D48" w14:textId="77777777" w:rsidR="00232517" w:rsidRDefault="00232517">
      <w:pPr>
        <w:pBdr>
          <w:bottom w:val="single" w:sz="6" w:space="2" w:color="DEDEDE"/>
        </w:pBdr>
        <w:spacing w:before="120" w:after="260"/>
      </w:pPr>
    </w:p>
    <w:p w14:paraId="160B02F5" w14:textId="77777777" w:rsidR="00232517" w:rsidRDefault="00147E3B">
      <w:pPr>
        <w:pStyle w:val="Nagwek1"/>
        <w:spacing w:before="120" w:after="160"/>
      </w:pPr>
      <w:r>
        <w:rPr>
          <w:b/>
          <w:bCs/>
          <w:color w:val="1D1D1D"/>
        </w:rPr>
        <w:t>Opakowania dla przemysłu motoryzacyjnego</w:t>
      </w:r>
    </w:p>
    <w:p w14:paraId="3F7D35A3" w14:textId="77777777" w:rsidR="00232517" w:rsidRDefault="00147E3B">
      <w:pPr>
        <w:spacing w:after="200" w:line="276" w:lineRule="auto"/>
      </w:pPr>
      <w:r>
        <w:rPr>
          <w:color w:val="434343"/>
          <w:sz w:val="23"/>
          <w:szCs w:val="23"/>
        </w:rPr>
        <w:t xml:space="preserve">Pojemniki KLT i skrzynki VDA 4500 dla polskich dostawców </w:t>
      </w:r>
      <w:proofErr w:type="spellStart"/>
      <w:r>
        <w:rPr>
          <w:color w:val="434343"/>
          <w:sz w:val="23"/>
          <w:szCs w:val="23"/>
        </w:rPr>
        <w:t>tier</w:t>
      </w:r>
      <w:proofErr w:type="spellEnd"/>
      <w:r>
        <w:rPr>
          <w:color w:val="434343"/>
          <w:sz w:val="23"/>
          <w:szCs w:val="23"/>
        </w:rPr>
        <w:t xml:space="preserve"> 1/2/3 realizujących dostawy do producentów samochodów (OEM) w regionie DACH i UE. Branża z rozwiniętym obiegiem zamkniętym opakowań zwrotnych – dobrze umocowana wobec wymogów PPWR.</w:t>
      </w:r>
    </w:p>
    <w:p w14:paraId="417F96BD" w14:textId="77777777" w:rsidR="00232517" w:rsidRDefault="00147E3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Przyciski: </w:t>
      </w:r>
      <w:r>
        <w:rPr>
          <w:color w:val="717171"/>
          <w:sz w:val="17"/>
          <w:szCs w:val="17"/>
        </w:rPr>
        <w:t>Zapytaj eksperta  ·  Przeprowadź audyt PPWR</w:t>
      </w:r>
    </w:p>
    <w:p w14:paraId="56C6B969" w14:textId="77777777" w:rsidR="00232517" w:rsidRDefault="00147E3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NAJWAŻNIEJSZE</w:t>
      </w:r>
    </w:p>
    <w:p w14:paraId="20C3C870" w14:textId="77777777" w:rsidR="00232517" w:rsidRDefault="00147E3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Kluczowe wnioski</w:t>
      </w:r>
    </w:p>
    <w:p w14:paraId="11ED3B9E" w14:textId="77777777" w:rsidR="00232517" w:rsidRDefault="00147E3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Automotive to jedna z najlepiej przygotowanych na PPWR branż w Polsce.</w:t>
      </w:r>
      <w:r>
        <w:t xml:space="preserve"> Producenci samochodów w regionie DACH od dawna stosują opakowania zwrotne w obiegu zamkniętym (</w:t>
      </w:r>
      <w:proofErr w:type="spellStart"/>
      <w:r>
        <w:t>closed-loop</w:t>
      </w:r>
      <w:proofErr w:type="spellEnd"/>
      <w:r>
        <w:t xml:space="preserve"> RTP) w standardzie VDA.</w:t>
      </w:r>
    </w:p>
    <w:p w14:paraId="5514E873" w14:textId="77777777" w:rsidR="00232517" w:rsidRDefault="00147E3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Standard VDA 4500</w:t>
      </w:r>
      <w:r>
        <w:t xml:space="preserve"> definiuje wymiary pojemników KLT (moduły podstawy 297×198, 396×297 i 594×396 mm) – standard powszechnie wymagany przez producentów samochodów od dostawców.</w:t>
      </w:r>
    </w:p>
    <w:p w14:paraId="3978E009" w14:textId="6D37932E" w:rsidR="00147E3B" w:rsidRPr="00147E3B" w:rsidRDefault="00147E3B">
      <w:pPr>
        <w:pStyle w:val="Akapitzlist"/>
        <w:numPr>
          <w:ilvl w:val="0"/>
          <w:numId w:val="2"/>
        </w:numPr>
        <w:spacing w:after="120" w:line="264" w:lineRule="auto"/>
      </w:pPr>
      <w:r w:rsidRPr="00147E3B">
        <w:rPr>
          <w:b/>
          <w:bCs/>
          <w:color w:val="1D1D1D"/>
        </w:rPr>
        <w:t xml:space="preserve">Producenci samochodów oraz operatorzy logistyczni wykorzystują systemy </w:t>
      </w:r>
      <w:proofErr w:type="spellStart"/>
      <w:r w:rsidRPr="00147E3B">
        <w:rPr>
          <w:b/>
          <w:bCs/>
          <w:color w:val="1D1D1D"/>
        </w:rPr>
        <w:t>poolingu</w:t>
      </w:r>
      <w:proofErr w:type="spellEnd"/>
      <w:r w:rsidRPr="00147E3B">
        <w:rPr>
          <w:b/>
          <w:bCs/>
          <w:color w:val="1D1D1D"/>
        </w:rPr>
        <w:t xml:space="preserve"> opakowań zwrotnych (RTP), </w:t>
      </w:r>
      <w:r w:rsidRPr="00147E3B">
        <w:rPr>
          <w:color w:val="1D1D1D"/>
        </w:rPr>
        <w:t xml:space="preserve">do których dostosowują się dostawcy </w:t>
      </w:r>
      <w:proofErr w:type="spellStart"/>
      <w:r w:rsidRPr="00147E3B">
        <w:rPr>
          <w:color w:val="1D1D1D"/>
        </w:rPr>
        <w:t>tier</w:t>
      </w:r>
      <w:proofErr w:type="spellEnd"/>
      <w:r w:rsidRPr="00147E3B">
        <w:rPr>
          <w:color w:val="1D1D1D"/>
        </w:rPr>
        <w:t xml:space="preserve"> 2/3</w:t>
      </w:r>
      <w:r>
        <w:rPr>
          <w:color w:val="1D1D1D"/>
        </w:rPr>
        <w:t>.</w:t>
      </w:r>
    </w:p>
    <w:p w14:paraId="42FBCFE3" w14:textId="22B29E8A" w:rsidR="00232517" w:rsidRDefault="00147E3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To temat zgodności (</w:t>
      </w:r>
      <w:proofErr w:type="spellStart"/>
      <w:r>
        <w:rPr>
          <w:b/>
          <w:bCs/>
          <w:color w:val="1D1D1D"/>
        </w:rPr>
        <w:t>compliance</w:t>
      </w:r>
      <w:proofErr w:type="spellEnd"/>
      <w:r>
        <w:rPr>
          <w:b/>
          <w:bCs/>
          <w:color w:val="1D1D1D"/>
        </w:rPr>
        <w:t>), a nie palący problem operacyjny.</w:t>
      </w:r>
      <w:r>
        <w:t xml:space="preserve"> Branża potrzebuje doskonalenia operacyjnego – ograniczenia uszkodzeń, optymalizacji cykli i integracji z systemami magazynowymi odbiorców.</w:t>
      </w:r>
    </w:p>
    <w:p w14:paraId="51630D7B" w14:textId="77777777" w:rsidR="00232517" w:rsidRDefault="00147E3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WYZWANIA</w:t>
      </w:r>
    </w:p>
    <w:p w14:paraId="6009159A" w14:textId="77777777" w:rsidR="00232517" w:rsidRDefault="00147E3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T</w:t>
      </w:r>
      <w:r>
        <w:rPr>
          <w:b/>
          <w:bCs/>
          <w:color w:val="427718"/>
          <w:sz w:val="27"/>
          <w:szCs w:val="27"/>
        </w:rPr>
        <w:t>rzy wyzwania, na które odpowiadamy konkretnie</w:t>
      </w:r>
    </w:p>
    <w:p w14:paraId="578EA0B1" w14:textId="77777777" w:rsidR="00232517" w:rsidRDefault="00147E3B">
      <w:pPr>
        <w:spacing w:after="180" w:line="264" w:lineRule="auto"/>
      </w:pPr>
      <w:r>
        <w:t xml:space="preserve">Pokazujemy, jak dobieramy opakowania dla przemysłu motoryzacyjnego pod kątem najczęstszych wymagań dostawców </w:t>
      </w:r>
      <w:proofErr w:type="spellStart"/>
      <w:r>
        <w:t>tier</w:t>
      </w:r>
      <w:proofErr w:type="spellEnd"/>
      <w:r>
        <w:t xml:space="preserve"> 1/2/3 do OEM-ów.</w:t>
      </w:r>
    </w:p>
    <w:p w14:paraId="15B787C9" w14:textId="77777777" w:rsidR="00232517" w:rsidRDefault="00147E3B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Zgodność z VDA 4500 i systemami odbiorcy</w:t>
      </w:r>
    </w:p>
    <w:p w14:paraId="3CE0E98F" w14:textId="5DC22C3E" w:rsidR="00232517" w:rsidRDefault="00147E3B">
      <w:pPr>
        <w:spacing w:after="90" w:line="264" w:lineRule="auto"/>
      </w:pPr>
      <w:r w:rsidRPr="00147E3B">
        <w:t>Odbiorcy OEM zazwyczaj wymagają precyzyjnych wymiarów zgodnych z VDA 4500 oraz znakowania zgodnego z własnymi standardami logistycznymi.</w:t>
      </w:r>
      <w:r>
        <w:t xml:space="preserve"> </w:t>
      </w:r>
      <w:r>
        <w:t>Pojemnik niezgodny ze standardem może zostać odrzucony.</w:t>
      </w:r>
    </w:p>
    <w:p w14:paraId="1B6CEDFD" w14:textId="77777777" w:rsidR="00232517" w:rsidRDefault="00147E3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VDA-RL-KLT 6280 – VDA 4500 · 594×396×280 mm</w:t>
      </w:r>
    </w:p>
    <w:p w14:paraId="3CF2D0FC" w14:textId="77777777" w:rsidR="00232517" w:rsidRDefault="00147E3B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02. ESD – komponenty elektroniczne (rosnący udział w aucie)</w:t>
      </w:r>
    </w:p>
    <w:p w14:paraId="4A4837BA" w14:textId="77777777" w:rsidR="00232517" w:rsidRDefault="00147E3B">
      <w:pPr>
        <w:spacing w:after="90" w:line="264" w:lineRule="auto"/>
      </w:pPr>
      <w:r>
        <w:t>Rosnąca liczba komponentów elektronicznych zwiększa zapotrzebowanie na opakowania antystatyczne. Każdy element wrażliwy na wyładowania elektrostatyczne (ESD) wymaga odpowiedniej ochrony podczas magazynowania i transportu.</w:t>
      </w:r>
    </w:p>
    <w:p w14:paraId="4F8EAECA" w14:textId="77777777" w:rsidR="00232517" w:rsidRDefault="00147E3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r>
        <w:rPr>
          <w:color w:val="717171"/>
          <w:sz w:val="17"/>
          <w:szCs w:val="17"/>
        </w:rPr>
        <w:t>Pojemnik EURO-NORM ESD – IEC 61340-5-1</w:t>
      </w:r>
    </w:p>
    <w:p w14:paraId="2FD45B84" w14:textId="77777777" w:rsidR="00232517" w:rsidRDefault="00147E3B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lastRenderedPageBreak/>
        <w:t>03. Optymalizacja kosztów i automatyzacja</w:t>
      </w:r>
    </w:p>
    <w:p w14:paraId="00C7B285" w14:textId="77777777" w:rsidR="00232517" w:rsidRDefault="00147E3B">
      <w:pPr>
        <w:spacing w:after="90" w:line="264" w:lineRule="auto"/>
      </w:pPr>
      <w:r>
        <w:t>Stała presja OEM na redukcję kosztów i integrację z AKL/</w:t>
      </w:r>
      <w:proofErr w:type="spellStart"/>
      <w:r>
        <w:t>shuttle</w:t>
      </w:r>
      <w:proofErr w:type="spellEnd"/>
      <w:r>
        <w:t xml:space="preserve"> w zakładach tier-1. Pojemniki muszą wytrzymać wieloletnią rotację w intensywnym obiegu.</w:t>
      </w:r>
    </w:p>
    <w:p w14:paraId="08184A72" w14:textId="77777777" w:rsidR="00232517" w:rsidRDefault="00147E3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Produkt: </w:t>
      </w:r>
      <w:proofErr w:type="spellStart"/>
      <w:r>
        <w:rPr>
          <w:color w:val="717171"/>
          <w:sz w:val="17"/>
          <w:szCs w:val="17"/>
        </w:rPr>
        <w:t>silverline</w:t>
      </w:r>
      <w:proofErr w:type="spellEnd"/>
      <w:r>
        <w:rPr>
          <w:color w:val="717171"/>
          <w:sz w:val="17"/>
          <w:szCs w:val="17"/>
        </w:rPr>
        <w:t xml:space="preserve"> / </w:t>
      </w:r>
      <w:proofErr w:type="spellStart"/>
      <w:r>
        <w:rPr>
          <w:color w:val="717171"/>
          <w:sz w:val="17"/>
          <w:szCs w:val="17"/>
        </w:rPr>
        <w:t>contecline</w:t>
      </w:r>
      <w:proofErr w:type="spellEnd"/>
      <w:r>
        <w:rPr>
          <w:color w:val="717171"/>
          <w:sz w:val="17"/>
          <w:szCs w:val="17"/>
        </w:rPr>
        <w:t xml:space="preserve"> – AKL · </w:t>
      </w:r>
      <w:proofErr w:type="spellStart"/>
      <w:r>
        <w:rPr>
          <w:color w:val="717171"/>
          <w:sz w:val="17"/>
          <w:szCs w:val="17"/>
        </w:rPr>
        <w:t>shuttle</w:t>
      </w:r>
      <w:proofErr w:type="spellEnd"/>
      <w:r>
        <w:rPr>
          <w:color w:val="717171"/>
          <w:sz w:val="17"/>
          <w:szCs w:val="17"/>
        </w:rPr>
        <w:t xml:space="preserve"> · </w:t>
      </w:r>
      <w:proofErr w:type="spellStart"/>
      <w:r>
        <w:rPr>
          <w:color w:val="717171"/>
          <w:sz w:val="17"/>
          <w:szCs w:val="17"/>
        </w:rPr>
        <w:t>miniload</w:t>
      </w:r>
      <w:proofErr w:type="spellEnd"/>
    </w:p>
    <w:p w14:paraId="26ECBEC0" w14:textId="77777777" w:rsidR="00232517" w:rsidRDefault="00147E3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PRODUKTY</w:t>
      </w:r>
    </w:p>
    <w:p w14:paraId="635E87BA" w14:textId="77777777" w:rsidR="00232517" w:rsidRDefault="00147E3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 xml:space="preserve">Pojemniki dla </w:t>
      </w:r>
      <w:proofErr w:type="spellStart"/>
      <w:r>
        <w:rPr>
          <w:b/>
          <w:bCs/>
          <w:color w:val="427718"/>
          <w:sz w:val="27"/>
          <w:szCs w:val="27"/>
        </w:rPr>
        <w:t>automotive</w:t>
      </w:r>
      <w:proofErr w:type="spellEnd"/>
    </w:p>
    <w:p w14:paraId="3C89E710" w14:textId="77777777" w:rsidR="00232517" w:rsidRDefault="00147E3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RL-KLT 6280</w:t>
      </w:r>
      <w:r>
        <w:t xml:space="preserve"> – Pojemnik KLT/VDA dla </w:t>
      </w:r>
      <w:proofErr w:type="spellStart"/>
      <w:r>
        <w:t>tier</w:t>
      </w:r>
      <w:proofErr w:type="spellEnd"/>
      <w:r>
        <w:t xml:space="preserve"> 1/2/3</w:t>
      </w:r>
    </w:p>
    <w:p w14:paraId="117235F8" w14:textId="77777777" w:rsidR="00232517" w:rsidRDefault="00147E3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KLT / VDA</w:t>
      </w:r>
      <w:r>
        <w:t xml:space="preserve"> – Flagowa rodzina pojemników w standardzie VDA 4500</w:t>
      </w:r>
    </w:p>
    <w:p w14:paraId="658D26CF" w14:textId="77777777" w:rsidR="00232517" w:rsidRDefault="00147E3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EURO-NORM ESD</w:t>
      </w:r>
      <w:r>
        <w:t xml:space="preserve"> – Antystatyczne wg IEC 61340-5-1 – komponenty elektroniczne</w:t>
      </w:r>
    </w:p>
    <w:p w14:paraId="7316CA7B" w14:textId="77777777" w:rsidR="00232517" w:rsidRDefault="00147E3B">
      <w:pPr>
        <w:pStyle w:val="Akapitzlist"/>
        <w:numPr>
          <w:ilvl w:val="0"/>
          <w:numId w:val="2"/>
        </w:numPr>
        <w:spacing w:after="120" w:line="264" w:lineRule="auto"/>
      </w:pPr>
      <w:proofErr w:type="spellStart"/>
      <w:r>
        <w:rPr>
          <w:b/>
          <w:bCs/>
          <w:color w:val="1D1D1D"/>
        </w:rPr>
        <w:t>silverline</w:t>
      </w:r>
      <w:proofErr w:type="spellEnd"/>
      <w:r>
        <w:t xml:space="preserve"> – AKL i </w:t>
      </w:r>
      <w:proofErr w:type="spellStart"/>
      <w:r>
        <w:t>shuttle</w:t>
      </w:r>
      <w:proofErr w:type="spellEnd"/>
      <w:r>
        <w:t xml:space="preserve"> – precyzyjne wymiary zgodne z EURO-NORM</w:t>
      </w:r>
    </w:p>
    <w:p w14:paraId="4C62D77B" w14:textId="77777777" w:rsidR="00232517" w:rsidRDefault="00147E3B">
      <w:pPr>
        <w:pStyle w:val="Akapitzlist"/>
        <w:numPr>
          <w:ilvl w:val="0"/>
          <w:numId w:val="2"/>
        </w:numPr>
        <w:spacing w:after="120" w:line="264" w:lineRule="auto"/>
      </w:pPr>
      <w:proofErr w:type="spellStart"/>
      <w:r>
        <w:rPr>
          <w:b/>
          <w:bCs/>
          <w:color w:val="1D1D1D"/>
        </w:rPr>
        <w:t>contecline</w:t>
      </w:r>
      <w:proofErr w:type="spellEnd"/>
      <w:r>
        <w:t xml:space="preserve"> – Magazyny automatyczne i wysokie obciążenia</w:t>
      </w:r>
    </w:p>
    <w:p w14:paraId="06F15AD6" w14:textId="77777777" w:rsidR="00232517" w:rsidRDefault="00147E3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Palety Euro</w:t>
      </w:r>
      <w:r>
        <w:t xml:space="preserve"> – Plastikowe – nie wymagają obróbki ISPM-15 (eksport)</w:t>
      </w:r>
    </w:p>
    <w:p w14:paraId="74366C5A" w14:textId="77777777" w:rsidR="00232517" w:rsidRDefault="00147E3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PPWR · COMPLIANCE</w:t>
      </w:r>
    </w:p>
    <w:p w14:paraId="66E7A3C4" w14:textId="77777777" w:rsidR="00232517" w:rsidRDefault="00147E3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 xml:space="preserve">PPWR a </w:t>
      </w:r>
      <w:proofErr w:type="spellStart"/>
      <w:r>
        <w:rPr>
          <w:b/>
          <w:bCs/>
          <w:color w:val="427718"/>
          <w:sz w:val="27"/>
          <w:szCs w:val="27"/>
        </w:rPr>
        <w:t>automotive</w:t>
      </w:r>
      <w:proofErr w:type="spellEnd"/>
      <w:r>
        <w:rPr>
          <w:b/>
          <w:bCs/>
          <w:color w:val="427718"/>
          <w:sz w:val="27"/>
          <w:szCs w:val="27"/>
        </w:rPr>
        <w:t xml:space="preserve"> – jesteś kilka kroków przed regulacją</w:t>
      </w:r>
    </w:p>
    <w:p w14:paraId="5F8285C5" w14:textId="77777777" w:rsidR="00232517" w:rsidRDefault="00147E3B">
      <w:pPr>
        <w:spacing w:after="180" w:line="264" w:lineRule="auto"/>
      </w:pPr>
      <w:r>
        <w:t xml:space="preserve">Polska branża </w:t>
      </w:r>
      <w:proofErr w:type="spellStart"/>
      <w:r>
        <w:t>automotive</w:t>
      </w:r>
      <w:proofErr w:type="spellEnd"/>
      <w:r>
        <w:t xml:space="preserve"> (głównie jako dostawca tier-1/tier-2 do OEM-ów w regionie DACH i UE) jest jednym z lepiej przygotowanych sektorów na PPWR. VDA już dawno zdefiniowała standaryzowany system pojemników KLT, przeznaczonych do wspólnego obiegu między uczestnikami łańcucha dostaw, a w transporcie części dominuje dziś obieg zamknięty (RTP).</w:t>
      </w:r>
    </w:p>
    <w:p w14:paraId="2D52C22A" w14:textId="77777777" w:rsidR="00232517" w:rsidRDefault="00147E3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29 ust. 2</w:t>
      </w:r>
      <w:r>
        <w:t xml:space="preserve"> – PPWR przewiduje, że od 2030 r. opakowania transportowe w obiegu między zakładami tego samego przedsiębiorstwa lub przedsiębiorstw powiązanych będą opakowaniami wielokrotnego użytku – branża </w:t>
      </w:r>
      <w:proofErr w:type="spellStart"/>
      <w:r>
        <w:t>automotive</w:t>
      </w:r>
      <w:proofErr w:type="spellEnd"/>
      <w:r>
        <w:t xml:space="preserve"> w dużej mierze już to spełnia.</w:t>
      </w:r>
    </w:p>
    <w:p w14:paraId="5AEF98CD" w14:textId="77777777" w:rsidR="00232517" w:rsidRDefault="00147E3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29 ust. 1</w:t>
      </w:r>
      <w:r>
        <w:t xml:space="preserve"> – Co najmniej 40% ponownego użycia opakowań transportowych do 2030 r. i 70% do 2040 r. – obowiązek spoczywa na podmiotach stosujących opakowania transportowe.</w:t>
      </w:r>
    </w:p>
    <w:p w14:paraId="34C5DE9E" w14:textId="77777777" w:rsidR="00232517" w:rsidRDefault="00147E3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Art. 5 PFAS</w:t>
      </w:r>
      <w:r>
        <w:t xml:space="preserve"> – Ograniczenie PFAS w opakowaniach mających kontakt z żywnością – stosowane od 12 sierpnia 2026 r. Dla </w:t>
      </w:r>
      <w:proofErr w:type="spellStart"/>
      <w:r>
        <w:t>automotive</w:t>
      </w:r>
      <w:proofErr w:type="spellEnd"/>
      <w:r>
        <w:t xml:space="preserve"> znaczenie marginalne – ograniczenie dotyczy wyłącznie opakowań przeznaczonych do kontaktu z żywnością.</w:t>
      </w:r>
    </w:p>
    <w:p w14:paraId="25FA2DB0" w14:textId="77777777" w:rsidR="00232517" w:rsidRDefault="00147E3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Etykiety</w:t>
      </w:r>
      <w:r>
        <w:t xml:space="preserve"> – Zharmonizowane oznakowanie opakowań (piktogramy, a dla informacji rozszerzonych cyfrowy nośnik danych) wprowadzane przez PPWR – zgodnie z harmonogramem określonym w art. 12 i aktach wykonawczych. Pojemniki przygotowane pod RFID ułatwiają integrację.</w:t>
      </w:r>
    </w:p>
    <w:p w14:paraId="09B78E0F" w14:textId="77777777" w:rsidR="00232517" w:rsidRDefault="00147E3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NASTĘPNE KROKI</w:t>
      </w:r>
    </w:p>
    <w:p w14:paraId="61D1961C" w14:textId="77777777" w:rsidR="00232517" w:rsidRDefault="00147E3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Co możesz zrobić już teraz</w:t>
      </w:r>
    </w:p>
    <w:p w14:paraId="4078A702" w14:textId="77777777" w:rsidR="00232517" w:rsidRDefault="00147E3B">
      <w:pPr>
        <w:pBdr>
          <w:left w:val="single" w:sz="18" w:space="14" w:color="65B32E"/>
        </w:pBdr>
        <w:spacing w:before="160" w:after="60" w:line="264" w:lineRule="auto"/>
        <w:ind w:left="340"/>
      </w:pPr>
      <w:r>
        <w:rPr>
          <w:i/>
          <w:iCs/>
          <w:color w:val="434343"/>
        </w:rPr>
        <w:t>Sektor motoryzacyjny należy do najbardziej zaawansowanych w stosowaniu opakowań zwrotnych – standardem są pojemniki KLT w obiegu zamkniętym (VDA 4500). PPWR przewiduje cele ponownego użycia opakowań transportowych: co najmniej 40% do 2030 r. i 70% do 2040 r.</w:t>
      </w:r>
    </w:p>
    <w:p w14:paraId="6FABD4B6" w14:textId="77777777" w:rsidR="00232517" w:rsidRDefault="00147E3B">
      <w:pPr>
        <w:spacing w:after="220"/>
        <w:ind w:left="340"/>
      </w:pPr>
      <w:r>
        <w:rPr>
          <w:color w:val="9A9A9A"/>
          <w:sz w:val="16"/>
          <w:szCs w:val="16"/>
        </w:rPr>
        <w:t>zgodnie z rozporządzeniem (UE) 2025/40 Parlamentu Europejskiego i Rady z dnia 19 grudnia 2024 r. w sprawie opakowań i odpadów opakowaniowych (PPWR)</w:t>
      </w:r>
    </w:p>
    <w:p w14:paraId="2E0C33EB" w14:textId="77777777" w:rsidR="00232517" w:rsidRDefault="00147E3B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01. Przeprowadź audyt PPWR</w:t>
      </w:r>
    </w:p>
    <w:p w14:paraId="25308422" w14:textId="77777777" w:rsidR="00232517" w:rsidRDefault="00147E3B">
      <w:pPr>
        <w:spacing w:after="90" w:line="264" w:lineRule="auto"/>
      </w:pPr>
      <w:r>
        <w:lastRenderedPageBreak/>
        <w:t xml:space="preserve">Sprawdź gotowość dostawcy </w:t>
      </w:r>
      <w:proofErr w:type="spellStart"/>
      <w:r>
        <w:t>tier</w:t>
      </w:r>
      <w:proofErr w:type="spellEnd"/>
      <w:r>
        <w:t xml:space="preserve"> 1/2/3 w kilka minut.</w:t>
      </w:r>
    </w:p>
    <w:p w14:paraId="5149C3F3" w14:textId="77777777" w:rsidR="00232517" w:rsidRDefault="00147E3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Przejdź do audytu</w:t>
      </w:r>
    </w:p>
    <w:p w14:paraId="15EF1294" w14:textId="77777777" w:rsidR="00232517" w:rsidRDefault="00147E3B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02. Oblicz koszt PPWR</w:t>
      </w:r>
    </w:p>
    <w:p w14:paraId="0FA86E51" w14:textId="77777777" w:rsidR="00232517" w:rsidRDefault="00147E3B">
      <w:pPr>
        <w:spacing w:after="90" w:line="264" w:lineRule="auto"/>
      </w:pPr>
      <w:r>
        <w:t>Porównaj opakowania jednorazowe ze zwrotnymi pojemnikami KLT/VDA i zobacz próg rentowności.</w:t>
      </w:r>
    </w:p>
    <w:p w14:paraId="4B9CD5E4" w14:textId="77777777" w:rsidR="00232517" w:rsidRDefault="00147E3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Otwórz kalkulator</w:t>
      </w:r>
    </w:p>
    <w:p w14:paraId="5AC67C12" w14:textId="77777777" w:rsidR="00232517" w:rsidRDefault="00147E3B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t>03. Przeczytaj artykuł</w:t>
      </w:r>
    </w:p>
    <w:p w14:paraId="0B929C21" w14:textId="77777777" w:rsidR="00232517" w:rsidRDefault="00147E3B">
      <w:pPr>
        <w:spacing w:after="90" w:line="264" w:lineRule="auto"/>
      </w:pPr>
      <w:r>
        <w:t xml:space="preserve">PPWR w </w:t>
      </w:r>
      <w:proofErr w:type="spellStart"/>
      <w:r>
        <w:t>automotive</w:t>
      </w:r>
      <w:proofErr w:type="spellEnd"/>
      <w:r>
        <w:t xml:space="preserve"> – VDA-KLT i </w:t>
      </w:r>
      <w:proofErr w:type="spellStart"/>
      <w:r>
        <w:t>pooling</w:t>
      </w:r>
      <w:proofErr w:type="spellEnd"/>
      <w:r>
        <w:t xml:space="preserve"> u OEM-ów (</w:t>
      </w:r>
      <w:proofErr w:type="spellStart"/>
      <w:r>
        <w:t>tier</w:t>
      </w:r>
      <w:proofErr w:type="spellEnd"/>
      <w:r>
        <w:t xml:space="preserve"> 1/2/3).</w:t>
      </w:r>
    </w:p>
    <w:p w14:paraId="127C4C72" w14:textId="77777777" w:rsidR="00232517" w:rsidRDefault="00147E3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Czytaj artykuł</w:t>
      </w:r>
    </w:p>
    <w:p w14:paraId="458D7C91" w14:textId="77777777" w:rsidR="00232517" w:rsidRDefault="00147E3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CASE STUDIES</w:t>
      </w:r>
    </w:p>
    <w:p w14:paraId="5FF0A7A2" w14:textId="77777777" w:rsidR="00232517" w:rsidRDefault="00147E3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 xml:space="preserve">Opakowania wielokrotnego użytku we wdrożeniach </w:t>
      </w:r>
      <w:proofErr w:type="spellStart"/>
      <w:r>
        <w:rPr>
          <w:b/>
          <w:bCs/>
          <w:color w:val="427718"/>
          <w:sz w:val="27"/>
          <w:szCs w:val="27"/>
        </w:rPr>
        <w:t>bekuplast</w:t>
      </w:r>
      <w:proofErr w:type="spellEnd"/>
    </w:p>
    <w:p w14:paraId="2E5BCD57" w14:textId="77777777" w:rsidR="00232517" w:rsidRDefault="00147E3B">
      <w:pPr>
        <w:spacing w:after="180" w:line="264" w:lineRule="auto"/>
      </w:pPr>
      <w:r>
        <w:t>Każde wdrożenie to osobna historia naszego Klienta. Indywidualne wymagania, do których dopasowujemy optymalne rozwiązania.</w:t>
      </w:r>
    </w:p>
    <w:p w14:paraId="12E15421" w14:textId="77777777" w:rsidR="00232517" w:rsidRDefault="00147E3B">
      <w:pPr>
        <w:spacing w:before="180" w:after="60"/>
      </w:pPr>
      <w:r>
        <w:rPr>
          <w:b/>
          <w:bCs/>
          <w:color w:val="1D1D1D"/>
          <w:sz w:val="23"/>
          <w:szCs w:val="23"/>
        </w:rPr>
        <w:t>ROSSMANN</w:t>
      </w:r>
    </w:p>
    <w:p w14:paraId="69654170" w14:textId="77777777" w:rsidR="00232517" w:rsidRDefault="00147E3B">
      <w:pPr>
        <w:spacing w:after="60" w:line="264" w:lineRule="auto"/>
      </w:pPr>
      <w:proofErr w:type="spellStart"/>
      <w:r>
        <w:t>Intralogistyka</w:t>
      </w:r>
      <w:proofErr w:type="spellEnd"/>
      <w:r>
        <w:t xml:space="preserve"> sieci drogerii (DE) – pojemniki obiegowe w magazynie centralnym.</w:t>
      </w:r>
    </w:p>
    <w:p w14:paraId="6C8C6284" w14:textId="77777777" w:rsidR="00232517" w:rsidRDefault="00147E3B">
      <w:pPr>
        <w:spacing w:after="160"/>
        <w:ind w:left="240"/>
      </w:pPr>
      <w:r>
        <w:rPr>
          <w:color w:val="717171"/>
          <w:sz w:val="17"/>
          <w:szCs w:val="17"/>
        </w:rPr>
        <w:t>2025  ·  160 000 pojemników</w:t>
      </w:r>
    </w:p>
    <w:p w14:paraId="60AC5351" w14:textId="77777777" w:rsidR="00232517" w:rsidRDefault="00147E3B">
      <w:pPr>
        <w:spacing w:before="180" w:after="60"/>
      </w:pPr>
      <w:proofErr w:type="spellStart"/>
      <w:r>
        <w:rPr>
          <w:b/>
          <w:bCs/>
          <w:color w:val="1D1D1D"/>
          <w:sz w:val="23"/>
          <w:szCs w:val="23"/>
        </w:rPr>
        <w:t>Orbico</w:t>
      </w:r>
      <w:proofErr w:type="spellEnd"/>
    </w:p>
    <w:p w14:paraId="4E0543E2" w14:textId="77777777" w:rsidR="00232517" w:rsidRDefault="00147E3B">
      <w:pPr>
        <w:spacing w:after="60" w:line="264" w:lineRule="auto"/>
      </w:pPr>
      <w:r>
        <w:t xml:space="preserve">Dystrybucja </w:t>
      </w:r>
      <w:proofErr w:type="spellStart"/>
      <w:r>
        <w:t>beauty</w:t>
      </w:r>
      <w:proofErr w:type="spellEnd"/>
      <w:r>
        <w:t xml:space="preserve"> i FMCG (PL) – pojemniki zwrotne w kompletacji zamówień.</w:t>
      </w:r>
    </w:p>
    <w:p w14:paraId="3B0A1FCD" w14:textId="77777777" w:rsidR="00232517" w:rsidRDefault="00147E3B">
      <w:pPr>
        <w:spacing w:after="160"/>
        <w:ind w:left="240"/>
      </w:pPr>
      <w:r>
        <w:rPr>
          <w:color w:val="717171"/>
          <w:sz w:val="17"/>
          <w:szCs w:val="17"/>
        </w:rPr>
        <w:t>2023  ·  46 000 pojemników</w:t>
      </w:r>
    </w:p>
    <w:p w14:paraId="0E72C821" w14:textId="77777777" w:rsidR="00232517" w:rsidRDefault="00147E3B">
      <w:pPr>
        <w:spacing w:before="180" w:after="60"/>
      </w:pPr>
      <w:r>
        <w:rPr>
          <w:b/>
          <w:bCs/>
          <w:color w:val="1D1D1D"/>
          <w:sz w:val="23"/>
          <w:szCs w:val="23"/>
        </w:rPr>
        <w:t>Onninen</w:t>
      </w:r>
    </w:p>
    <w:p w14:paraId="6474467E" w14:textId="77777777" w:rsidR="00232517" w:rsidRDefault="00147E3B">
      <w:pPr>
        <w:spacing w:after="60" w:line="264" w:lineRule="auto"/>
      </w:pPr>
      <w:r>
        <w:t xml:space="preserve">Dystrybucja materiałów budowlanych (PL) – pojemniki </w:t>
      </w:r>
      <w:proofErr w:type="spellStart"/>
      <w:r>
        <w:t>contecline</w:t>
      </w:r>
      <w:proofErr w:type="spellEnd"/>
      <w:r>
        <w:t>.</w:t>
      </w:r>
    </w:p>
    <w:p w14:paraId="5BC14BEE" w14:textId="77777777" w:rsidR="00232517" w:rsidRDefault="00147E3B">
      <w:pPr>
        <w:spacing w:after="160"/>
        <w:ind w:left="240"/>
      </w:pPr>
      <w:r>
        <w:rPr>
          <w:color w:val="717171"/>
          <w:sz w:val="17"/>
          <w:szCs w:val="17"/>
        </w:rPr>
        <w:t>2019  ·  40 000 pojemników</w:t>
      </w:r>
    </w:p>
    <w:p w14:paraId="218AC27A" w14:textId="77777777" w:rsidR="00232517" w:rsidRDefault="00147E3B">
      <w:pPr>
        <w:spacing w:before="180" w:after="60"/>
      </w:pPr>
      <w:r>
        <w:rPr>
          <w:b/>
          <w:bCs/>
          <w:color w:val="1D1D1D"/>
          <w:sz w:val="23"/>
          <w:szCs w:val="23"/>
        </w:rPr>
        <w:t>Auto Partner SA</w:t>
      </w:r>
    </w:p>
    <w:p w14:paraId="63539411" w14:textId="77777777" w:rsidR="00232517" w:rsidRDefault="00147E3B">
      <w:pPr>
        <w:spacing w:after="60" w:line="264" w:lineRule="auto"/>
      </w:pPr>
      <w:r>
        <w:t xml:space="preserve">Dystrybucja części samochodowych (PL) – </w:t>
      </w:r>
      <w:proofErr w:type="spellStart"/>
      <w:r>
        <w:t>contecline</w:t>
      </w:r>
      <w:proofErr w:type="spellEnd"/>
      <w:r>
        <w:t xml:space="preserve"> i </w:t>
      </w:r>
      <w:proofErr w:type="spellStart"/>
      <w:r>
        <w:t>silverline</w:t>
      </w:r>
      <w:proofErr w:type="spellEnd"/>
      <w:r>
        <w:t xml:space="preserve"> w obiegu zwrotnym w centrum dystrybucyjnym.</w:t>
      </w:r>
    </w:p>
    <w:p w14:paraId="18643089" w14:textId="77777777" w:rsidR="00232517" w:rsidRDefault="00147E3B">
      <w:pPr>
        <w:spacing w:after="160"/>
        <w:ind w:left="240"/>
      </w:pPr>
      <w:r>
        <w:rPr>
          <w:color w:val="717171"/>
          <w:sz w:val="17"/>
          <w:szCs w:val="17"/>
        </w:rPr>
        <w:t>2022  ·  27 000 pojemników</w:t>
      </w:r>
    </w:p>
    <w:p w14:paraId="56A6C1DF" w14:textId="77777777" w:rsidR="00232517" w:rsidRDefault="00147E3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KOSZT PPWR</w:t>
      </w:r>
    </w:p>
    <w:p w14:paraId="56687A80" w14:textId="77777777" w:rsidR="00232517" w:rsidRDefault="00147E3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Koszt przejścia na opakowania wielokrotnego użytku</w:t>
      </w:r>
    </w:p>
    <w:p w14:paraId="01306F53" w14:textId="77777777" w:rsidR="00232517" w:rsidRDefault="00147E3B">
      <w:pPr>
        <w:spacing w:after="180" w:line="264" w:lineRule="auto"/>
      </w:pPr>
      <w:r>
        <w:t xml:space="preserve">Porównaj koszt opakowań jednorazowych ze zwrotnymi pojemnikami KLT/VDA dla floty </w:t>
      </w:r>
      <w:proofErr w:type="spellStart"/>
      <w:r>
        <w:t>tier</w:t>
      </w:r>
      <w:proofErr w:type="spellEnd"/>
      <w:r>
        <w:t xml:space="preserve"> 1/2/3 – kalkulator pokaże próg rentowności i strukturę emisji CO₂.</w:t>
      </w:r>
    </w:p>
    <w:p w14:paraId="3A2B6911" w14:textId="77777777" w:rsidR="00232517" w:rsidRDefault="00147E3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Oblicz koszt PPWR w 2 min.</w:t>
      </w:r>
    </w:p>
    <w:p w14:paraId="2E6A8792" w14:textId="77777777" w:rsidR="00232517" w:rsidRDefault="00147E3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POWIĄZANE</w:t>
      </w:r>
    </w:p>
    <w:p w14:paraId="47DFBB8A" w14:textId="77777777" w:rsidR="00232517" w:rsidRDefault="00147E3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Może Cię też zainteresować</w:t>
      </w:r>
    </w:p>
    <w:p w14:paraId="6D2A6C41" w14:textId="77777777" w:rsidR="00232517" w:rsidRDefault="00147E3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t>Produkcja przemysłowa</w:t>
      </w:r>
      <w:r>
        <w:t xml:space="preserve"> – Pojemniki wielokrotnego użytku do obiegu zamkniętego między zakładami produkcyjnymi, zgodnie z założeniami PPWR.</w:t>
      </w:r>
    </w:p>
    <w:p w14:paraId="0F87F2A0" w14:textId="77777777" w:rsidR="00232517" w:rsidRDefault="00147E3B">
      <w:pPr>
        <w:pStyle w:val="Akapitzlist"/>
        <w:numPr>
          <w:ilvl w:val="0"/>
          <w:numId w:val="2"/>
        </w:numPr>
        <w:spacing w:after="120" w:line="264" w:lineRule="auto"/>
      </w:pPr>
      <w:proofErr w:type="spellStart"/>
      <w:r>
        <w:rPr>
          <w:b/>
          <w:bCs/>
          <w:color w:val="1D1D1D"/>
        </w:rPr>
        <w:t>Intralogistyka</w:t>
      </w:r>
      <w:proofErr w:type="spellEnd"/>
      <w:r>
        <w:rPr>
          <w:b/>
          <w:bCs/>
          <w:color w:val="1D1D1D"/>
        </w:rPr>
        <w:t xml:space="preserve"> i magazyn</w:t>
      </w:r>
      <w:r>
        <w:t xml:space="preserve"> – Pojemniki do systemów AKL i </w:t>
      </w:r>
      <w:proofErr w:type="spellStart"/>
      <w:r>
        <w:t>shuttle</w:t>
      </w:r>
      <w:proofErr w:type="spellEnd"/>
      <w:r>
        <w:t xml:space="preserve"> wykorzystywane w zautomatyzowanej </w:t>
      </w:r>
      <w:proofErr w:type="spellStart"/>
      <w:r>
        <w:t>intralogistyce</w:t>
      </w:r>
      <w:proofErr w:type="spellEnd"/>
      <w:r>
        <w:t xml:space="preserve"> zakładów produkcyjnych.</w:t>
      </w:r>
    </w:p>
    <w:p w14:paraId="6D73A516" w14:textId="77777777" w:rsidR="00232517" w:rsidRDefault="00147E3B">
      <w:pPr>
        <w:pStyle w:val="Akapitzlist"/>
        <w:numPr>
          <w:ilvl w:val="0"/>
          <w:numId w:val="2"/>
        </w:numPr>
        <w:spacing w:after="120" w:line="264" w:lineRule="auto"/>
      </w:pPr>
      <w:r>
        <w:rPr>
          <w:b/>
          <w:bCs/>
          <w:color w:val="1D1D1D"/>
        </w:rPr>
        <w:lastRenderedPageBreak/>
        <w:t>Logistyka i transport (3PL)</w:t>
      </w:r>
      <w:r>
        <w:t xml:space="preserve"> – Palety i pojemniki wielokrotnego użytku do transportu części pomiędzy dostawcami a producentami OEM.</w:t>
      </w:r>
    </w:p>
    <w:p w14:paraId="08912958" w14:textId="77777777" w:rsidR="00232517" w:rsidRDefault="00147E3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FAQ</w:t>
      </w:r>
    </w:p>
    <w:p w14:paraId="43EBBB42" w14:textId="77777777" w:rsidR="00232517" w:rsidRDefault="00147E3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Najczęściej zadawane pytania</w:t>
      </w:r>
    </w:p>
    <w:p w14:paraId="457BA5D9" w14:textId="77777777" w:rsidR="00232517" w:rsidRDefault="00147E3B">
      <w:pPr>
        <w:spacing w:before="240" w:after="80"/>
      </w:pPr>
      <w:r>
        <w:rPr>
          <w:b/>
          <w:bCs/>
          <w:color w:val="1D1D1D"/>
          <w:sz w:val="22"/>
          <w:szCs w:val="22"/>
        </w:rPr>
        <w:t>Co to jest standard VDA 4500?</w:t>
      </w:r>
    </w:p>
    <w:p w14:paraId="33964BA0" w14:textId="77777777" w:rsidR="00232517" w:rsidRDefault="00147E3B">
      <w:pPr>
        <w:spacing w:after="150" w:line="264" w:lineRule="auto"/>
      </w:pPr>
      <w:r>
        <w:t>VDA 4500 to niemiecki standard zrzeszenia przemysłu motoryzacyjnego definiujący wymiary pojemników KLT (</w:t>
      </w:r>
      <w:proofErr w:type="spellStart"/>
      <w:r>
        <w:t>Kleinladungsträger</w:t>
      </w:r>
      <w:proofErr w:type="spellEnd"/>
      <w:r>
        <w:t xml:space="preserve">): moduły podstawy 297×198, 396×297 i 594×396 mm itd., tolerancje, znakowanie, kompatybilność z </w:t>
      </w:r>
      <w:proofErr w:type="spellStart"/>
      <w:r>
        <w:t>poolingiem</w:t>
      </w:r>
      <w:proofErr w:type="spellEnd"/>
      <w:r>
        <w:t>. Standard ten jest powszechnie wymagany przez producentów samochodów (OEM) od dostawców.</w:t>
      </w:r>
    </w:p>
    <w:p w14:paraId="27E01224" w14:textId="77777777" w:rsidR="00232517" w:rsidRDefault="00147E3B">
      <w:pPr>
        <w:spacing w:before="240" w:after="80"/>
      </w:pPr>
      <w:r>
        <w:rPr>
          <w:b/>
          <w:bCs/>
          <w:color w:val="1D1D1D"/>
          <w:sz w:val="22"/>
          <w:szCs w:val="22"/>
        </w:rPr>
        <w:t xml:space="preserve">Czy macie pojemniki kompatybilne z systemami </w:t>
      </w:r>
      <w:proofErr w:type="spellStart"/>
      <w:r>
        <w:rPr>
          <w:b/>
          <w:bCs/>
          <w:color w:val="1D1D1D"/>
          <w:sz w:val="22"/>
          <w:szCs w:val="22"/>
        </w:rPr>
        <w:t>poolingowymi</w:t>
      </w:r>
      <w:proofErr w:type="spellEnd"/>
      <w:r>
        <w:rPr>
          <w:b/>
          <w:bCs/>
          <w:color w:val="1D1D1D"/>
          <w:sz w:val="22"/>
          <w:szCs w:val="22"/>
        </w:rPr>
        <w:t xml:space="preserve"> producentów samochodów (OEM)?</w:t>
      </w:r>
    </w:p>
    <w:p w14:paraId="5A24C0D3" w14:textId="77777777" w:rsidR="00232517" w:rsidRDefault="00147E3B">
      <w:pPr>
        <w:spacing w:after="150" w:line="264" w:lineRule="auto"/>
      </w:pPr>
      <w:r>
        <w:t>Tak – pełna gama VDA-RL-KLT i VDA-R-KLT oraz pokrywy podtrzymujące w standardzie VDA 4500. Możliwa jest indywidualna konfiguracja (znakowanie, przygotowanie pod RFID, kolor) pod wymagania odbiorcy.</w:t>
      </w:r>
    </w:p>
    <w:p w14:paraId="4F063F02" w14:textId="77777777" w:rsidR="00232517" w:rsidRDefault="00147E3B">
      <w:pPr>
        <w:spacing w:before="240" w:after="80"/>
      </w:pPr>
      <w:r>
        <w:rPr>
          <w:b/>
          <w:bCs/>
          <w:color w:val="1D1D1D"/>
          <w:sz w:val="22"/>
          <w:szCs w:val="22"/>
        </w:rPr>
        <w:t>Czy oferujecie pojemniki ESD dla komponentów elektronicznych w aucie?</w:t>
      </w:r>
    </w:p>
    <w:p w14:paraId="3DAC2032" w14:textId="7FB5C503" w:rsidR="00232517" w:rsidRDefault="00147E3B">
      <w:pPr>
        <w:spacing w:after="150" w:line="264" w:lineRule="auto"/>
      </w:pPr>
      <w:r>
        <w:t>Tak –</w:t>
      </w:r>
      <w:r>
        <w:t xml:space="preserve"> pojemniki EURO-NORM ESD z tworzywa PP-ESD, które stale rozprasza ładunki elektrostatyczne (</w:t>
      </w:r>
      <w:r w:rsidRPr="00147E3B">
        <w:t>PP-ESD zapewnia kontrolowane rozpraszanie ładunków elektrostatycznych zgodnie z wymaganiami dla zastosowań ESD</w:t>
      </w:r>
      <w:r>
        <w:t xml:space="preserve">). </w:t>
      </w:r>
      <w:r>
        <w:t xml:space="preserve">Stosowane do wrażliwych podzespołów elektronicznych, m.in. ECU, sensorów, modułów </w:t>
      </w:r>
      <w:proofErr w:type="spellStart"/>
      <w:r>
        <w:t>infotainment</w:t>
      </w:r>
      <w:proofErr w:type="spellEnd"/>
      <w:r>
        <w:t xml:space="preserve"> i komponentów EV.</w:t>
      </w:r>
    </w:p>
    <w:p w14:paraId="0F5BEA4B" w14:textId="77777777" w:rsidR="00232517" w:rsidRDefault="00147E3B">
      <w:pPr>
        <w:spacing w:before="240" w:after="80"/>
      </w:pPr>
      <w:r>
        <w:rPr>
          <w:b/>
          <w:bCs/>
          <w:color w:val="1D1D1D"/>
          <w:sz w:val="22"/>
          <w:szCs w:val="22"/>
        </w:rPr>
        <w:t xml:space="preserve">Czy </w:t>
      </w:r>
      <w:proofErr w:type="spellStart"/>
      <w:r>
        <w:rPr>
          <w:b/>
          <w:bCs/>
          <w:color w:val="1D1D1D"/>
          <w:sz w:val="22"/>
          <w:szCs w:val="22"/>
        </w:rPr>
        <w:t>automotive</w:t>
      </w:r>
      <w:proofErr w:type="spellEnd"/>
      <w:r>
        <w:rPr>
          <w:b/>
          <w:bCs/>
          <w:color w:val="1D1D1D"/>
          <w:sz w:val="22"/>
          <w:szCs w:val="22"/>
        </w:rPr>
        <w:t xml:space="preserve"> jest objęty PPWR?</w:t>
      </w:r>
    </w:p>
    <w:p w14:paraId="543807B3" w14:textId="77777777" w:rsidR="00232517" w:rsidRDefault="00147E3B">
      <w:pPr>
        <w:spacing w:after="150" w:line="264" w:lineRule="auto"/>
      </w:pPr>
      <w:r>
        <w:t xml:space="preserve">Tak, choć w praktyce spełnia już większość wymogów. Branża </w:t>
      </w:r>
      <w:proofErr w:type="spellStart"/>
      <w:r>
        <w:t>automotive</w:t>
      </w:r>
      <w:proofErr w:type="spellEnd"/>
      <w:r>
        <w:t xml:space="preserve"> (głównie OEM i tier-1) działa w obiegu zamkniętym (</w:t>
      </w:r>
      <w:proofErr w:type="spellStart"/>
      <w:r>
        <w:t>closed-loop</w:t>
      </w:r>
      <w:proofErr w:type="spellEnd"/>
      <w:r>
        <w:t>) RTP od dziesięcioleci, spełniając wymogi art. 29 PPWR. Wyzwanie na najbliższe lata to rozciągnięcie standardu na tier-2 i tier-3 oraz zharmonizowane oznakowanie opakowań cyfrowym nośnikiem danych wprowadzane przez PPWR – zgodnie z harmonogramem określonym w art. 12 i aktach wykonawczych.</w:t>
      </w:r>
    </w:p>
    <w:p w14:paraId="048C50AC" w14:textId="77777777" w:rsidR="00232517" w:rsidRDefault="00147E3B">
      <w:pPr>
        <w:spacing w:before="240" w:after="80"/>
      </w:pPr>
      <w:r>
        <w:rPr>
          <w:b/>
          <w:bCs/>
          <w:color w:val="1D1D1D"/>
          <w:sz w:val="22"/>
          <w:szCs w:val="22"/>
        </w:rPr>
        <w:t xml:space="preserve">Ile cykli wytrzymuje pojemnik KLT/VDA </w:t>
      </w:r>
      <w:proofErr w:type="spellStart"/>
      <w:r>
        <w:rPr>
          <w:b/>
          <w:bCs/>
          <w:color w:val="1D1D1D"/>
          <w:sz w:val="22"/>
          <w:szCs w:val="22"/>
        </w:rPr>
        <w:t>bekuplast</w:t>
      </w:r>
      <w:proofErr w:type="spellEnd"/>
      <w:r>
        <w:rPr>
          <w:b/>
          <w:bCs/>
          <w:color w:val="1D1D1D"/>
          <w:sz w:val="22"/>
          <w:szCs w:val="22"/>
        </w:rPr>
        <w:t>?</w:t>
      </w:r>
    </w:p>
    <w:p w14:paraId="15FF8684" w14:textId="77777777" w:rsidR="00232517" w:rsidRDefault="00147E3B">
      <w:pPr>
        <w:spacing w:after="150" w:line="264" w:lineRule="auto"/>
      </w:pPr>
      <w:r>
        <w:t>Pojemniki KLT/VDA są przeznaczone do wieloletniej, intensywnej rotacji w obiegu zwrotnym; w praktyce wymagają okresowego mycia i kontroli wymiarowej. Dokładną trwałość dobieramy do profilu Twojego procesu.</w:t>
      </w:r>
    </w:p>
    <w:p w14:paraId="06D839FE" w14:textId="77777777" w:rsidR="00232517" w:rsidRDefault="00147E3B">
      <w:pPr>
        <w:spacing w:before="240" w:after="80"/>
      </w:pPr>
      <w:r>
        <w:rPr>
          <w:b/>
          <w:bCs/>
          <w:color w:val="1D1D1D"/>
          <w:sz w:val="22"/>
          <w:szCs w:val="22"/>
        </w:rPr>
        <w:t>Czy mogę zamówić indywidualny numer artykułu pod konkretnego OEM?</w:t>
      </w:r>
    </w:p>
    <w:p w14:paraId="3035760E" w14:textId="77777777" w:rsidR="00232517" w:rsidRDefault="00147E3B">
      <w:pPr>
        <w:spacing w:after="150" w:line="264" w:lineRule="auto"/>
      </w:pPr>
      <w:r>
        <w:t xml:space="preserve">Tak – projektujemy pojemniki pod wymagania systemów </w:t>
      </w:r>
      <w:proofErr w:type="spellStart"/>
      <w:r>
        <w:t>poolingowych</w:t>
      </w:r>
      <w:proofErr w:type="spellEnd"/>
      <w:r>
        <w:t xml:space="preserve"> producentów samochodów (indywidualne wymiary, znakowanie </w:t>
      </w:r>
      <w:proofErr w:type="spellStart"/>
      <w:r>
        <w:t>pool</w:t>
      </w:r>
      <w:proofErr w:type="spellEnd"/>
      <w:r>
        <w:t>-ID, kolory, przygotowanie pod integrację identyfikacyjną, np. RFID). Produkcja na indywidualne zamówienie – minimalną wielkość produkcji i czas realizacji z prototypem ustalamy indywidualnie.</w:t>
      </w:r>
    </w:p>
    <w:p w14:paraId="0DFEB415" w14:textId="77777777" w:rsidR="00232517" w:rsidRDefault="00147E3B">
      <w:pPr>
        <w:spacing w:before="420" w:after="40"/>
      </w:pPr>
      <w:r>
        <w:rPr>
          <w:b/>
          <w:bCs/>
          <w:color w:val="65B32E"/>
          <w:spacing w:val="30"/>
          <w:sz w:val="15"/>
          <w:szCs w:val="15"/>
        </w:rPr>
        <w:t>KONTAKT</w:t>
      </w:r>
    </w:p>
    <w:p w14:paraId="7F4F378E" w14:textId="77777777" w:rsidR="00232517" w:rsidRDefault="00147E3B">
      <w:pPr>
        <w:pStyle w:val="Nagwek2"/>
        <w:pBdr>
          <w:bottom w:val="single" w:sz="6" w:space="8" w:color="DEDEDE"/>
        </w:pBdr>
        <w:spacing w:before="40" w:after="180"/>
      </w:pPr>
      <w:r>
        <w:rPr>
          <w:b/>
          <w:bCs/>
          <w:color w:val="427718"/>
          <w:sz w:val="27"/>
          <w:szCs w:val="27"/>
        </w:rPr>
        <w:t>Omówmy rozwiązanie dla Twojego procesu</w:t>
      </w:r>
    </w:p>
    <w:p w14:paraId="1D13500E" w14:textId="77777777" w:rsidR="00232517" w:rsidRDefault="00147E3B">
      <w:pPr>
        <w:pStyle w:val="Akapitzlist"/>
        <w:numPr>
          <w:ilvl w:val="0"/>
          <w:numId w:val="2"/>
        </w:numPr>
        <w:spacing w:after="100" w:line="264" w:lineRule="auto"/>
      </w:pPr>
      <w:r>
        <w:t>Szybki kontakt zwrotny</w:t>
      </w:r>
    </w:p>
    <w:p w14:paraId="08F2DA2B" w14:textId="77777777" w:rsidR="00232517" w:rsidRDefault="00147E3B">
      <w:pPr>
        <w:pStyle w:val="Akapitzlist"/>
        <w:numPr>
          <w:ilvl w:val="0"/>
          <w:numId w:val="2"/>
        </w:numPr>
        <w:spacing w:after="100" w:line="264" w:lineRule="auto"/>
      </w:pPr>
      <w:r>
        <w:t>Rozmawiamy o Twoich konkretnych potrzebach</w:t>
      </w:r>
    </w:p>
    <w:p w14:paraId="67A8561F" w14:textId="77777777" w:rsidR="00232517" w:rsidRDefault="00147E3B">
      <w:pPr>
        <w:pStyle w:val="Akapitzlist"/>
        <w:numPr>
          <w:ilvl w:val="0"/>
          <w:numId w:val="2"/>
        </w:numPr>
        <w:spacing w:after="100" w:line="264" w:lineRule="auto"/>
      </w:pPr>
      <w:r>
        <w:t>Bezpłatnie i bez zobowiązań</w:t>
      </w:r>
    </w:p>
    <w:p w14:paraId="3FFCCD6F" w14:textId="77777777" w:rsidR="00232517" w:rsidRDefault="00147E3B">
      <w:pPr>
        <w:pStyle w:val="Akapitzlist"/>
        <w:numPr>
          <w:ilvl w:val="0"/>
          <w:numId w:val="2"/>
        </w:numPr>
        <w:spacing w:after="100" w:line="264" w:lineRule="auto"/>
      </w:pPr>
      <w:r>
        <w:t>Możliwość pozyskania próbek produktów</w:t>
      </w:r>
    </w:p>
    <w:p w14:paraId="606203EC" w14:textId="77777777" w:rsidR="00232517" w:rsidRDefault="00147E3B">
      <w:pPr>
        <w:pStyle w:val="Nagwek3"/>
        <w:spacing w:before="260" w:after="90"/>
      </w:pPr>
      <w:r>
        <w:rPr>
          <w:b/>
          <w:bCs/>
          <w:color w:val="1D1D1D"/>
          <w:sz w:val="23"/>
          <w:szCs w:val="23"/>
        </w:rPr>
        <w:lastRenderedPageBreak/>
        <w:t>Pozostaw dane kontaktowe</w:t>
      </w:r>
    </w:p>
    <w:p w14:paraId="2B3D6474" w14:textId="77777777" w:rsidR="00232517" w:rsidRDefault="00147E3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Pola: </w:t>
      </w:r>
      <w:r>
        <w:rPr>
          <w:color w:val="717171"/>
          <w:sz w:val="17"/>
          <w:szCs w:val="17"/>
        </w:rPr>
        <w:t>Imię i nazwisko  ·  Firma  ·  E-mail  ·  Telefon</w:t>
      </w:r>
    </w:p>
    <w:p w14:paraId="6D43894F" w14:textId="77777777" w:rsidR="00232517" w:rsidRDefault="00147E3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Zgoda: </w:t>
      </w:r>
      <w:r>
        <w:rPr>
          <w:color w:val="717171"/>
          <w:sz w:val="17"/>
          <w:szCs w:val="17"/>
        </w:rPr>
        <w:t>Wyrażam zgodę na przetwarzanie danych osobowych i potwierdzam, że zapoznałem/</w:t>
      </w:r>
      <w:proofErr w:type="spellStart"/>
      <w:r>
        <w:rPr>
          <w:color w:val="717171"/>
          <w:sz w:val="17"/>
          <w:szCs w:val="17"/>
        </w:rPr>
        <w:t>am</w:t>
      </w:r>
      <w:proofErr w:type="spellEnd"/>
      <w:r>
        <w:rPr>
          <w:color w:val="717171"/>
          <w:sz w:val="17"/>
          <w:szCs w:val="17"/>
        </w:rPr>
        <w:t xml:space="preserve"> się z Polityką prywatności dotyczącą zasad ich przetwarzania.</w:t>
      </w:r>
    </w:p>
    <w:p w14:paraId="52F78D5D" w14:textId="77777777" w:rsidR="00232517" w:rsidRDefault="00147E3B">
      <w:pPr>
        <w:spacing w:after="160"/>
        <w:ind w:left="240"/>
      </w:pPr>
      <w:r>
        <w:rPr>
          <w:b/>
          <w:bCs/>
          <w:color w:val="9A9A9A"/>
          <w:sz w:val="17"/>
          <w:szCs w:val="17"/>
        </w:rPr>
        <w:t xml:space="preserve">Przycisk: </w:t>
      </w:r>
      <w:r>
        <w:rPr>
          <w:color w:val="717171"/>
          <w:sz w:val="17"/>
          <w:szCs w:val="17"/>
        </w:rPr>
        <w:t>Proszę o kontakt</w:t>
      </w:r>
    </w:p>
    <w:sectPr w:rsidR="00232517">
      <w:footerReference w:type="default" r:id="rId7"/>
      <w:pgSz w:w="11906" w:h="16838"/>
      <w:pgMar w:top="1247" w:right="1247" w:bottom="1133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C96C0" w14:textId="77777777" w:rsidR="00147E3B" w:rsidRDefault="00147E3B">
      <w:r>
        <w:separator/>
      </w:r>
    </w:p>
  </w:endnote>
  <w:endnote w:type="continuationSeparator" w:id="0">
    <w:p w14:paraId="084740DA" w14:textId="77777777" w:rsidR="00147E3B" w:rsidRDefault="0014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DADF" w14:textId="77777777" w:rsidR="00232517" w:rsidRDefault="00147E3B">
    <w:pPr>
      <w:pBdr>
        <w:top w:val="single" w:sz="4" w:space="8" w:color="DEDEDE"/>
      </w:pBdr>
      <w:tabs>
        <w:tab w:val="right" w:pos="9412"/>
      </w:tabs>
    </w:pPr>
    <w:r>
      <w:rPr>
        <w:color w:val="9A9A9A"/>
        <w:sz w:val="15"/>
        <w:szCs w:val="15"/>
      </w:rPr>
      <w:t xml:space="preserve">Strona 01 – Motoryzacja i </w:t>
    </w:r>
    <w:proofErr w:type="spellStart"/>
    <w:r>
      <w:rPr>
        <w:color w:val="9A9A9A"/>
        <w:sz w:val="15"/>
        <w:szCs w:val="15"/>
      </w:rPr>
      <w:t>automotive</w:t>
    </w:r>
    <w:proofErr w:type="spellEnd"/>
    <w:r>
      <w:rPr>
        <w:color w:val="9A9A9A"/>
        <w:sz w:val="15"/>
        <w:szCs w:val="15"/>
      </w:rPr>
      <w:t xml:space="preserve"> · makieta v14</w:t>
    </w:r>
    <w:r>
      <w:rPr>
        <w:sz w:val="15"/>
        <w:szCs w:val="15"/>
      </w:rPr>
      <w:tab/>
    </w:r>
    <w:r>
      <w:rPr>
        <w:color w:val="9A9A9A"/>
        <w:sz w:val="15"/>
        <w:szCs w:val="15"/>
      </w:rPr>
      <w:fldChar w:fldCharType="begin"/>
    </w:r>
    <w:r>
      <w:rPr>
        <w:color w:val="9A9A9A"/>
        <w:sz w:val="15"/>
        <w:szCs w:val="15"/>
      </w:rPr>
      <w:instrText>PAGE</w:instrText>
    </w:r>
    <w:r>
      <w:rPr>
        <w:color w:val="9A9A9A"/>
        <w:sz w:val="15"/>
        <w:szCs w:val="15"/>
      </w:rPr>
      <w:fldChar w:fldCharType="separate"/>
    </w:r>
    <w:r>
      <w:rPr>
        <w:noProof/>
        <w:color w:val="9A9A9A"/>
        <w:sz w:val="15"/>
        <w:szCs w:val="15"/>
      </w:rPr>
      <w:t>1</w:t>
    </w:r>
    <w:r>
      <w:rPr>
        <w:color w:val="9A9A9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72155" w14:textId="77777777" w:rsidR="00147E3B" w:rsidRDefault="00147E3B">
      <w:r>
        <w:separator/>
      </w:r>
    </w:p>
  </w:footnote>
  <w:footnote w:type="continuationSeparator" w:id="0">
    <w:p w14:paraId="11FDA1E9" w14:textId="77777777" w:rsidR="00147E3B" w:rsidRDefault="0014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06EE2"/>
    <w:multiLevelType w:val="hybridMultilevel"/>
    <w:tmpl w:val="46F455C6"/>
    <w:lvl w:ilvl="0" w:tplc="E2B25466">
      <w:start w:val="1"/>
      <w:numFmt w:val="bullet"/>
      <w:lvlText w:val="•"/>
      <w:lvlJc w:val="left"/>
      <w:pPr>
        <w:ind w:left="340" w:hanging="220"/>
      </w:pPr>
      <w:rPr>
        <w:rFonts w:ascii="Calibri" w:eastAsia="Calibri" w:hAnsi="Calibri" w:cs="Calibri"/>
        <w:color w:val="65B32E"/>
        <w:sz w:val="21"/>
        <w:szCs w:val="21"/>
      </w:rPr>
    </w:lvl>
    <w:lvl w:ilvl="1" w:tplc="2DEC1F98">
      <w:numFmt w:val="decimal"/>
      <w:lvlText w:val=""/>
      <w:lvlJc w:val="left"/>
    </w:lvl>
    <w:lvl w:ilvl="2" w:tplc="5CE8A3FE">
      <w:numFmt w:val="decimal"/>
      <w:lvlText w:val=""/>
      <w:lvlJc w:val="left"/>
    </w:lvl>
    <w:lvl w:ilvl="3" w:tplc="F50C5798">
      <w:numFmt w:val="decimal"/>
      <w:lvlText w:val=""/>
      <w:lvlJc w:val="left"/>
    </w:lvl>
    <w:lvl w:ilvl="4" w:tplc="B8D8A71E">
      <w:numFmt w:val="decimal"/>
      <w:lvlText w:val=""/>
      <w:lvlJc w:val="left"/>
    </w:lvl>
    <w:lvl w:ilvl="5" w:tplc="AAF86A7E">
      <w:numFmt w:val="decimal"/>
      <w:lvlText w:val=""/>
      <w:lvlJc w:val="left"/>
    </w:lvl>
    <w:lvl w:ilvl="6" w:tplc="ED22EE06">
      <w:numFmt w:val="decimal"/>
      <w:lvlText w:val=""/>
      <w:lvlJc w:val="left"/>
    </w:lvl>
    <w:lvl w:ilvl="7" w:tplc="EAC408BC">
      <w:numFmt w:val="decimal"/>
      <w:lvlText w:val=""/>
      <w:lvlJc w:val="left"/>
    </w:lvl>
    <w:lvl w:ilvl="8" w:tplc="6C0A2218">
      <w:numFmt w:val="decimal"/>
      <w:lvlText w:val=""/>
      <w:lvlJc w:val="left"/>
    </w:lvl>
  </w:abstractNum>
  <w:abstractNum w:abstractNumId="1" w15:restartNumberingAfterBreak="0">
    <w:nsid w:val="29153D0F"/>
    <w:multiLevelType w:val="hybridMultilevel"/>
    <w:tmpl w:val="41083B4E"/>
    <w:lvl w:ilvl="0" w:tplc="73C6DDFC">
      <w:start w:val="1"/>
      <w:numFmt w:val="bullet"/>
      <w:lvlText w:val="●"/>
      <w:lvlJc w:val="left"/>
      <w:pPr>
        <w:ind w:left="720" w:hanging="360"/>
      </w:pPr>
    </w:lvl>
    <w:lvl w:ilvl="1" w:tplc="B63CC264">
      <w:start w:val="1"/>
      <w:numFmt w:val="bullet"/>
      <w:lvlText w:val="○"/>
      <w:lvlJc w:val="left"/>
      <w:pPr>
        <w:ind w:left="1440" w:hanging="360"/>
      </w:pPr>
    </w:lvl>
    <w:lvl w:ilvl="2" w:tplc="EE2239B0">
      <w:start w:val="1"/>
      <w:numFmt w:val="bullet"/>
      <w:lvlText w:val="■"/>
      <w:lvlJc w:val="left"/>
      <w:pPr>
        <w:ind w:left="2160" w:hanging="360"/>
      </w:pPr>
    </w:lvl>
    <w:lvl w:ilvl="3" w:tplc="96363612">
      <w:start w:val="1"/>
      <w:numFmt w:val="bullet"/>
      <w:lvlText w:val="●"/>
      <w:lvlJc w:val="left"/>
      <w:pPr>
        <w:ind w:left="2880" w:hanging="360"/>
      </w:pPr>
    </w:lvl>
    <w:lvl w:ilvl="4" w:tplc="CF04467C">
      <w:start w:val="1"/>
      <w:numFmt w:val="bullet"/>
      <w:lvlText w:val="○"/>
      <w:lvlJc w:val="left"/>
      <w:pPr>
        <w:ind w:left="3600" w:hanging="360"/>
      </w:pPr>
    </w:lvl>
    <w:lvl w:ilvl="5" w:tplc="5CC0AD7A">
      <w:start w:val="1"/>
      <w:numFmt w:val="bullet"/>
      <w:lvlText w:val="■"/>
      <w:lvlJc w:val="left"/>
      <w:pPr>
        <w:ind w:left="4320" w:hanging="360"/>
      </w:pPr>
    </w:lvl>
    <w:lvl w:ilvl="6" w:tplc="C5921696">
      <w:start w:val="1"/>
      <w:numFmt w:val="bullet"/>
      <w:lvlText w:val="●"/>
      <w:lvlJc w:val="left"/>
      <w:pPr>
        <w:ind w:left="5040" w:hanging="360"/>
      </w:pPr>
    </w:lvl>
    <w:lvl w:ilvl="7" w:tplc="ED84AAD8">
      <w:start w:val="1"/>
      <w:numFmt w:val="bullet"/>
      <w:lvlText w:val="●"/>
      <w:lvlJc w:val="left"/>
      <w:pPr>
        <w:ind w:left="5760" w:hanging="360"/>
      </w:pPr>
    </w:lvl>
    <w:lvl w:ilvl="8" w:tplc="BFD03532">
      <w:start w:val="1"/>
      <w:numFmt w:val="bullet"/>
      <w:lvlText w:val="●"/>
      <w:lvlJc w:val="left"/>
      <w:pPr>
        <w:ind w:left="6480" w:hanging="360"/>
      </w:pPr>
    </w:lvl>
  </w:abstractNum>
  <w:num w:numId="1" w16cid:durableId="1959994601">
    <w:abstractNumId w:val="1"/>
    <w:lvlOverride w:ilvl="0">
      <w:startOverride w:val="1"/>
    </w:lvlOverride>
  </w:num>
  <w:num w:numId="2" w16cid:durableId="1325091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517"/>
    <w:rsid w:val="00147E3B"/>
    <w:rsid w:val="00232517"/>
    <w:rsid w:val="007E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22517"/>
  <w15:docId w15:val="{1A3E9E08-B698-4E3F-8D4F-9DF620D8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sz w:val="21"/>
        <w:szCs w:val="21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1277</Words>
  <Characters>7667</Characters>
  <Application>Microsoft Office Word</Application>
  <DocSecurity>0</DocSecurity>
  <Lines>63</Lines>
  <Paragraphs>17</Paragraphs>
  <ScaleCrop>false</ScaleCrop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01 – Motoryzacja i automotive</dc:title>
  <dc:creator>crear agency</dc:creator>
  <dc:description>Treść makiety branżowej PPWR v14 do recenzji</dc:description>
  <cp:lastModifiedBy>Monika Sojka</cp:lastModifiedBy>
  <cp:revision>2</cp:revision>
  <dcterms:created xsi:type="dcterms:W3CDTF">2026-07-20T12:21:00Z</dcterms:created>
  <dcterms:modified xsi:type="dcterms:W3CDTF">2026-07-24T07:38:00Z</dcterms:modified>
</cp:coreProperties>
</file>