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9D15" w14:textId="11CB2F12" w:rsidR="00634CFC" w:rsidRDefault="00043D73">
      <w:pPr>
        <w:spacing w:after="60"/>
      </w:pPr>
      <w:r>
        <w:rPr>
          <w:b/>
          <w:bCs/>
          <w:color w:val="1D1D1D"/>
          <w:sz w:val="40"/>
          <w:szCs w:val="40"/>
        </w:rPr>
        <w:t>Strona 05 – Intralogistyka i magazyn</w:t>
      </w:r>
    </w:p>
    <w:p w14:paraId="012023BF" w14:textId="77777777" w:rsidR="00634CFC" w:rsidRDefault="00043D73">
      <w:pPr>
        <w:spacing w:after="30"/>
      </w:pPr>
      <w:r>
        <w:rPr>
          <w:color w:val="717171"/>
          <w:sz w:val="17"/>
          <w:szCs w:val="17"/>
        </w:rPr>
        <w:t>Makieta v14 · /branzowe/intralogistyka/</w:t>
      </w:r>
    </w:p>
    <w:p w14:paraId="49080644" w14:textId="77777777" w:rsidR="00634CFC" w:rsidRPr="00043D73" w:rsidRDefault="00043D73">
      <w:pPr>
        <w:spacing w:after="30"/>
        <w:rPr>
          <w:lang w:val="en-GB"/>
        </w:rPr>
      </w:pPr>
      <w:r w:rsidRPr="00043D73">
        <w:rPr>
          <w:color w:val="717171"/>
          <w:sz w:val="17"/>
          <w:szCs w:val="17"/>
          <w:lang w:val="en-GB"/>
        </w:rPr>
        <w:t>Persona: Head of Warehouse / Operations Director</w:t>
      </w:r>
    </w:p>
    <w:p w14:paraId="53E53B2A" w14:textId="77777777" w:rsidR="00634CFC" w:rsidRDefault="00043D73">
      <w:pPr>
        <w:spacing w:after="140"/>
      </w:pPr>
      <w:r>
        <w:rPr>
          <w:color w:val="717171"/>
          <w:sz w:val="17"/>
          <w:szCs w:val="17"/>
        </w:rPr>
        <w:t>Główna fraza: intralogistyka</w:t>
      </w:r>
    </w:p>
    <w:p w14:paraId="1C1BA51C" w14:textId="77777777" w:rsidR="00634CFC" w:rsidRDefault="00043D73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6B99D765" w14:textId="77777777" w:rsidR="00634CFC" w:rsidRDefault="00634CFC">
      <w:pPr>
        <w:pBdr>
          <w:bottom w:val="single" w:sz="6" w:space="2" w:color="DEDEDE"/>
        </w:pBdr>
        <w:spacing w:before="120" w:after="260"/>
      </w:pPr>
    </w:p>
    <w:p w14:paraId="07E92EB0" w14:textId="77777777" w:rsidR="00634CFC" w:rsidRDefault="00043D73">
      <w:pPr>
        <w:pStyle w:val="Nagwek1"/>
        <w:spacing w:before="120" w:after="160"/>
      </w:pPr>
      <w:r>
        <w:rPr>
          <w:b/>
          <w:bCs/>
          <w:color w:val="1D1D1D"/>
        </w:rPr>
        <w:t>Intralogistyka</w:t>
      </w:r>
    </w:p>
    <w:p w14:paraId="17B0C61F" w14:textId="77777777" w:rsidR="00634CFC" w:rsidRDefault="00043D73">
      <w:pPr>
        <w:spacing w:after="200" w:line="276" w:lineRule="auto"/>
      </w:pPr>
      <w:r>
        <w:rPr>
          <w:color w:val="434343"/>
          <w:sz w:val="23"/>
          <w:szCs w:val="23"/>
        </w:rPr>
        <w:t>Pojemniki do intralogistyki: silverline, contecline i ESD dla magazynów AKL, shuttle i miniload. Precyzyjne wymiary w standardzie EURO-NORM, dopasowane do systemów AKL i shuttle. Pojemniki pracujące w zautomatyzowanych magazynach w całej Polsce.</w:t>
      </w:r>
    </w:p>
    <w:p w14:paraId="73AD3EDE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5851BFE9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533C31D3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47503FDF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Intralogistyka to wewnętrzny strumień materiałów</w:t>
      </w:r>
      <w:r>
        <w:t xml:space="preserve"> między linią produkcyjną, magazynem i punktem nadania. Pojemniki muszą pracować bezawaryjnie przy dużej liczbie cykli operacyjnych, zależnej od profilu magazynu.</w:t>
      </w:r>
    </w:p>
    <w:p w14:paraId="6CAF2E24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AKL i shuttle wymagają wysokiej dokładności wymiarowej</w:t>
      </w:r>
      <w:r>
        <w:t xml:space="preserve"> – zbyt duża odchyłka oznacza blokadę systemu. Standardowe skrzynki transportowe się nie nadają.</w:t>
      </w:r>
    </w:p>
    <w:p w14:paraId="178A1D02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PPWR nie wymienia intralogistyki wprost</w:t>
      </w:r>
      <w:r>
        <w:t>, ale wymóg opakowań wielokrotnego użytku w obiegu między zakładami tej samej firmy obowiązuje od 1 stycznia 2030 r. (art. 29 ust. 2), a presja odbiorców przyspiesza tę zmianę.</w:t>
      </w:r>
    </w:p>
    <w:p w14:paraId="28878801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Pojemniki intralogistyczne są projektowane pod wysokie sztaplowanie</w:t>
      </w:r>
      <w:r>
        <w:t xml:space="preserve"> w magazynie i transporcie – znacznie przewyższają standardowe skrzynki transportowe. Nasze pojemniki silverline mają wzmocnione dno i są kompatybilne z magazynami automatycznymi (AKL).</w:t>
      </w:r>
    </w:p>
    <w:p w14:paraId="727963A1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35F00C74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Pięć wyzwań intralogistyki, które rozwiązujemy</w:t>
      </w:r>
    </w:p>
    <w:p w14:paraId="551A8672" w14:textId="77777777" w:rsidR="00634CFC" w:rsidRDefault="00043D73">
      <w:pPr>
        <w:spacing w:after="180" w:line="264" w:lineRule="auto"/>
      </w:pPr>
      <w:r>
        <w:t>Pokazujemy, jak dobieramy pojemniki do intralogistyki – od AKL i shuttle po kompletację ESD – pod automatyzację magazynu.</w:t>
      </w:r>
    </w:p>
    <w:p w14:paraId="75A4A81D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Precyzja wymiarowa dla AKL i shuttle</w:t>
      </w:r>
    </w:p>
    <w:p w14:paraId="48D26588" w14:textId="77777777" w:rsidR="00634CFC" w:rsidRDefault="00043D73">
      <w:pPr>
        <w:spacing w:after="90" w:line="264" w:lineRule="auto"/>
      </w:pPr>
      <w:r>
        <w:t>Magazyn automatyczny pracuje z dużą prędkością cykli. Pojemnik nieodpowiedniego wymiaru może zablokować system i spowodować kosztowny przestój.</w:t>
      </w:r>
    </w:p>
    <w:p w14:paraId="4A8DFC21" w14:textId="77777777" w:rsidR="00634CFC" w:rsidRPr="00043D73" w:rsidRDefault="00043D73">
      <w:pPr>
        <w:spacing w:after="160"/>
        <w:ind w:left="240"/>
        <w:rPr>
          <w:lang w:val="en-GB"/>
        </w:rPr>
      </w:pPr>
      <w:r w:rsidRPr="00043D73">
        <w:rPr>
          <w:b/>
          <w:bCs/>
          <w:color w:val="9A9A9A"/>
          <w:sz w:val="17"/>
          <w:szCs w:val="17"/>
          <w:lang w:val="en-GB"/>
        </w:rPr>
        <w:t xml:space="preserve">Produkt: </w:t>
      </w:r>
      <w:r w:rsidRPr="00043D73">
        <w:rPr>
          <w:color w:val="717171"/>
          <w:sz w:val="17"/>
          <w:szCs w:val="17"/>
          <w:lang w:val="en-GB"/>
        </w:rPr>
        <w:t>silverline – AKL / shuttle · EURO-NORM</w:t>
      </w:r>
    </w:p>
    <w:p w14:paraId="440E6324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Sztaplowanie i wytrzymałość na obciążenia dynamiczne</w:t>
      </w:r>
    </w:p>
    <w:p w14:paraId="76FE3E28" w14:textId="77777777" w:rsidR="00634CFC" w:rsidRDefault="00043D73">
      <w:pPr>
        <w:spacing w:after="90" w:line="264" w:lineRule="auto"/>
      </w:pPr>
      <w:r>
        <w:t>Pojemniki intralogistyczne muszą wytrzymać wysokie sztaplowanie i dynamiczne obciążenia, którym nie sprostają standardowe skrzynki transportowe.</w:t>
      </w:r>
    </w:p>
    <w:p w14:paraId="12A37BD2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silverline / contecline – obciążenie do 50 kg · sztaplowanie statyczne do 300 kg</w:t>
      </w:r>
    </w:p>
    <w:p w14:paraId="24D1E15C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03. Kompletacja – pick-by-light, RFID i WMS</w:t>
      </w:r>
    </w:p>
    <w:p w14:paraId="22BF577F" w14:textId="6656AA4F" w:rsidR="00634CFC" w:rsidRDefault="00043D73">
      <w:pPr>
        <w:spacing w:after="90" w:line="264" w:lineRule="auto"/>
      </w:pPr>
      <w:r w:rsidRPr="00043D73">
        <w:t>Magazyny wykorzystujące systemy pick-by-light lub RFID wymagają pojemników umożliwiających odpowiednie znakowanie oraz integrację z systemami WMS.</w:t>
      </w:r>
    </w:p>
    <w:p w14:paraId="218C6B25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silverline przygotowane pod RFID – pick-by-light · znaczniki RFID</w:t>
      </w:r>
    </w:p>
    <w:p w14:paraId="22F73346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04. ESD dla elektroniki w intralogistyce</w:t>
      </w:r>
    </w:p>
    <w:p w14:paraId="0076CD30" w14:textId="77777777" w:rsidR="00634CFC" w:rsidRDefault="00043D73">
      <w:pPr>
        <w:spacing w:after="90" w:line="264" w:lineRule="auto"/>
      </w:pPr>
      <w:r>
        <w:t>Magazyny elektroniki (AGD, IT, komponenty) wymagają pojemników ESD zgodnych z normą. Standardowy HDPE gromadzi ładunki elektrostatyczne, co grozi uszkodzeniem komponentów.</w:t>
      </w:r>
    </w:p>
    <w:p w14:paraId="68AA6C39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Pojemnik EURO-NORM ESD – IEC 61340-5-1</w:t>
      </w:r>
    </w:p>
    <w:p w14:paraId="6D06B2FA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05. Sezonowe szczyty (Black Friday, święta) – gwałtowny wzrost zapotrzebowania</w:t>
      </w:r>
    </w:p>
    <w:p w14:paraId="350D182F" w14:textId="77777777" w:rsidR="00634CFC" w:rsidRDefault="00043D73">
      <w:pPr>
        <w:spacing w:after="90" w:line="264" w:lineRule="auto"/>
      </w:pPr>
      <w:r>
        <w:t>W szczycie sezonu zapotrzebowanie operatora e-commerce na flotę wyraźnie rośnie w krótkim czasie – składany pojemnik pozwala elastycznie skalować obieg.</w:t>
      </w:r>
    </w:p>
    <w:p w14:paraId="52658430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Clever move box – składane · obieg zamknięty</w:t>
      </w:r>
    </w:p>
    <w:p w14:paraId="1B8CF95C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0A4702AF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silverline, contecline, ESD – pojemniki dla magazynów automatycznych</w:t>
      </w:r>
    </w:p>
    <w:p w14:paraId="613EB941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contecline</w:t>
      </w:r>
      <w:r>
        <w:t xml:space="preserve"> – Magazyny AKL, shuttle, miniload</w:t>
      </w:r>
    </w:p>
    <w:p w14:paraId="3E55EFF8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silverline</w:t>
      </w:r>
      <w:r>
        <w:t xml:space="preserve"> – AKL/shuttle · EURO-NORM</w:t>
      </w:r>
    </w:p>
    <w:p w14:paraId="01E3D284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ESD</w:t>
      </w:r>
      <w:r>
        <w:t xml:space="preserve"> – IEC 61340-5-1</w:t>
      </w:r>
    </w:p>
    <w:p w14:paraId="1C0FC821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lightline</w:t>
      </w:r>
      <w:r>
        <w:t xml:space="preserve"> – Kompletacja ręczna</w:t>
      </w:r>
    </w:p>
    <w:p w14:paraId="247D59FB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basicline plus</w:t>
      </w:r>
      <w:r>
        <w:t xml:space="preserve"> – Duże objętości</w:t>
      </w:r>
    </w:p>
    <w:p w14:paraId="77F1C14E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Clever move box</w:t>
      </w:r>
      <w:r>
        <w:t xml:space="preserve"> – Składane – obieg zamknięty</w:t>
      </w:r>
    </w:p>
    <w:p w14:paraId="1091C659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Kompatybilne z AKL</w:t>
      </w:r>
    </w:p>
    <w:p w14:paraId="4373054C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Tace transportowe</w:t>
      </w:r>
      <w:r>
        <w:t xml:space="preserve"> – Transport wewnętrzny i kompletacja</w:t>
      </w:r>
    </w:p>
    <w:p w14:paraId="2E9EFA98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Indywidualne pod AKL</w:t>
      </w:r>
      <w:r>
        <w:t xml:space="preserve"> – wymiary dopasowane do systemów magazynów automatycznych</w:t>
      </w:r>
    </w:p>
    <w:p w14:paraId="240065B9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ZGODNOŚĆ</w:t>
      </w:r>
    </w:p>
    <w:p w14:paraId="3E4B2F24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PPWR a intralogistyka – formalnie poza zakresem, faktycznie w centrum</w:t>
      </w:r>
    </w:p>
    <w:p w14:paraId="655C561C" w14:textId="77777777" w:rsidR="00634CFC" w:rsidRDefault="00043D73">
      <w:pPr>
        <w:spacing w:after="180" w:line="264" w:lineRule="auto"/>
      </w:pPr>
      <w:r>
        <w:t>Intralogistyka to wewnętrzny strumień materiałów (między magazynem a linią produkcyjną tej samej firmy). PPWR formalnie nie nakłada na intralogistykę celów ponownego użycia – ale trzy mechanizmy i tak wymuszają opakowania wielokrotnego użytku (RTP): obowiązek obiegu zamkniętego wewnątrz firmy (art. 29 ust. 2), presja OEM-ów i sieci handlowych oraz ograniczenie PFAS w opakowaniach do kontaktu z żywnością (art. 5).</w:t>
      </w:r>
    </w:p>
    <w:p w14:paraId="22606ECE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</w:t>
      </w:r>
      <w:r>
        <w:t xml:space="preserve"> – PPWR przewiduje, że od 2030 r. opakowania transportowe w obiegu między zakładami tego samego przedsiębiorstwa lub przedsiębiorstw powiązanych będą opakowaniami wielokrotnego użytku.</w:t>
      </w:r>
    </w:p>
    <w:p w14:paraId="68878743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Efekt domina</w:t>
      </w:r>
      <w:r>
        <w:t xml:space="preserve"> – Sieć handlowa (art. 29) wymusza opakowania wielokrotnego użytku u dostawców. Dostawca wymusza je w swojej intralogistyce. W praktyce presja ta stopniowo obejmuje kolejne ogniwa łańcucha dostaw.</w:t>
      </w:r>
    </w:p>
    <w:p w14:paraId="325CF88C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Ograniczenie PFAS dotyczy opakowań mających kontakt z żywnością (od 12 sierpnia 2026 r.). Magazyny spożywcze muszą zweryfikować tacki i owinięcia w bezpośrednim kontakcie z produktem – </w:t>
      </w:r>
      <w:r>
        <w:lastRenderedPageBreak/>
        <w:t>palet i folii transportowych przepis nie dotyczy. Audyt opakowań to naturalny moment na przejście na opakowania wielokrotnego użytku.</w:t>
      </w:r>
    </w:p>
    <w:p w14:paraId="33B7D938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2F150253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540700D8" w14:textId="77777777" w:rsidR="00634CFC" w:rsidRDefault="00043D73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Intralogistyka nie jest w PPWR wymieniona osobno, ale rozporządzenie przewiduje, że od 2030 r. opakowania transportowe w obiegu między zakładami tego samego przedsiębiorstwa lub przedsiębiorstw powiązanych będą opakowaniami wielokrotnego użytku (art. 29 ust. 2).</w:t>
      </w:r>
    </w:p>
    <w:p w14:paraId="2BB83E61" w14:textId="77777777" w:rsidR="00634CFC" w:rsidRDefault="00043D73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563DD5E5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1D43970C" w14:textId="77777777" w:rsidR="00634CFC" w:rsidRDefault="00043D73">
      <w:pPr>
        <w:spacing w:after="90" w:line="264" w:lineRule="auto"/>
      </w:pPr>
      <w:r>
        <w:t>Sprawdź gotowość magazynu w kilka minut.</w:t>
      </w:r>
    </w:p>
    <w:p w14:paraId="45066D91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22A63516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5D4F4590" w14:textId="77777777" w:rsidR="00634CFC" w:rsidRDefault="00043D73">
      <w:pPr>
        <w:spacing w:after="90" w:line="264" w:lineRule="auto"/>
      </w:pPr>
      <w:r>
        <w:t>Porównaj opakowania jednorazowe i zwrotne oraz zobacz próg rentowności.</w:t>
      </w:r>
    </w:p>
    <w:p w14:paraId="452C8479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57E2E3A8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Zapytaj eksperta</w:t>
      </w:r>
    </w:p>
    <w:p w14:paraId="36448BBC" w14:textId="77777777" w:rsidR="00634CFC" w:rsidRDefault="00043D73">
      <w:pPr>
        <w:spacing w:after="90" w:line="264" w:lineRule="auto"/>
      </w:pPr>
      <w:r>
        <w:t>Zapytaj eksperta o PPWR w swojej branży.</w:t>
      </w:r>
    </w:p>
    <w:p w14:paraId="7EB16DC1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Umów rozmowę</w:t>
      </w:r>
    </w:p>
    <w:p w14:paraId="77CC89BC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7CCCDE9D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Opakowania wielokrotnego użytku we wdrożeniach bekuplast</w:t>
      </w:r>
    </w:p>
    <w:p w14:paraId="5A852DD6" w14:textId="77777777" w:rsidR="00634CFC" w:rsidRDefault="00043D73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423C4DDF" w14:textId="77777777" w:rsidR="00634CFC" w:rsidRDefault="00043D73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1E8449C4" w14:textId="77777777" w:rsidR="00634CFC" w:rsidRDefault="00043D73">
      <w:pPr>
        <w:spacing w:after="60" w:line="264" w:lineRule="auto"/>
      </w:pPr>
      <w:r>
        <w:t>Intralogistyka sieci drogerii (Landsberg, DE) – indywidualnie zaprojektowane pojemniki kompletacyjne w zautomatyzowanym magazynie centralnym.</w:t>
      </w:r>
    </w:p>
    <w:p w14:paraId="540EB14E" w14:textId="77777777" w:rsidR="00634CFC" w:rsidRDefault="00043D73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52B4D3A7" w14:textId="77777777" w:rsidR="00634CFC" w:rsidRDefault="00043D73">
      <w:pPr>
        <w:spacing w:before="180" w:after="60"/>
      </w:pPr>
      <w:r>
        <w:rPr>
          <w:b/>
          <w:bCs/>
          <w:color w:val="1D1D1D"/>
          <w:sz w:val="23"/>
          <w:szCs w:val="23"/>
        </w:rPr>
        <w:t>Orbico</w:t>
      </w:r>
    </w:p>
    <w:p w14:paraId="7E289118" w14:textId="77777777" w:rsidR="00634CFC" w:rsidRDefault="00043D73">
      <w:pPr>
        <w:spacing w:after="60" w:line="264" w:lineRule="auto"/>
      </w:pPr>
      <w:r>
        <w:t>Dystrybucja beauty i FMCG (PL) – pojemniki contecline w zautomatyzowanych magazynach drobnych części (AKL/Shuttle).</w:t>
      </w:r>
    </w:p>
    <w:p w14:paraId="75534757" w14:textId="77777777" w:rsidR="00634CFC" w:rsidRDefault="00043D73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16E4DE1A" w14:textId="77777777" w:rsidR="00634CFC" w:rsidRDefault="00043D73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65294AE8" w14:textId="77777777" w:rsidR="00634CFC" w:rsidRDefault="00043D73">
      <w:pPr>
        <w:spacing w:after="60" w:line="264" w:lineRule="auto"/>
      </w:pPr>
      <w:r>
        <w:t>Dystrybucja materiałów budowlanych i instalacyjnych (PL) – pojemniki contecline w automatycznym regale Onnimat (projekt DOMINO).</w:t>
      </w:r>
    </w:p>
    <w:p w14:paraId="7C2BA0B6" w14:textId="77777777" w:rsidR="00634CFC" w:rsidRDefault="00043D73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30C15EAE" w14:textId="77777777" w:rsidR="00634CFC" w:rsidRDefault="00043D73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0559F6BB" w14:textId="77777777" w:rsidR="00634CFC" w:rsidRDefault="00043D73">
      <w:pPr>
        <w:spacing w:after="60" w:line="264" w:lineRule="auto"/>
      </w:pPr>
      <w:r>
        <w:t>Dystrybucja części samochodowych (PL) – pojemniki contecline i silverline w magazynach AKL centrum dystrybucyjnego.</w:t>
      </w:r>
    </w:p>
    <w:p w14:paraId="675B1C47" w14:textId="77777777" w:rsidR="00634CFC" w:rsidRDefault="00043D73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2D58C069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lastRenderedPageBreak/>
        <w:t>KOSZT PPWR</w:t>
      </w:r>
    </w:p>
    <w:p w14:paraId="40DA5635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132A15D5" w14:textId="77777777" w:rsidR="00634CFC" w:rsidRDefault="00043D73">
      <w:pPr>
        <w:spacing w:after="180" w:line="264" w:lineRule="auto"/>
      </w:pPr>
      <w:r>
        <w:t>Porównaj koszt opakowań jednorazowych ze zwrotnymi pojemnikami do AKL i shuttle – kalkulator pokaże próg rentowności dla magazynu.</w:t>
      </w:r>
    </w:p>
    <w:p w14:paraId="50945968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6636BA21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5C8F6B8A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051D6806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Produkcja przemysłowa</w:t>
      </w:r>
      <w:r>
        <w:t xml:space="preserve"> – Obieg zamknięty wewnątrz zakładu produkcyjnego (art. 29 PPWR).</w:t>
      </w:r>
    </w:p>
    <w:p w14:paraId="542C6E51" w14:textId="77777777" w:rsidR="00634CFC" w:rsidRDefault="00043D73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Logistyka i transport (3PL)</w:t>
      </w:r>
      <w:r>
        <w:t xml:space="preserve"> – Transport B2B między zakładami, operatorzy logistyczni.</w:t>
      </w:r>
    </w:p>
    <w:p w14:paraId="479105D9" w14:textId="77777777" w:rsidR="00634CFC" w:rsidRPr="00043D73" w:rsidRDefault="00043D73">
      <w:pPr>
        <w:pStyle w:val="Akapitzlist"/>
        <w:numPr>
          <w:ilvl w:val="0"/>
          <w:numId w:val="2"/>
        </w:numPr>
        <w:spacing w:after="120" w:line="264" w:lineRule="auto"/>
        <w:rPr>
          <w:lang w:val="en-GB"/>
        </w:rPr>
      </w:pPr>
      <w:r w:rsidRPr="00043D73">
        <w:rPr>
          <w:b/>
          <w:bCs/>
          <w:color w:val="1D1D1D"/>
          <w:lang w:val="en-GB"/>
        </w:rPr>
        <w:t>E-commerce, 3PL i fulfillment</w:t>
      </w:r>
      <w:r w:rsidRPr="00043D73">
        <w:rPr>
          <w:lang w:val="en-GB"/>
        </w:rPr>
        <w:t xml:space="preserve"> – Magazyny typu fulfillment center (art. 29 PPWR).</w:t>
      </w:r>
    </w:p>
    <w:p w14:paraId="219A294E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322F5626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5D08CE36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Czym jest intralogistyka?</w:t>
      </w:r>
    </w:p>
    <w:p w14:paraId="35DBE8BA" w14:textId="77777777" w:rsidR="00634CFC" w:rsidRDefault="00043D73">
      <w:pPr>
        <w:spacing w:after="150" w:line="264" w:lineRule="auto"/>
      </w:pPr>
      <w:r>
        <w:t>Intralogistyka to wewnętrzny przepływ materiałów w obrębie jednego zakładu lub między zakładami tej samej firmy. Obejmuje sprzęt (regały, AKL, AGV, AMR, przenośniki), oprogramowanie (WMS, WCS) i pojemniki transportowe.</w:t>
      </w:r>
    </w:p>
    <w:p w14:paraId="507BEBC1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Czym różni się pojemnik intralogistyczny od skrzynki transportowej?</w:t>
      </w:r>
    </w:p>
    <w:p w14:paraId="3D103031" w14:textId="77777777" w:rsidR="00634CFC" w:rsidRDefault="00043D73">
      <w:pPr>
        <w:spacing w:after="150" w:line="264" w:lineRule="auto"/>
      </w:pPr>
      <w:r>
        <w:t>Pojemnik intralogistyczny ma wyższą precyzję wymiarową i wytrzymałość na sztaplowanie niż standardowa skrzynka transportowa, ma miejsce na znaczniki RFID i pick-by-light oraz jest projektowany pod wielokrotną rotację w obiegu zamkniętym.</w:t>
      </w:r>
    </w:p>
    <w:p w14:paraId="3115A2EA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Czy pojemniki silverline pasują do magazynów AKL i systemów shuttle?</w:t>
      </w:r>
    </w:p>
    <w:p w14:paraId="2617C00E" w14:textId="77777777" w:rsidR="00634CFC" w:rsidRDefault="00043D73">
      <w:pPr>
        <w:spacing w:after="150" w:line="264" w:lineRule="auto"/>
      </w:pPr>
      <w:r>
        <w:t>Tak – projektujemy pojemniki silverline w wymiarach EURO-NORM, które dobieramy do wymagań głównych systemów magazynów automatycznych (AKL, shuttle, miniload). Szczegóły kompatybilności ustalamy indywidualnie pod system w Twoim magazynie.</w:t>
      </w:r>
    </w:p>
    <w:p w14:paraId="782F92C7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Czy intralogistyka jest objęta PPWR?</w:t>
      </w:r>
    </w:p>
    <w:p w14:paraId="541ED740" w14:textId="77777777" w:rsidR="00634CFC" w:rsidRDefault="00043D73">
      <w:pPr>
        <w:spacing w:after="150" w:line="264" w:lineRule="auto"/>
      </w:pPr>
      <w:r>
        <w:t>Cele procentowe – co najmniej 40% od 2030 r. oraz dążenie do 70% od 2040 r. – z art. 29 ust. 1 dotyczą podmiotów gospodarczych stosujących opakowania transportowe. Transport między zakładami tej samej firmy lub firm powiązanych reguluje jednak wprost art. 29 ust. 2 – PPWR przewiduje, że od 2030 r. takie opakowania będą opakowaniami wielokrotnego użytku. Poza zakresem pozostaje tylko przepływ w obrębie jednego zakładu. Dochodzi do tego presja OEM-ów i sieci handlowych.</w:t>
      </w:r>
    </w:p>
    <w:p w14:paraId="3E348EF0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Co to są pojemniki ESD i kiedy są potrzebne?</w:t>
      </w:r>
    </w:p>
    <w:p w14:paraId="015C5B1E" w14:textId="12AC9548" w:rsidR="00634CFC" w:rsidRDefault="00043D73">
      <w:pPr>
        <w:spacing w:after="150" w:line="264" w:lineRule="auto"/>
      </w:pPr>
      <w:r>
        <w:t>Pojemniki ESD wykonane z tworzywa PP-ESD stale rozpraszają ładunki elektrostatyczne, chroniąc wrażliwe komponenty elektroniczne przed wyładowaniami (m</w:t>
      </w:r>
      <w:r w:rsidRPr="00043D73">
        <w:t>ateriał PP-ESD zapewnia trwałe rozpraszanie ładunków elektrostatycznych zgodnie z wymaganiami dla zastosowań ESD</w:t>
      </w:r>
      <w:r>
        <w:t>).</w:t>
      </w:r>
    </w:p>
    <w:p w14:paraId="4F203DC7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t>Jakie systemy WMS obsługujecie integracją?</w:t>
      </w:r>
    </w:p>
    <w:p w14:paraId="22EED7C2" w14:textId="77777777" w:rsidR="00634CFC" w:rsidRDefault="00043D73">
      <w:pPr>
        <w:spacing w:after="150" w:line="264" w:lineRule="auto"/>
      </w:pPr>
      <w:r>
        <w:t>Nie integrujemy bezpośrednio (nie jesteśmy dostawcą oprogramowania), ale dopasowujemy pojemniki do systemu WMS klienta: trwałe znakowanie pod kod WMS, znaczniki RFID i wycięcia pod pick-by-light.</w:t>
      </w:r>
    </w:p>
    <w:p w14:paraId="3FD7F1F6" w14:textId="77777777" w:rsidR="00634CFC" w:rsidRDefault="00043D73">
      <w:pPr>
        <w:spacing w:before="240" w:after="80"/>
      </w:pPr>
      <w:r>
        <w:rPr>
          <w:b/>
          <w:bCs/>
          <w:color w:val="1D1D1D"/>
          <w:sz w:val="22"/>
          <w:szCs w:val="22"/>
        </w:rPr>
        <w:lastRenderedPageBreak/>
        <w:t>Czy projektujecie pojemniki na specjalne wymiary klienta?</w:t>
      </w:r>
    </w:p>
    <w:p w14:paraId="5A6A44F4" w14:textId="77777777" w:rsidR="00634CFC" w:rsidRDefault="00043D73">
      <w:pPr>
        <w:spacing w:after="150" w:line="264" w:lineRule="auto"/>
      </w:pPr>
      <w:r>
        <w:t>Tak – projektujemy pojemniki w indywidualnych wymiarach dopasowanych do systemu magazynowego klienta (m.in. w oparciu o serię contecline do magazynów automatycznych). Produkcja na indywidualne zamówienie – minimalną wielkość i czas realizacji ustalamy indywidualnie.</w:t>
      </w:r>
    </w:p>
    <w:p w14:paraId="39E435A2" w14:textId="77777777" w:rsidR="00634CFC" w:rsidRDefault="00043D73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02EA5E66" w14:textId="77777777" w:rsidR="00634CFC" w:rsidRDefault="00043D73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74341AA9" w14:textId="77777777" w:rsidR="00634CFC" w:rsidRDefault="00043D73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0DEFBAAA" w14:textId="77777777" w:rsidR="00634CFC" w:rsidRDefault="00043D73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40D8BA24" w14:textId="77777777" w:rsidR="00634CFC" w:rsidRDefault="00043D73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5569BB43" w14:textId="77777777" w:rsidR="00634CFC" w:rsidRDefault="00043D73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5441DE6B" w14:textId="77777777" w:rsidR="00634CFC" w:rsidRDefault="00043D73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Pozostaw dane kontaktowe</w:t>
      </w:r>
    </w:p>
    <w:p w14:paraId="7DFE89FB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29005D98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zapoznałem/am się z Polityką prywatności dotyczącą zasad ich przetwarzania.</w:t>
      </w:r>
    </w:p>
    <w:p w14:paraId="0E1349FE" w14:textId="77777777" w:rsidR="00634CFC" w:rsidRDefault="00043D73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634CFC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668C" w14:textId="77777777" w:rsidR="00043D73" w:rsidRDefault="00043D73">
      <w:r>
        <w:separator/>
      </w:r>
    </w:p>
  </w:endnote>
  <w:endnote w:type="continuationSeparator" w:id="0">
    <w:p w14:paraId="13B666CA" w14:textId="77777777" w:rsidR="00043D73" w:rsidRDefault="00043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16B1" w14:textId="77777777" w:rsidR="00634CFC" w:rsidRDefault="00043D73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>Strona 05 – Intralogistyka i magazyn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0EF1B" w14:textId="77777777" w:rsidR="00043D73" w:rsidRDefault="00043D73">
      <w:r>
        <w:separator/>
      </w:r>
    </w:p>
  </w:footnote>
  <w:footnote w:type="continuationSeparator" w:id="0">
    <w:p w14:paraId="01724CF0" w14:textId="77777777" w:rsidR="00043D73" w:rsidRDefault="00043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F9D"/>
    <w:multiLevelType w:val="hybridMultilevel"/>
    <w:tmpl w:val="7B74B060"/>
    <w:lvl w:ilvl="0" w:tplc="D85E3F9A">
      <w:start w:val="1"/>
      <w:numFmt w:val="bullet"/>
      <w:lvlText w:val="●"/>
      <w:lvlJc w:val="left"/>
      <w:pPr>
        <w:ind w:left="720" w:hanging="360"/>
      </w:pPr>
    </w:lvl>
    <w:lvl w:ilvl="1" w:tplc="4BA0909C">
      <w:start w:val="1"/>
      <w:numFmt w:val="bullet"/>
      <w:lvlText w:val="○"/>
      <w:lvlJc w:val="left"/>
      <w:pPr>
        <w:ind w:left="1440" w:hanging="360"/>
      </w:pPr>
    </w:lvl>
    <w:lvl w:ilvl="2" w:tplc="38906CD2">
      <w:start w:val="1"/>
      <w:numFmt w:val="bullet"/>
      <w:lvlText w:val="■"/>
      <w:lvlJc w:val="left"/>
      <w:pPr>
        <w:ind w:left="2160" w:hanging="360"/>
      </w:pPr>
    </w:lvl>
    <w:lvl w:ilvl="3" w:tplc="36A6E5BA">
      <w:start w:val="1"/>
      <w:numFmt w:val="bullet"/>
      <w:lvlText w:val="●"/>
      <w:lvlJc w:val="left"/>
      <w:pPr>
        <w:ind w:left="2880" w:hanging="360"/>
      </w:pPr>
    </w:lvl>
    <w:lvl w:ilvl="4" w:tplc="AB66EBE6">
      <w:start w:val="1"/>
      <w:numFmt w:val="bullet"/>
      <w:lvlText w:val="○"/>
      <w:lvlJc w:val="left"/>
      <w:pPr>
        <w:ind w:left="3600" w:hanging="360"/>
      </w:pPr>
    </w:lvl>
    <w:lvl w:ilvl="5" w:tplc="87E84F18">
      <w:start w:val="1"/>
      <w:numFmt w:val="bullet"/>
      <w:lvlText w:val="■"/>
      <w:lvlJc w:val="left"/>
      <w:pPr>
        <w:ind w:left="4320" w:hanging="360"/>
      </w:pPr>
    </w:lvl>
    <w:lvl w:ilvl="6" w:tplc="BD82CDBA">
      <w:start w:val="1"/>
      <w:numFmt w:val="bullet"/>
      <w:lvlText w:val="●"/>
      <w:lvlJc w:val="left"/>
      <w:pPr>
        <w:ind w:left="5040" w:hanging="360"/>
      </w:pPr>
    </w:lvl>
    <w:lvl w:ilvl="7" w:tplc="DE469E36">
      <w:start w:val="1"/>
      <w:numFmt w:val="bullet"/>
      <w:lvlText w:val="●"/>
      <w:lvlJc w:val="left"/>
      <w:pPr>
        <w:ind w:left="5760" w:hanging="360"/>
      </w:pPr>
    </w:lvl>
    <w:lvl w:ilvl="8" w:tplc="15A6E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54176"/>
    <w:multiLevelType w:val="hybridMultilevel"/>
    <w:tmpl w:val="369C67B0"/>
    <w:lvl w:ilvl="0" w:tplc="327873D0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716228BE">
      <w:numFmt w:val="decimal"/>
      <w:lvlText w:val=""/>
      <w:lvlJc w:val="left"/>
    </w:lvl>
    <w:lvl w:ilvl="2" w:tplc="77021188">
      <w:numFmt w:val="decimal"/>
      <w:lvlText w:val=""/>
      <w:lvlJc w:val="left"/>
    </w:lvl>
    <w:lvl w:ilvl="3" w:tplc="1276B592">
      <w:numFmt w:val="decimal"/>
      <w:lvlText w:val=""/>
      <w:lvlJc w:val="left"/>
    </w:lvl>
    <w:lvl w:ilvl="4" w:tplc="4E884DC6">
      <w:numFmt w:val="decimal"/>
      <w:lvlText w:val=""/>
      <w:lvlJc w:val="left"/>
    </w:lvl>
    <w:lvl w:ilvl="5" w:tplc="2500FC36">
      <w:numFmt w:val="decimal"/>
      <w:lvlText w:val=""/>
      <w:lvlJc w:val="left"/>
    </w:lvl>
    <w:lvl w:ilvl="6" w:tplc="71320180">
      <w:numFmt w:val="decimal"/>
      <w:lvlText w:val=""/>
      <w:lvlJc w:val="left"/>
    </w:lvl>
    <w:lvl w:ilvl="7" w:tplc="EF3C8986">
      <w:numFmt w:val="decimal"/>
      <w:lvlText w:val=""/>
      <w:lvlJc w:val="left"/>
    </w:lvl>
    <w:lvl w:ilvl="8" w:tplc="5D505DC6">
      <w:numFmt w:val="decimal"/>
      <w:lvlText w:val=""/>
      <w:lvlJc w:val="left"/>
    </w:lvl>
  </w:abstractNum>
  <w:num w:numId="1" w16cid:durableId="343480245">
    <w:abstractNumId w:val="0"/>
    <w:lvlOverride w:ilvl="0">
      <w:startOverride w:val="1"/>
    </w:lvlOverride>
  </w:num>
  <w:num w:numId="2" w16cid:durableId="375592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CFC"/>
    <w:rsid w:val="00043D73"/>
    <w:rsid w:val="0037422B"/>
    <w:rsid w:val="0063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3BC9"/>
  <w15:docId w15:val="{E852FBC3-DDD7-4C3B-A2F0-349513D4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1353</Words>
  <Characters>8121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05 – Intralogistyka i magazyn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2026-07-24T07:52:00Z</dcterms:modified>
</cp:coreProperties>
</file>