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D8BE" w14:textId="77777777" w:rsidR="00845615" w:rsidRDefault="00886ACB">
      <w:pPr>
        <w:spacing w:after="60"/>
      </w:pPr>
      <w:r>
        <w:rPr>
          <w:b/>
          <w:bCs/>
          <w:color w:val="1D1D1D"/>
          <w:sz w:val="40"/>
          <w:szCs w:val="40"/>
        </w:rPr>
        <w:t>Strona 09 – Handel detaliczny i FMCG</w:t>
      </w:r>
    </w:p>
    <w:p w14:paraId="5027C6BE" w14:textId="77777777" w:rsidR="00845615" w:rsidRDefault="00886ACB">
      <w:pPr>
        <w:spacing w:after="30"/>
      </w:pPr>
      <w:r>
        <w:rPr>
          <w:color w:val="717171"/>
          <w:sz w:val="17"/>
          <w:szCs w:val="17"/>
        </w:rPr>
        <w:t>Makieta v14 · /branzowe/handel-detaliczny-fmcg/</w:t>
      </w:r>
    </w:p>
    <w:p w14:paraId="21003912" w14:textId="77777777" w:rsidR="00845615" w:rsidRPr="00886ACB" w:rsidRDefault="00886ACB">
      <w:pPr>
        <w:spacing w:after="30"/>
        <w:rPr>
          <w:lang w:val="en-GB"/>
        </w:rPr>
      </w:pPr>
      <w:r w:rsidRPr="00886ACB">
        <w:rPr>
          <w:color w:val="717171"/>
          <w:sz w:val="17"/>
          <w:szCs w:val="17"/>
          <w:lang w:val="en-GB"/>
        </w:rPr>
        <w:t>Persona: Category Manager / Logistics Director sieci</w:t>
      </w:r>
    </w:p>
    <w:p w14:paraId="209A3D69" w14:textId="77777777" w:rsidR="00845615" w:rsidRDefault="00886ACB">
      <w:pPr>
        <w:spacing w:after="140"/>
      </w:pPr>
      <w:r>
        <w:rPr>
          <w:color w:val="717171"/>
          <w:sz w:val="17"/>
          <w:szCs w:val="17"/>
        </w:rPr>
        <w:t>Główna fraza: opakowania zwrotne dla handlu</w:t>
      </w:r>
    </w:p>
    <w:p w14:paraId="58329EC3" w14:textId="77777777" w:rsidR="00845615" w:rsidRDefault="00886ACB">
      <w:pPr>
        <w:pBdr>
          <w:top w:val="single" w:sz="6" w:space="10" w:color="DEDEDE"/>
        </w:pBdr>
        <w:spacing w:after="120"/>
      </w:pPr>
      <w:r>
        <w:rPr>
          <w:i/>
          <w:iCs/>
          <w:color w:val="717171"/>
          <w:sz w:val="17"/>
          <w:szCs w:val="17"/>
        </w:rPr>
        <w:t>Dokument zawiera treść makiety do recenzji. Komentarze prosimy nanosić bezpośrednio w pliku.</w:t>
      </w:r>
    </w:p>
    <w:p w14:paraId="290192D5" w14:textId="77777777" w:rsidR="00845615" w:rsidRDefault="00845615">
      <w:pPr>
        <w:pBdr>
          <w:bottom w:val="single" w:sz="6" w:space="2" w:color="DEDEDE"/>
        </w:pBdr>
        <w:spacing w:before="120" w:after="260"/>
      </w:pPr>
    </w:p>
    <w:p w14:paraId="3C6AAFC0" w14:textId="77777777" w:rsidR="00845615" w:rsidRDefault="00886ACB">
      <w:pPr>
        <w:pStyle w:val="Nagwek1"/>
        <w:spacing w:before="120" w:after="160"/>
      </w:pPr>
      <w:r>
        <w:rPr>
          <w:b/>
          <w:bCs/>
          <w:color w:val="1D1D1D"/>
        </w:rPr>
        <w:t>Opakowania zwrotne dla handlu i FMCG</w:t>
      </w:r>
    </w:p>
    <w:p w14:paraId="63E51F55" w14:textId="77777777" w:rsidR="00845615" w:rsidRDefault="00886ACB">
      <w:pPr>
        <w:spacing w:after="200" w:line="276" w:lineRule="auto"/>
      </w:pPr>
      <w:r>
        <w:rPr>
          <w:color w:val="434343"/>
          <w:sz w:val="23"/>
          <w:szCs w:val="23"/>
        </w:rPr>
        <w:t>Opakowania transportowe dla handlu detalicznego i FMCG: palety, skrzynki przegrodowe i systemy dystrybucyjne dla sieci handlowych, hurtowni i dystrybutorów FMCG. PPWR art. 29 – 40% opakowań wielokrotnego użytku do 2030 r.</w:t>
      </w:r>
    </w:p>
    <w:p w14:paraId="67EFDDC3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Przyciski: </w:t>
      </w:r>
      <w:r>
        <w:rPr>
          <w:color w:val="717171"/>
          <w:sz w:val="17"/>
          <w:szCs w:val="17"/>
        </w:rPr>
        <w:t>Zapytaj eksperta  ·  Przeprowadź audyt PPWR</w:t>
      </w:r>
    </w:p>
    <w:p w14:paraId="781B7287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NAJWAŻNIEJSZE</w:t>
      </w:r>
    </w:p>
    <w:p w14:paraId="5005AC70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Kluczowe wnioski</w:t>
      </w:r>
    </w:p>
    <w:p w14:paraId="04B52739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Sieci handlowe należą do branż silnie objętych obowiązkami PPWR.</w:t>
      </w:r>
      <w:r>
        <w:t xml:space="preserve"> Przejście z opakowań jednorazowych na wielokrotnego użytku to projekt na lata 2026–2030.</w:t>
      </w:r>
    </w:p>
    <w:p w14:paraId="34AE63B7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PPWR</w:t>
      </w:r>
      <w:r>
        <w:t xml:space="preserve"> dotyczy podmiotów gospodarczych stosujących opakowania transportowe – w tym sieci handlowych i hurtowni. Obowiązuje </w:t>
      </w:r>
      <w:r>
        <w:rPr>
          <w:b/>
          <w:bCs/>
          <w:color w:val="1D1D1D"/>
        </w:rPr>
        <w:t>40% opakowań wielokrotnego użytku do 2030 r. i dążenie do 70% do 2040 r.</w:t>
      </w:r>
      <w:r>
        <w:t xml:space="preserve"> Obowiązek dotyczy podmiotu stosującego opakowania, nawet gdy nie jest ich producentem.</w:t>
      </w:r>
    </w:p>
    <w:p w14:paraId="21342B30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Skrzynki przegrodowe, palety plastikowe i systemy dystrybucyjne</w:t>
      </w:r>
      <w:r>
        <w:t xml:space="preserve"> to fundament RTP w handlu detalicznym.</w:t>
      </w:r>
    </w:p>
    <w:p w14:paraId="6969A3C1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Nie projektujemy pojedynczego SKU</w:t>
      </w:r>
      <w:r>
        <w:t xml:space="preserve"> – projektujemy system: DC → sklep → zwrot → mycie → DC.</w:t>
      </w:r>
    </w:p>
    <w:p w14:paraId="14BC22B8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WYZWANIA</w:t>
      </w:r>
    </w:p>
    <w:p w14:paraId="108CAD23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Pięć wyzwań handlu detalicznego i FMCG, które rozwiązujemy systemowo</w:t>
      </w:r>
    </w:p>
    <w:p w14:paraId="7FDAC558" w14:textId="77777777" w:rsidR="00845615" w:rsidRDefault="00886ACB">
      <w:pPr>
        <w:spacing w:after="180" w:line="264" w:lineRule="auto"/>
      </w:pPr>
      <w:r>
        <w:t>Pokazujemy, jak opakowania zwrotne zastępują opakowania jednorazowe w logistyce handlu i FMCG – od centrum dystrybucyjnego po półkę.</w:t>
      </w:r>
    </w:p>
    <w:p w14:paraId="06D1B290" w14:textId="77777777" w:rsidR="00845615" w:rsidRDefault="00886AC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Dystrybucja DC → sklep dziś głównie na opakowaniach jednorazowych</w:t>
      </w:r>
    </w:p>
    <w:p w14:paraId="35BBFFE0" w14:textId="77777777" w:rsidR="00845615" w:rsidRDefault="00886ACB">
      <w:pPr>
        <w:spacing w:after="90" w:line="264" w:lineRule="auto"/>
      </w:pPr>
      <w:r>
        <w:t>Polskie sieci wysyłają z DC do sklepu produkty głównie w kartonach jednorazowych, folii stretch i na paletach drewnianych EPAL. Obieg zamknięty DC → sklep → zwrot → mycie obniża koszt odpadów.</w:t>
      </w:r>
    </w:p>
    <w:p w14:paraId="08540BBF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ALC tradeline AL643G – Obieg zamknięty DC → sklep</w:t>
      </w:r>
    </w:p>
    <w:p w14:paraId="1B5349EC" w14:textId="77777777" w:rsidR="00845615" w:rsidRDefault="00886AC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PPWR art. 29 – obowiązek po stronie podmiotu stosującego opakowania</w:t>
      </w:r>
    </w:p>
    <w:p w14:paraId="6547AAAA" w14:textId="77777777" w:rsidR="00845615" w:rsidRDefault="00886ACB">
      <w:pPr>
        <w:spacing w:after="90" w:line="264" w:lineRule="auto"/>
      </w:pPr>
      <w:r>
        <w:t>Do 2030 r. sieć wielosklepowa będzie zobowiązana przestawić co najmniej 40% strumienia opakowań transportowych na wielokrotnego użytku. Rozwiązanie: skrzynki przegrodowe i palety plastikowe.</w:t>
      </w:r>
    </w:p>
    <w:p w14:paraId="096B23FD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Skrzynki przegrodowe – + palety plastikowe</w:t>
      </w:r>
    </w:p>
    <w:p w14:paraId="6E50476C" w14:textId="77777777" w:rsidR="00845615" w:rsidRDefault="00886AC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ROP za opakowania – rosnący koszt opakowań jednorazowych</w:t>
      </w:r>
    </w:p>
    <w:p w14:paraId="18D0E203" w14:textId="3931AB8B" w:rsidR="00845615" w:rsidRDefault="00886ACB">
      <w:pPr>
        <w:spacing w:after="180" w:line="264" w:lineRule="auto"/>
      </w:pPr>
      <w:r w:rsidRPr="00886ACB">
        <w:t>W zależności od modelu biznesowego sieci część kosztów ROP może dotyczyć zarówno opakowań produktów, jak i opakowań wykorzystywanych w logistyce</w:t>
      </w:r>
    </w:p>
    <w:p w14:paraId="207B5699" w14:textId="77777777" w:rsidR="00845615" w:rsidRDefault="00886AC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lastRenderedPageBreak/>
        <w:t>04. Kaucja konsumencka – operacyjna integracja sklepu</w:t>
      </w:r>
    </w:p>
    <w:p w14:paraId="36B5E654" w14:textId="77777777" w:rsidR="00845615" w:rsidRDefault="00886ACB">
      <w:pPr>
        <w:spacing w:after="90" w:line="264" w:lineRule="auto"/>
      </w:pPr>
      <w:r>
        <w:t>Zbiórka opakowań objętych systemem kaucyjnym (m.in. butelki szklane, puszki, PET) wymaga infrastruktury zbierania w sklepie: skrzynki przegrodowe, systemy znakowania zwrotnego, integracja z systemem rozliczeniowym. Skrzynki przegrodowe z trwałym znakowaniem i miejscem na etykietę identyfikacyjną są gotowe na zharmonizowane oznakowanie opakowań przewidziane w PPWR.</w:t>
      </w:r>
    </w:p>
    <w:p w14:paraId="7B51E793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Skrzynki przegrodowe – trwałe znakowanie i etykiety identyfikacyjne</w:t>
      </w:r>
    </w:p>
    <w:p w14:paraId="102DE20C" w14:textId="77777777" w:rsidR="00845615" w:rsidRDefault="00886AC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05. Presja ze strony międzynarodowych central</w:t>
      </w:r>
    </w:p>
    <w:p w14:paraId="4B45B2B6" w14:textId="77777777" w:rsidR="00845615" w:rsidRDefault="00886ACB">
      <w:pPr>
        <w:spacing w:after="90" w:line="264" w:lineRule="auto"/>
      </w:pPr>
      <w:r>
        <w:t>Wiele polskich sieci handlowych należy do międzynarodowych grup z korporacyjnymi strategiami ponownego użycia. Rekomendujemy start od pilotażu i stopniowe skalowanie do 2030 r.</w:t>
      </w:r>
    </w:p>
    <w:p w14:paraId="4BE5CD7A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Indywidualne pod sieć – projektowane pod wymagania Twojej sieci</w:t>
      </w:r>
    </w:p>
    <w:p w14:paraId="4A08A799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PRODUKTY</w:t>
      </w:r>
    </w:p>
    <w:p w14:paraId="49127019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Systemy dystrybucyjne, skrzynki i palety dla sieci handlowych</w:t>
      </w:r>
    </w:p>
    <w:p w14:paraId="63634EEA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ALC tradeline AL643G</w:t>
      </w:r>
      <w:r>
        <w:t xml:space="preserve"> – ALC tradeline dla zwrotów, dystrybucji do sklepów, e-commerce B2B</w:t>
      </w:r>
    </w:p>
    <w:p w14:paraId="73D74D0F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Skrzynki przegrodowe</w:t>
      </w:r>
      <w:r>
        <w:t xml:space="preserve"> – Napoje, butelki zwrotne</w:t>
      </w:r>
    </w:p>
    <w:p w14:paraId="25B4216D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basicline</w:t>
      </w:r>
      <w:r>
        <w:t xml:space="preserve"> – Uniwersalna DC → sklep</w:t>
      </w:r>
    </w:p>
    <w:p w14:paraId="0A731882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lightline</w:t>
      </w:r>
      <w:r>
        <w:t xml:space="preserve"> – Przenoszenie ręczne</w:t>
      </w:r>
    </w:p>
    <w:p w14:paraId="7C7FF8C2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Składane (clever)</w:t>
      </w:r>
      <w:r>
        <w:t xml:space="preserve"> – Redukcja objętości do 84%</w:t>
      </w:r>
    </w:p>
    <w:p w14:paraId="547719E5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Palety Euro</w:t>
      </w:r>
      <w:r>
        <w:t xml:space="preserve"> – Bez obróbki ISPM-15</w:t>
      </w:r>
    </w:p>
    <w:p w14:paraId="782943EC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Indywidualne pod sieć</w:t>
      </w:r>
      <w:r>
        <w:t xml:space="preserve"> – projektowane pod wymagania Twojej sieci</w:t>
      </w:r>
    </w:p>
    <w:p w14:paraId="621FBDDA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PPWR · ZGODNOŚĆ</w:t>
      </w:r>
    </w:p>
    <w:p w14:paraId="76C33D9E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PPWR dla sieci handlowych – najpilniejszy problem i jak go rozwiązać</w:t>
      </w:r>
    </w:p>
    <w:p w14:paraId="3B1FC60B" w14:textId="77777777" w:rsidR="00845615" w:rsidRDefault="00886ACB">
      <w:pPr>
        <w:spacing w:after="180" w:line="264" w:lineRule="auto"/>
      </w:pPr>
      <w:r>
        <w:t>Handel detaliczny i FMCG to jedna z branż najmocniej objętych obowiązkami PPWR – dotyczą Cię praktycznie wszystkie kluczowe artykuły PPWR jednocześnie. Trzy etapy dla Twojej sieci: pilotaż w wybranych sklepach, pełne wdrożenie w jednej kategorii, a następnie ponowne użycie w całej sieci do 2030 r.</w:t>
      </w:r>
    </w:p>
    <w:p w14:paraId="4CFD6059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25 + zał. V</w:t>
      </w:r>
      <w:r>
        <w:t xml:space="preserve"> – Ograniczenia niektórych jednorazowych opakowań z tworzyw sztucznych – m.in. dla wybranych świeżych owoców i warzyw w małych opakowaniach oraz porcji serwowanych na miejscu w gastronomii.</w:t>
      </w:r>
    </w:p>
    <w:p w14:paraId="2F6613B2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5 PFAS</w:t>
      </w:r>
      <w:r>
        <w:t xml:space="preserve"> – Ograniczenie PFAS w opakowaniach mających kontakt z żywnością od 12 sierpnia 2026 r. (np. powlekane pudełka na frytki, tacki). To odrębny przepis – nie dotyczy palet ani ich obróbki.</w:t>
      </w:r>
    </w:p>
    <w:p w14:paraId="7A0E5393" w14:textId="4FADC524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6</w:t>
      </w:r>
      <w:r>
        <w:t xml:space="preserve"> – Cele ponownego użycia opakowań napojowych – s</w:t>
      </w:r>
      <w:r w:rsidRPr="00886ACB">
        <w:t>ieci handlowe odgrywają kluczową rolę w organizacji systemów zwrotu opakowań napojowych zgodnie z PPWR oraz przepisami krajowymi</w:t>
      </w:r>
      <w:r>
        <w:t>.</w:t>
      </w:r>
    </w:p>
    <w:p w14:paraId="12A92C49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50</w:t>
      </w:r>
      <w:r>
        <w:t xml:space="preserve"> – Harmonizacja systemów kaucyjnych (DRS) w Unii Europejskiej oraz krajowy system kaucyjny w Polsce sprawiają, że sieci handlowe stają się fizycznymi punktami zbierania puszek i PET.</w:t>
      </w:r>
    </w:p>
    <w:p w14:paraId="7F14A5FC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NASTĘPNE KROKI</w:t>
      </w:r>
    </w:p>
    <w:p w14:paraId="5630C0F6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Co możesz zrobić już teraz</w:t>
      </w:r>
    </w:p>
    <w:p w14:paraId="2767867E" w14:textId="77777777" w:rsidR="00845615" w:rsidRDefault="00886ACB">
      <w:pPr>
        <w:pBdr>
          <w:left w:val="single" w:sz="18" w:space="14" w:color="65B32E"/>
        </w:pBdr>
        <w:spacing w:before="160" w:after="60" w:line="264" w:lineRule="auto"/>
        <w:ind w:left="340"/>
      </w:pPr>
      <w:r>
        <w:rPr>
          <w:i/>
          <w:iCs/>
          <w:color w:val="434343"/>
        </w:rPr>
        <w:t xml:space="preserve">Sieci handlowe jako podmioty gospodarcze stosujące opakowania transportowe są objęte celami ponownego użycia (co najmniej 40% do 2030 r.; dążenie do 70% do 2040 r.) oraz obowiązkami systemów </w:t>
      </w:r>
      <w:r>
        <w:rPr>
          <w:i/>
          <w:iCs/>
          <w:color w:val="434343"/>
        </w:rPr>
        <w:lastRenderedPageBreak/>
        <w:t>kaucyjnych dla jednorazowych butelek PET i puszek (wymóg unijny od 2029 r.; w Polsce od 1 października 2025 r.).</w:t>
      </w:r>
    </w:p>
    <w:p w14:paraId="499F638B" w14:textId="77777777" w:rsidR="00845615" w:rsidRDefault="00886ACB">
      <w:pPr>
        <w:spacing w:after="220"/>
        <w:ind w:left="340"/>
      </w:pPr>
      <w:r>
        <w:rPr>
          <w:color w:val="9A9A9A"/>
          <w:sz w:val="16"/>
          <w:szCs w:val="16"/>
        </w:rPr>
        <w:t>zgodnie z rozporządzeniem (UE) 2025/40 Parlamentu Europejskiego i Rady z dnia 19 grudnia 2024 r. w sprawie opakowań i odpadów opakowaniowych (PPWR)</w:t>
      </w:r>
    </w:p>
    <w:p w14:paraId="02BAA830" w14:textId="77777777" w:rsidR="00845615" w:rsidRDefault="00886AC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Przeprowadź audyt PPWR</w:t>
      </w:r>
    </w:p>
    <w:p w14:paraId="4DD2E100" w14:textId="77777777" w:rsidR="00845615" w:rsidRDefault="00886ACB">
      <w:pPr>
        <w:spacing w:after="90" w:line="264" w:lineRule="auto"/>
      </w:pPr>
      <w:r>
        <w:t>Sprawdź gotowość sieci w kilka minut.</w:t>
      </w:r>
    </w:p>
    <w:p w14:paraId="2E0E933F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Przejdź do audytu</w:t>
      </w:r>
    </w:p>
    <w:p w14:paraId="0033A4FE" w14:textId="77777777" w:rsidR="00845615" w:rsidRDefault="00886AC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Oblicz koszt PPWR</w:t>
      </w:r>
    </w:p>
    <w:p w14:paraId="584D543A" w14:textId="77777777" w:rsidR="00845615" w:rsidRDefault="00886ACB">
      <w:pPr>
        <w:spacing w:after="90" w:line="264" w:lineRule="auto"/>
      </w:pPr>
      <w:r>
        <w:t>Porównaj opakowania jednorazowe i zwrotne, zobacz próg rentowności.</w:t>
      </w:r>
    </w:p>
    <w:p w14:paraId="29A51881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Otwórz kalkulator</w:t>
      </w:r>
    </w:p>
    <w:p w14:paraId="3DA9D026" w14:textId="77777777" w:rsidR="00845615" w:rsidRDefault="00886AC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Zapytaj eksperta</w:t>
      </w:r>
    </w:p>
    <w:p w14:paraId="36A31FFE" w14:textId="77777777" w:rsidR="00845615" w:rsidRDefault="00886ACB">
      <w:pPr>
        <w:spacing w:after="90" w:line="264" w:lineRule="auto"/>
      </w:pPr>
      <w:r>
        <w:t>Zapytaj eksperta o PPWR w swojej branży.</w:t>
      </w:r>
    </w:p>
    <w:p w14:paraId="2B0F131D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Umów rozmowę</w:t>
      </w:r>
    </w:p>
    <w:p w14:paraId="7C5D1014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CASE STUDIES</w:t>
      </w:r>
    </w:p>
    <w:p w14:paraId="193ED996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Opakowania wielokrotnego użytku we wdrożeniach bekuplast</w:t>
      </w:r>
    </w:p>
    <w:p w14:paraId="1B2E0EF6" w14:textId="77777777" w:rsidR="00845615" w:rsidRDefault="00886ACB">
      <w:pPr>
        <w:spacing w:after="180" w:line="264" w:lineRule="auto"/>
      </w:pPr>
      <w:r>
        <w:t>Każde wdrożenie to osobna historia naszego Klienta. Indywidualne wymagania, do których dopasowujemy optymalne rozwiązania.</w:t>
      </w:r>
    </w:p>
    <w:p w14:paraId="5100A113" w14:textId="77777777" w:rsidR="00845615" w:rsidRDefault="00886ACB">
      <w:pPr>
        <w:spacing w:before="180" w:after="60"/>
      </w:pPr>
      <w:r>
        <w:rPr>
          <w:b/>
          <w:bCs/>
          <w:color w:val="1D1D1D"/>
          <w:sz w:val="23"/>
          <w:szCs w:val="23"/>
        </w:rPr>
        <w:t>ROSSMANN</w:t>
      </w:r>
    </w:p>
    <w:p w14:paraId="2030281A" w14:textId="77777777" w:rsidR="00845615" w:rsidRDefault="00886ACB">
      <w:pPr>
        <w:spacing w:after="60" w:line="264" w:lineRule="auto"/>
      </w:pPr>
      <w:r>
        <w:t>Intralogistyka centralnego magazynu w Landsberg (DE) – pojemniki obiegowe w magazynie centralnym.</w:t>
      </w:r>
    </w:p>
    <w:p w14:paraId="727F2AE2" w14:textId="77777777" w:rsidR="00845615" w:rsidRDefault="00886ACB">
      <w:pPr>
        <w:spacing w:after="160"/>
        <w:ind w:left="240"/>
      </w:pPr>
      <w:r>
        <w:rPr>
          <w:color w:val="717171"/>
          <w:sz w:val="17"/>
          <w:szCs w:val="17"/>
        </w:rPr>
        <w:t>2025  ·  160 000 pojemników kompletacyjnych</w:t>
      </w:r>
    </w:p>
    <w:p w14:paraId="139D1E35" w14:textId="77777777" w:rsidR="00845615" w:rsidRDefault="00886ACB">
      <w:pPr>
        <w:spacing w:before="180" w:after="60"/>
      </w:pPr>
      <w:r>
        <w:rPr>
          <w:b/>
          <w:bCs/>
          <w:color w:val="1D1D1D"/>
          <w:sz w:val="23"/>
          <w:szCs w:val="23"/>
        </w:rPr>
        <w:t>Orbico</w:t>
      </w:r>
    </w:p>
    <w:p w14:paraId="0D9CA5B5" w14:textId="77777777" w:rsidR="00845615" w:rsidRDefault="00886ACB">
      <w:pPr>
        <w:spacing w:after="60" w:line="264" w:lineRule="auto"/>
      </w:pPr>
      <w:r>
        <w:t>Dystrybucja beauty i FMCG (PL) – pojemniki contecline w kompletacji AKL/Shuttle.</w:t>
      </w:r>
    </w:p>
    <w:p w14:paraId="4D8DCB0C" w14:textId="77777777" w:rsidR="00845615" w:rsidRDefault="00886ACB">
      <w:pPr>
        <w:spacing w:after="160"/>
        <w:ind w:left="240"/>
      </w:pPr>
      <w:r>
        <w:rPr>
          <w:color w:val="717171"/>
          <w:sz w:val="17"/>
          <w:szCs w:val="17"/>
        </w:rPr>
        <w:t>2023  ·  46 000 pojemników</w:t>
      </w:r>
    </w:p>
    <w:p w14:paraId="53B37156" w14:textId="77777777" w:rsidR="00845615" w:rsidRDefault="00886ACB">
      <w:pPr>
        <w:spacing w:before="180" w:after="60"/>
      </w:pPr>
      <w:r>
        <w:rPr>
          <w:b/>
          <w:bCs/>
          <w:color w:val="1D1D1D"/>
          <w:sz w:val="23"/>
          <w:szCs w:val="23"/>
        </w:rPr>
        <w:t>Onninen</w:t>
      </w:r>
    </w:p>
    <w:p w14:paraId="260FD240" w14:textId="77777777" w:rsidR="00845615" w:rsidRDefault="00886ACB">
      <w:pPr>
        <w:spacing w:after="60" w:line="264" w:lineRule="auto"/>
      </w:pPr>
      <w:r>
        <w:t>Dystrybucja materiałów budowlanych (PL) – projekt DOMINO, pojemniki contecline.</w:t>
      </w:r>
    </w:p>
    <w:p w14:paraId="4801AB34" w14:textId="77777777" w:rsidR="00845615" w:rsidRDefault="00886ACB">
      <w:pPr>
        <w:spacing w:after="160"/>
        <w:ind w:left="240"/>
      </w:pPr>
      <w:r>
        <w:rPr>
          <w:color w:val="717171"/>
          <w:sz w:val="17"/>
          <w:szCs w:val="17"/>
        </w:rPr>
        <w:t>2019  ·  40 000 pojemników</w:t>
      </w:r>
    </w:p>
    <w:p w14:paraId="0311CE73" w14:textId="77777777" w:rsidR="00845615" w:rsidRDefault="00886ACB">
      <w:pPr>
        <w:spacing w:before="180" w:after="60"/>
      </w:pPr>
      <w:r>
        <w:rPr>
          <w:b/>
          <w:bCs/>
          <w:color w:val="1D1D1D"/>
          <w:sz w:val="23"/>
          <w:szCs w:val="23"/>
        </w:rPr>
        <w:t>Auto Partner SA</w:t>
      </w:r>
    </w:p>
    <w:p w14:paraId="5D29BC1C" w14:textId="77777777" w:rsidR="00845615" w:rsidRDefault="00886ACB">
      <w:pPr>
        <w:spacing w:after="60" w:line="264" w:lineRule="auto"/>
      </w:pPr>
      <w:r>
        <w:t>Dystrybucja części samochodowych (PL) – pojemniki contecline i silverline.</w:t>
      </w:r>
    </w:p>
    <w:p w14:paraId="25227011" w14:textId="77777777" w:rsidR="00845615" w:rsidRDefault="00886ACB">
      <w:pPr>
        <w:spacing w:after="160"/>
        <w:ind w:left="240"/>
      </w:pPr>
      <w:r>
        <w:rPr>
          <w:color w:val="717171"/>
          <w:sz w:val="17"/>
          <w:szCs w:val="17"/>
        </w:rPr>
        <w:t>2022  ·  27 000 pojemników</w:t>
      </w:r>
    </w:p>
    <w:p w14:paraId="35320A41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KOSZT PPWR</w:t>
      </w:r>
    </w:p>
    <w:p w14:paraId="5BC01D6E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Koszt przejścia na opakowania wielokrotnego użytku</w:t>
      </w:r>
    </w:p>
    <w:p w14:paraId="7435D92D" w14:textId="77777777" w:rsidR="00845615" w:rsidRDefault="00886ACB">
      <w:pPr>
        <w:spacing w:after="180" w:line="264" w:lineRule="auto"/>
      </w:pPr>
      <w:r>
        <w:t>Porównaj koszt opakowań jednorazowych i zwrotnych skrzynek dystrybucyjnych dla sieci – kalkulator pomoże oszacować próg rentowności.</w:t>
      </w:r>
    </w:p>
    <w:p w14:paraId="50D999D8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Oblicz koszt PPWR online.</w:t>
      </w:r>
    </w:p>
    <w:p w14:paraId="46EFCF1B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POWIĄZANE</w:t>
      </w:r>
    </w:p>
    <w:p w14:paraId="78E91E44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Może Cię też zainteresować</w:t>
      </w:r>
    </w:p>
    <w:p w14:paraId="223B0047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lastRenderedPageBreak/>
        <w:t>E-commerce, 3PL i fulfillment</w:t>
      </w:r>
      <w:r>
        <w:t xml:space="preserve"> – Operatorzy e-commerce i fulfillmentu to kolejny strumień objęty obowiązkami PPWR (art. 29), o ile stosują opakowania transportowe.</w:t>
      </w:r>
    </w:p>
    <w:p w14:paraId="4C867B16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Przetwórstwo żywności</w:t>
      </w:r>
      <w:r>
        <w:t xml:space="preserve"> – Producenci żywności (mleczarnie, piekarnie, zakłady mięsne) są Twoimi dostawcami. HACCP, PPWR i PFAS w sektorze spożywczym.</w:t>
      </w:r>
    </w:p>
    <w:p w14:paraId="5E2CC5EB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Sprzedaż i transport na rynku napojów</w:t>
      </w:r>
      <w:r>
        <w:t xml:space="preserve"> – Kategoria napoje należy do najbardziej wrażliwych regulacyjnie: kaucja + ROP za napoje + PPWR.</w:t>
      </w:r>
    </w:p>
    <w:p w14:paraId="76B1BAC9" w14:textId="77777777" w:rsidR="00845615" w:rsidRDefault="00886AC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Logistyka i transport (3PL)</w:t>
      </w:r>
      <w:r>
        <w:t xml:space="preserve"> – Operatorzy logistyczni obsługujący transport DC → DC.</w:t>
      </w:r>
    </w:p>
    <w:p w14:paraId="1B5798DF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FAQ</w:t>
      </w:r>
    </w:p>
    <w:p w14:paraId="0A907390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Najczęściej zadawane pytania</w:t>
      </w:r>
    </w:p>
    <w:p w14:paraId="62AE18E7" w14:textId="77777777" w:rsidR="00845615" w:rsidRDefault="00886ACB">
      <w:pPr>
        <w:spacing w:before="240" w:after="80"/>
      </w:pPr>
      <w:r>
        <w:rPr>
          <w:b/>
          <w:bCs/>
          <w:color w:val="1D1D1D"/>
          <w:sz w:val="22"/>
          <w:szCs w:val="22"/>
        </w:rPr>
        <w:t>Czym jest art. 29 PPWR dla sieci handlowych i dlaczego jest tak ważny?</w:t>
      </w:r>
    </w:p>
    <w:p w14:paraId="4BFE3B98" w14:textId="77777777" w:rsidR="00845615" w:rsidRDefault="00886ACB">
      <w:pPr>
        <w:spacing w:after="150" w:line="264" w:lineRule="auto"/>
      </w:pPr>
      <w:r>
        <w:t>Art. 29 PPWR dotyczy podmiotów gospodarczych stosujących opakowania transportowe – w tym sieci handlowych i hurtowni. Wymaga, aby co najmniej 40% takich opakowań stanowiły opakowania wielokrotnego użytku do 2030 r., a do 2040 r. podmioty te dążą do co najmniej 70%. Obowiązek dotyczy podmiotu stosującego opakowania transportowe nawet wtedy, gdy nie jest ich producentem.</w:t>
      </w:r>
    </w:p>
    <w:p w14:paraId="734122B6" w14:textId="77777777" w:rsidR="00845615" w:rsidRDefault="00886ACB">
      <w:pPr>
        <w:spacing w:before="240" w:after="80"/>
      </w:pPr>
      <w:r>
        <w:rPr>
          <w:b/>
          <w:bCs/>
          <w:color w:val="1D1D1D"/>
          <w:sz w:val="22"/>
          <w:szCs w:val="22"/>
        </w:rPr>
        <w:t>Jakie są kary za niespełnienie art. 29 PPWR?</w:t>
      </w:r>
    </w:p>
    <w:p w14:paraId="24DDA0EC" w14:textId="77777777" w:rsidR="00845615" w:rsidRDefault="00886ACB">
      <w:pPr>
        <w:spacing w:after="150" w:line="264" w:lineRule="auto"/>
      </w:pPr>
      <w:r>
        <w:t>Kary za niespełnienie celów PPWR określi polska ustawa krajowa wdrażająca rozporządzenie (obecnie w toku prac legislacyjnych); ich ostateczna wysokość nie jest jeszcze przesądzona (art. 68 PPWR pozostawia wysokość kar państwom członkowskim, termin ustanowienia przepisów: 12.02.2027).</w:t>
      </w:r>
    </w:p>
    <w:p w14:paraId="65733A80" w14:textId="77777777" w:rsidR="00845615" w:rsidRDefault="00886ACB">
      <w:pPr>
        <w:spacing w:before="240" w:after="80"/>
      </w:pPr>
      <w:r>
        <w:rPr>
          <w:b/>
          <w:bCs/>
          <w:color w:val="1D1D1D"/>
          <w:sz w:val="22"/>
          <w:szCs w:val="22"/>
        </w:rPr>
        <w:t>Czy to dotyczy wszystkich sieci handlowych w Polsce?</w:t>
      </w:r>
    </w:p>
    <w:p w14:paraId="10982641" w14:textId="77777777" w:rsidR="00845615" w:rsidRDefault="00886ACB">
      <w:pPr>
        <w:spacing w:after="150" w:line="264" w:lineRule="auto"/>
      </w:pPr>
      <w:r>
        <w:t>Co do zasady tak – art. 29 PPWR obejmuje podmioty stosujące opakowania transportowe, czyli praktycznie wszystkie sieci ponadlokalne (sieci spożywcze, cash&amp;carry, drogerie i sieci franczyzowe). Zwolnione jest jedynie mikroprzedsiębiorstwo, które w danym roku udostępniło nie więcej niż 1000 kg opakowań na terytorium państwa członkowskiego (art. 29 ust. 13).</w:t>
      </w:r>
    </w:p>
    <w:p w14:paraId="380058B7" w14:textId="77777777" w:rsidR="00845615" w:rsidRDefault="00886ACB">
      <w:pPr>
        <w:spacing w:before="240" w:after="80"/>
      </w:pPr>
      <w:r>
        <w:rPr>
          <w:b/>
          <w:bCs/>
          <w:color w:val="1D1D1D"/>
          <w:sz w:val="22"/>
          <w:szCs w:val="22"/>
        </w:rPr>
        <w:t>Czy pojedyncze sklepy lub franczyza są objęte?</w:t>
      </w:r>
    </w:p>
    <w:p w14:paraId="00583ACD" w14:textId="77777777" w:rsidR="00845615" w:rsidRDefault="00886ACB">
      <w:pPr>
        <w:spacing w:after="150" w:line="264" w:lineRule="auto"/>
      </w:pPr>
      <w:r>
        <w:t>Ze zwolnienia może skorzystać tylko mikroprzedsiębiorstwo udostępniające nie więcej niż 1000 kg opakowań rocznie (art. 29 ust. 13) – PPWR nie przewiduje progu obrotowego dla tego obowiązku. Sieci franczyzowe są objęte na poziomie centrali, ale zakres wdrożenia zależy od struktury organizacyjnej.</w:t>
      </w:r>
    </w:p>
    <w:p w14:paraId="53D4878A" w14:textId="77777777" w:rsidR="00845615" w:rsidRDefault="00886ACB">
      <w:pPr>
        <w:spacing w:before="240" w:after="80"/>
      </w:pPr>
      <w:r>
        <w:rPr>
          <w:b/>
          <w:bCs/>
          <w:color w:val="1D1D1D"/>
          <w:sz w:val="22"/>
          <w:szCs w:val="22"/>
        </w:rPr>
        <w:t>Jak wygląda typowy pilotaż RTP w sieci handlowej?</w:t>
      </w:r>
    </w:p>
    <w:p w14:paraId="1B609466" w14:textId="77777777" w:rsidR="00845615" w:rsidRDefault="00886ACB">
      <w:pPr>
        <w:spacing w:after="150" w:line="264" w:lineRule="auto"/>
      </w:pPr>
      <w:r>
        <w:t>Wybieramy 1–2 kategorie produktowe + grupę wybranych sklepów w jednym regionie + DC obsługujące tę grupę. Wdrażamy: skrzynki przegrodowe + palety plastikowe + system znakowania + integrację z systemem magazynowym. Czas uruchomienia ustalamy indywidualnie w zależności od skali.</w:t>
      </w:r>
    </w:p>
    <w:p w14:paraId="6329D80E" w14:textId="77777777" w:rsidR="00845615" w:rsidRDefault="00886ACB">
      <w:pPr>
        <w:spacing w:before="240" w:after="80"/>
      </w:pPr>
      <w:r>
        <w:rPr>
          <w:b/>
          <w:bCs/>
          <w:color w:val="1D1D1D"/>
          <w:sz w:val="22"/>
          <w:szCs w:val="22"/>
        </w:rPr>
        <w:t>Czy pomożecie nam dobrać skrzynki przegrodowe pod kategorię świeżych warzyw?</w:t>
      </w:r>
    </w:p>
    <w:p w14:paraId="57528A78" w14:textId="77777777" w:rsidR="00845615" w:rsidRDefault="00886ACB">
      <w:pPr>
        <w:spacing w:after="150" w:line="264" w:lineRule="auto"/>
      </w:pPr>
      <w:r>
        <w:t>Tak – projektujemy skrzynki indywidualne pod konkretne kategorie produktów. Dla warzyw świeżych stosujemy skrzynki z otworami wentylacyjnymi (np. warianty perforowane serii basicline lub lightline). Czas realizacji i prototypowania ustalamy indywidualnie.</w:t>
      </w:r>
    </w:p>
    <w:p w14:paraId="14970154" w14:textId="77777777" w:rsidR="00845615" w:rsidRDefault="00886ACB">
      <w:pPr>
        <w:spacing w:before="240" w:after="80"/>
      </w:pPr>
      <w:r>
        <w:rPr>
          <w:b/>
          <w:bCs/>
          <w:color w:val="1D1D1D"/>
          <w:sz w:val="22"/>
          <w:szCs w:val="22"/>
        </w:rPr>
        <w:t>Czy macie doświadczenie z sieciami handlowymi w Niemczech / DACH?</w:t>
      </w:r>
    </w:p>
    <w:p w14:paraId="001A9DEE" w14:textId="77777777" w:rsidR="00845615" w:rsidRDefault="00886ACB">
      <w:pPr>
        <w:spacing w:after="150" w:line="264" w:lineRule="auto"/>
      </w:pPr>
      <w:r>
        <w:t>Tak – opakowania transportowe wielokrotnego użytku (Mehrweg) są od lat utrwalonym rozwiązaniem w niemieckim handlu spożywczym. Polska spółka bekuplast korzysta z tej wiedzy i doświadczenia.</w:t>
      </w:r>
    </w:p>
    <w:p w14:paraId="18295F99" w14:textId="77777777" w:rsidR="00845615" w:rsidRDefault="00886AC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KONTAKT</w:t>
      </w:r>
    </w:p>
    <w:p w14:paraId="0645238A" w14:textId="77777777" w:rsidR="00845615" w:rsidRDefault="00886AC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lastRenderedPageBreak/>
        <w:t>Omówmy rozwiązanie dla Twojego procesu</w:t>
      </w:r>
    </w:p>
    <w:p w14:paraId="25711465" w14:textId="77777777" w:rsidR="00845615" w:rsidRDefault="00886ACB">
      <w:pPr>
        <w:pStyle w:val="Akapitzlist"/>
        <w:numPr>
          <w:ilvl w:val="0"/>
          <w:numId w:val="2"/>
        </w:numPr>
        <w:spacing w:after="100" w:line="264" w:lineRule="auto"/>
      </w:pPr>
      <w:r>
        <w:t>Szybki kontakt zwrotny</w:t>
      </w:r>
    </w:p>
    <w:p w14:paraId="7E28399D" w14:textId="77777777" w:rsidR="00845615" w:rsidRDefault="00886ACB">
      <w:pPr>
        <w:pStyle w:val="Akapitzlist"/>
        <w:numPr>
          <w:ilvl w:val="0"/>
          <w:numId w:val="2"/>
        </w:numPr>
        <w:spacing w:after="100" w:line="264" w:lineRule="auto"/>
      </w:pPr>
      <w:r>
        <w:t>Rozmawiamy o Twoich konkretnych potrzebach</w:t>
      </w:r>
    </w:p>
    <w:p w14:paraId="68374706" w14:textId="77777777" w:rsidR="00845615" w:rsidRDefault="00886ACB">
      <w:pPr>
        <w:pStyle w:val="Akapitzlist"/>
        <w:numPr>
          <w:ilvl w:val="0"/>
          <w:numId w:val="2"/>
        </w:numPr>
        <w:spacing w:after="100" w:line="264" w:lineRule="auto"/>
      </w:pPr>
      <w:r>
        <w:t>Bezpłatnie i bez zobowiązań</w:t>
      </w:r>
    </w:p>
    <w:p w14:paraId="2BACAF49" w14:textId="77777777" w:rsidR="00845615" w:rsidRDefault="00886ACB">
      <w:pPr>
        <w:pStyle w:val="Akapitzlist"/>
        <w:numPr>
          <w:ilvl w:val="0"/>
          <w:numId w:val="2"/>
        </w:numPr>
        <w:spacing w:after="100" w:line="264" w:lineRule="auto"/>
      </w:pPr>
      <w:r>
        <w:t>Możliwość pozyskania próbek produktów</w:t>
      </w:r>
    </w:p>
    <w:p w14:paraId="1ACD51E6" w14:textId="77777777" w:rsidR="00845615" w:rsidRDefault="00886AC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Pozostaw dane kontaktowe</w:t>
      </w:r>
    </w:p>
    <w:p w14:paraId="51CB97E1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Pola: </w:t>
      </w:r>
      <w:r>
        <w:rPr>
          <w:color w:val="717171"/>
          <w:sz w:val="17"/>
          <w:szCs w:val="17"/>
        </w:rPr>
        <w:t>Imię i nazwisko  ·  Firma  ·  E-mail  ·  Telefon</w:t>
      </w:r>
    </w:p>
    <w:p w14:paraId="0A8E7CD7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Zgoda: </w:t>
      </w:r>
      <w:r>
        <w:rPr>
          <w:color w:val="717171"/>
          <w:sz w:val="17"/>
          <w:szCs w:val="17"/>
        </w:rPr>
        <w:t>Wyrażam zgodę na przetwarzanie danych osobowych i potwierdzam, że zapoznałem/am się z Polityką prywatności dotyczącą zasad ich przetwarzania.</w:t>
      </w:r>
    </w:p>
    <w:p w14:paraId="1757FF60" w14:textId="77777777" w:rsidR="00845615" w:rsidRDefault="00886AC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Proszę o kontakt</w:t>
      </w:r>
    </w:p>
    <w:sectPr w:rsidR="00845615">
      <w:footerReference w:type="default" r:id="rId7"/>
      <w:pgSz w:w="11906" w:h="16838"/>
      <w:pgMar w:top="1247" w:right="1247" w:bottom="1133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5602" w14:textId="77777777" w:rsidR="00886ACB" w:rsidRDefault="00886ACB">
      <w:r>
        <w:separator/>
      </w:r>
    </w:p>
  </w:endnote>
  <w:endnote w:type="continuationSeparator" w:id="0">
    <w:p w14:paraId="355A5FE3" w14:textId="77777777" w:rsidR="00886ACB" w:rsidRDefault="00886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01D53" w14:textId="77777777" w:rsidR="00845615" w:rsidRDefault="00886ACB">
    <w:pPr>
      <w:pBdr>
        <w:top w:val="single" w:sz="4" w:space="8" w:color="DEDEDE"/>
      </w:pBdr>
      <w:tabs>
        <w:tab w:val="right" w:pos="9412"/>
      </w:tabs>
    </w:pPr>
    <w:r>
      <w:rPr>
        <w:color w:val="9A9A9A"/>
        <w:sz w:val="15"/>
        <w:szCs w:val="15"/>
      </w:rPr>
      <w:t>Strona 09 – Handel detaliczny i FMCG · makieta v14</w:t>
    </w:r>
    <w:r>
      <w:rPr>
        <w:sz w:val="15"/>
        <w:szCs w:val="15"/>
      </w:rPr>
      <w:tab/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4F67F" w14:textId="77777777" w:rsidR="00886ACB" w:rsidRDefault="00886ACB">
      <w:r>
        <w:separator/>
      </w:r>
    </w:p>
  </w:footnote>
  <w:footnote w:type="continuationSeparator" w:id="0">
    <w:p w14:paraId="7A39E0B7" w14:textId="77777777" w:rsidR="00886ACB" w:rsidRDefault="00886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5044C"/>
    <w:multiLevelType w:val="hybridMultilevel"/>
    <w:tmpl w:val="11A677CE"/>
    <w:lvl w:ilvl="0" w:tplc="BAA6F22E">
      <w:start w:val="1"/>
      <w:numFmt w:val="bullet"/>
      <w:lvlText w:val="●"/>
      <w:lvlJc w:val="left"/>
      <w:pPr>
        <w:ind w:left="720" w:hanging="360"/>
      </w:pPr>
    </w:lvl>
    <w:lvl w:ilvl="1" w:tplc="6180D79A">
      <w:start w:val="1"/>
      <w:numFmt w:val="bullet"/>
      <w:lvlText w:val="○"/>
      <w:lvlJc w:val="left"/>
      <w:pPr>
        <w:ind w:left="1440" w:hanging="360"/>
      </w:pPr>
    </w:lvl>
    <w:lvl w:ilvl="2" w:tplc="DD1297EA">
      <w:start w:val="1"/>
      <w:numFmt w:val="bullet"/>
      <w:lvlText w:val="■"/>
      <w:lvlJc w:val="left"/>
      <w:pPr>
        <w:ind w:left="2160" w:hanging="360"/>
      </w:pPr>
    </w:lvl>
    <w:lvl w:ilvl="3" w:tplc="6CA699E0">
      <w:start w:val="1"/>
      <w:numFmt w:val="bullet"/>
      <w:lvlText w:val="●"/>
      <w:lvlJc w:val="left"/>
      <w:pPr>
        <w:ind w:left="2880" w:hanging="360"/>
      </w:pPr>
    </w:lvl>
    <w:lvl w:ilvl="4" w:tplc="989ACD3C">
      <w:start w:val="1"/>
      <w:numFmt w:val="bullet"/>
      <w:lvlText w:val="○"/>
      <w:lvlJc w:val="left"/>
      <w:pPr>
        <w:ind w:left="3600" w:hanging="360"/>
      </w:pPr>
    </w:lvl>
    <w:lvl w:ilvl="5" w:tplc="F2D0E030">
      <w:start w:val="1"/>
      <w:numFmt w:val="bullet"/>
      <w:lvlText w:val="■"/>
      <w:lvlJc w:val="left"/>
      <w:pPr>
        <w:ind w:left="4320" w:hanging="360"/>
      </w:pPr>
    </w:lvl>
    <w:lvl w:ilvl="6" w:tplc="2E4EEB6C">
      <w:start w:val="1"/>
      <w:numFmt w:val="bullet"/>
      <w:lvlText w:val="●"/>
      <w:lvlJc w:val="left"/>
      <w:pPr>
        <w:ind w:left="5040" w:hanging="360"/>
      </w:pPr>
    </w:lvl>
    <w:lvl w:ilvl="7" w:tplc="3E9C6D4A">
      <w:start w:val="1"/>
      <w:numFmt w:val="bullet"/>
      <w:lvlText w:val="●"/>
      <w:lvlJc w:val="left"/>
      <w:pPr>
        <w:ind w:left="5760" w:hanging="360"/>
      </w:pPr>
    </w:lvl>
    <w:lvl w:ilvl="8" w:tplc="2912F3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F1675D"/>
    <w:multiLevelType w:val="hybridMultilevel"/>
    <w:tmpl w:val="2F4CEA98"/>
    <w:lvl w:ilvl="0" w:tplc="5F9E9D2C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65B32E"/>
        <w:sz w:val="21"/>
        <w:szCs w:val="21"/>
      </w:rPr>
    </w:lvl>
    <w:lvl w:ilvl="1" w:tplc="11C62450">
      <w:numFmt w:val="decimal"/>
      <w:lvlText w:val=""/>
      <w:lvlJc w:val="left"/>
    </w:lvl>
    <w:lvl w:ilvl="2" w:tplc="73D421C4">
      <w:numFmt w:val="decimal"/>
      <w:lvlText w:val=""/>
      <w:lvlJc w:val="left"/>
    </w:lvl>
    <w:lvl w:ilvl="3" w:tplc="D1482D5A">
      <w:numFmt w:val="decimal"/>
      <w:lvlText w:val=""/>
      <w:lvlJc w:val="left"/>
    </w:lvl>
    <w:lvl w:ilvl="4" w:tplc="35D20A64">
      <w:numFmt w:val="decimal"/>
      <w:lvlText w:val=""/>
      <w:lvlJc w:val="left"/>
    </w:lvl>
    <w:lvl w:ilvl="5" w:tplc="E7BA7E66">
      <w:numFmt w:val="decimal"/>
      <w:lvlText w:val=""/>
      <w:lvlJc w:val="left"/>
    </w:lvl>
    <w:lvl w:ilvl="6" w:tplc="7AF0DC28">
      <w:numFmt w:val="decimal"/>
      <w:lvlText w:val=""/>
      <w:lvlJc w:val="left"/>
    </w:lvl>
    <w:lvl w:ilvl="7" w:tplc="95627654">
      <w:numFmt w:val="decimal"/>
      <w:lvlText w:val=""/>
      <w:lvlJc w:val="left"/>
    </w:lvl>
    <w:lvl w:ilvl="8" w:tplc="10804B9A">
      <w:numFmt w:val="decimal"/>
      <w:lvlText w:val=""/>
      <w:lvlJc w:val="left"/>
    </w:lvl>
  </w:abstractNum>
  <w:num w:numId="1" w16cid:durableId="240071239">
    <w:abstractNumId w:val="0"/>
    <w:lvlOverride w:ilvl="0">
      <w:startOverride w:val="1"/>
    </w:lvlOverride>
  </w:num>
  <w:num w:numId="2" w16cid:durableId="14096879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615"/>
    <w:rsid w:val="00845615"/>
    <w:rsid w:val="00886ACB"/>
    <w:rsid w:val="00BB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68BC7"/>
  <w15:docId w15:val="{5B2D7342-3D89-4F0B-85D2-1D0AA9B5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1412</Words>
  <Characters>8473</Characters>
  <Application>Microsoft Office Word</Application>
  <DocSecurity>0</DocSecurity>
  <Lines>70</Lines>
  <Paragraphs>19</Paragraphs>
  <ScaleCrop>false</ScaleCrop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09 – Handel detaliczny i FMCG</dc:title>
  <dc:creator>crear agency</dc:creator>
  <dc:description>Treść makiety branżowej PPWR v14 do recenzji</dc:description>
  <cp:lastModifiedBy>Monika Sojka</cp:lastModifiedBy>
  <cp:revision>2</cp:revision>
  <dcterms:created xsi:type="dcterms:W3CDTF">2026-07-20T12:21:00Z</dcterms:created>
  <dcterms:modified xsi:type="dcterms:W3CDTF">2026-07-24T08:08:00Z</dcterms:modified>
</cp:coreProperties>
</file>