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1D1D"/>
          <w:sz w:val="40"/>
          <w:szCs w:val="40"/>
        </w:rPr>
        <w:t xml:space="preserve">Strona 02 – Przetwórstwo żywności</w:t>
      </w:r>
    </w:p>
    <w:p>
      <w:pPr>
        <w:spacing w:after="30" w:line="240"/>
      </w:pPr>
      <w:r>
        <w:rPr>
          <w:rFonts w:ascii="Calibri" w:cs="Calibri" w:eastAsia="Calibri" w:hAnsi="Calibri"/>
          <w:color w:val="717171"/>
          <w:sz w:val="17"/>
          <w:szCs w:val="17"/>
        </w:rPr>
        <w:t xml:space="preserve">Makieta v15 · /branzowe/przetworstwo-zywnosci/</w:t>
      </w:r>
    </w:p>
    <w:p>
      <w:pPr>
        <w:spacing w:after="30" w:line="240"/>
      </w:pPr>
      <w:r>
        <w:rPr>
          <w:rFonts w:ascii="Calibri" w:cs="Calibri" w:eastAsia="Calibri" w:hAnsi="Calibri"/>
          <w:color w:val="717171"/>
          <w:sz w:val="17"/>
          <w:szCs w:val="17"/>
        </w:rPr>
        <w:t xml:space="preserve">Persona: Plant Manager / Specjalista F&amp;B</w:t>
      </w:r>
    </w:p>
    <w:p>
      <w:pPr>
        <w:spacing w:after="140" w:line="240"/>
      </w:pPr>
      <w:r>
        <w:rPr>
          <w:rFonts w:ascii="Calibri" w:cs="Calibri" w:eastAsia="Calibri" w:hAnsi="Calibri"/>
          <w:color w:val="717171"/>
          <w:sz w:val="17"/>
          <w:szCs w:val="17"/>
        </w:rPr>
        <w:t xml:space="preserve">Główna fraza: opakowania dla branży spożywczej</w:t>
      </w:r>
    </w:p>
    <w:p>
      <w:pPr>
        <w:pBdr>
          <w:top w:val="single" w:color="DEDEDE" w:sz="6" w:space="10"/>
        </w:pBdr>
        <w:spacing w:after="120" w:line="240"/>
      </w:pPr>
      <w:r>
        <w:rPr>
          <w:rFonts w:ascii="Calibri" w:cs="Calibri" w:eastAsia="Calibri" w:hAnsi="Calibri"/>
          <w:i/>
          <w:iCs/>
          <w:color w:val="717171"/>
          <w:sz w:val="17"/>
          <w:szCs w:val="17"/>
        </w:rPr>
        <w:t xml:space="preserve">Dokument zawiera treść makiety do recenzji. Komentarze prosimy nanosić bezpośrednio w pliku.</w:t>
      </w:r>
    </w:p>
    <w:p>
      <w:pPr>
        <w:pBdr>
          <w:bottom w:val="single" w:color="DEDEDE" w:sz="6" w:space="2"/>
        </w:pBdr>
        <w:spacing w:after="260" w:before="120"/>
      </w:pPr>
      <w:r>
        <w:rPr>
          <w:rFonts w:ascii="Calibri" w:cs="Calibri" w:eastAsia="Calibri" w:hAnsi="Calibri"/>
          <w:sz w:val="2"/>
          <w:szCs w:val="2"/>
        </w:rPr>
        <w:t xml:space="preserve"/>
      </w:r>
    </w:p>
    <w:p>
      <w:pPr>
        <w:pStyle w:val="Heading1"/>
        <w:spacing w:after="160" w:before="120"/>
      </w:pPr>
      <w:r>
        <w:rPr>
          <w:rFonts w:ascii="Calibri" w:cs="Calibri" w:eastAsia="Calibri" w:hAnsi="Calibri"/>
          <w:b/>
          <w:bCs/>
          <w:color w:val="1D1D1D"/>
          <w:sz w:val="32"/>
          <w:szCs w:val="32"/>
        </w:rPr>
        <w:t xml:space="preserve">Opakowania dla branży spożywczej</w:t>
      </w:r>
    </w:p>
    <w:p>
      <w:pPr>
        <w:spacing w:after="200" w:line="276"/>
      </w:pPr>
      <w:r>
        <w:rPr>
          <w:rFonts w:ascii="Calibri" w:cs="Calibri" w:eastAsia="Calibri" w:hAnsi="Calibri"/>
          <w:color w:val="434343"/>
          <w:sz w:val="23"/>
          <w:szCs w:val="23"/>
        </w:rPr>
        <w:t xml:space="preserve">Pojemniki dla piekarni, mleczarni, zakładów mięsnych i przetwórstwa rybnego. HDPE dopuszczone do kontaktu z żywnością oraz konstrukcja ułatwiająca utrzymanie standardów higienicznych zgodnych z zasadami HACCP.</w:t>
      </w:r>
    </w:p>
    <w:p>
      <w:pPr>
        <w:spacing w:after="160" w:line="240"/>
        <w:ind w:left="240"/>
      </w:pPr>
      <w:r>
        <w:rPr>
          <w:rFonts w:ascii="Calibri" w:cs="Calibri" w:eastAsia="Calibri" w:hAnsi="Calibri"/>
          <w:b/>
          <w:bCs/>
          <w:color w:val="9A9A9A"/>
          <w:sz w:val="17"/>
          <w:szCs w:val="17"/>
        </w:rPr>
        <w:t xml:space="preserve">Przyciski: </w:t>
      </w:r>
      <w:r>
        <w:rPr>
          <w:rFonts w:ascii="Calibri" w:cs="Calibri" w:eastAsia="Calibri" w:hAnsi="Calibri"/>
          <w:color w:val="717171"/>
          <w:sz w:val="17"/>
          <w:szCs w:val="17"/>
        </w:rPr>
        <w:t xml:space="preserve">Zapytaj eksperta  ·  Przeprowadź audyt PPWR</w:t>
      </w:r>
    </w:p>
    <w:p>
      <w:pPr>
        <w:spacing w:after="40" w:before="420"/>
      </w:pPr>
      <w:r>
        <w:rPr>
          <w:rFonts w:ascii="Calibri" w:cs="Calibri" w:eastAsia="Calibri" w:hAnsi="Calibri"/>
          <w:b/>
          <w:bCs/>
          <w:color w:val="65B32E"/>
          <w:spacing w:val="30"/>
          <w:sz w:val="15"/>
          <w:szCs w:val="15"/>
        </w:rPr>
        <w:t xml:space="preserve">NAJWAŻNIEJSZE</w:t>
      </w:r>
    </w:p>
    <w:p>
      <w:pPr>
        <w:pStyle w:val="Heading2"/>
        <w:pBdr>
          <w:bottom w:val="single" w:color="DEDEDE" w:sz="6" w:space="8"/>
        </w:pBdr>
        <w:spacing w:after="180" w:before="40"/>
      </w:pPr>
      <w:r>
        <w:rPr>
          <w:rFonts w:ascii="Calibri" w:cs="Calibri" w:eastAsia="Calibri" w:hAnsi="Calibri"/>
          <w:b/>
          <w:bCs/>
          <w:color w:val="427718"/>
          <w:sz w:val="27"/>
          <w:szCs w:val="27"/>
        </w:rPr>
        <w:t xml:space="preserve">Kluczowe wnioski</w:t>
      </w:r>
    </w:p>
    <w:p>
      <w:pPr>
        <w:pStyle w:val="ListParagraph"/>
        <w:numPr>
          <w:ilvl w:val="0"/>
          <w:numId w:val="2"/>
        </w:numPr>
        <w:spacing w:after="120" w:line="264"/>
      </w:pPr>
      <w:r>
        <w:rPr>
          <w:rFonts w:ascii="Calibri" w:cs="Calibri" w:eastAsia="Calibri" w:hAnsi="Calibri"/>
          <w:b/>
          <w:bCs/>
          <w:color w:val="1D1D1D"/>
          <w:sz w:val="21"/>
          <w:szCs w:val="21"/>
        </w:rPr>
        <w:t xml:space="preserve">Branżę spożywczą czekają dwie istotne zmiany regulacyjne – większość przepisów PPWR zacznie obowiązywać od 12 sierpnia 2026 r.</w:t>
      </w:r>
      <w:r>
        <w:rPr>
          <w:rFonts w:ascii="Calibri" w:cs="Calibri" w:eastAsia="Calibri" w:hAnsi="Calibri"/>
          <w:b w:val="false"/>
          <w:bCs w:val="false"/>
          <w:color w:val="2D2D2D"/>
          <w:sz w:val="21"/>
          <w:szCs w:val="21"/>
        </w:rPr>
        <w:t xml:space="preserve"> PPWR wprowadza ograniczenia dotyczące stosowania PFAS w wybranych opakowaniach przeznaczonych do kontaktu z żywnością oraz cele ponownego użycia opakowań transportowych, w tym 40% do 2030 r. dla podmiotów objętych tym obowiązkiem.</w:t>
      </w:r>
    </w:p>
    <w:p>
      <w:pPr>
        <w:pStyle w:val="ListParagraph"/>
        <w:numPr>
          <w:ilvl w:val="0"/>
          <w:numId w:val="2"/>
        </w:numPr>
        <w:spacing w:after="120" w:line="264"/>
      </w:pPr>
      <w:r>
        <w:rPr>
          <w:rFonts w:ascii="Calibri" w:cs="Calibri" w:eastAsia="Calibri" w:hAnsi="Calibri"/>
          <w:b/>
          <w:bCs/>
          <w:color w:val="1D1D1D"/>
          <w:sz w:val="21"/>
          <w:szCs w:val="21"/>
        </w:rPr>
        <w:t xml:space="preserve">Papierowe opakowania typu fast food zawierające PFAS</w:t>
      </w:r>
      <w:r>
        <w:rPr>
          <w:rFonts w:ascii="Calibri" w:cs="Calibri" w:eastAsia="Calibri" w:hAnsi="Calibri"/>
          <w:b w:val="false"/>
          <w:bCs w:val="false"/>
          <w:color w:val="2D2D2D"/>
          <w:sz w:val="21"/>
          <w:szCs w:val="21"/>
        </w:rPr>
        <w:t xml:space="preserve"> od 12 sierpnia 2026 r. nie będą spełniały wymagań PPWR. Pojemniki bekuplast do kontaktu z żywnością są wykonane z HDPE dopuszczonego do kontaktu z żywnością.</w:t>
      </w:r>
    </w:p>
    <w:p>
      <w:pPr>
        <w:pStyle w:val="ListParagraph"/>
        <w:numPr>
          <w:ilvl w:val="0"/>
          <w:numId w:val="2"/>
        </w:numPr>
        <w:spacing w:after="120" w:line="264"/>
      </w:pPr>
      <w:r>
        <w:rPr>
          <w:rFonts w:ascii="Calibri" w:cs="Calibri" w:eastAsia="Calibri" w:hAnsi="Calibri"/>
          <w:b/>
          <w:bCs/>
          <w:color w:val="1D1D1D"/>
          <w:sz w:val="21"/>
          <w:szCs w:val="21"/>
        </w:rPr>
        <w:t xml:space="preserve">Rosnące wymagania regulacyjne oraz oczekiwania sieci handlowych</w:t>
      </w:r>
      <w:r>
        <w:rPr>
          <w:rFonts w:ascii="Calibri" w:cs="Calibri" w:eastAsia="Calibri" w:hAnsi="Calibri"/>
          <w:b w:val="false"/>
          <w:bCs w:val="false"/>
          <w:color w:val="2D2D2D"/>
          <w:sz w:val="21"/>
          <w:szCs w:val="21"/>
        </w:rPr>
        <w:t xml:space="preserve"> przyspieszają wdrażanie opakowań transportowych wielokrotnego użytku.</w:t>
      </w:r>
    </w:p>
    <w:p>
      <w:pPr>
        <w:pStyle w:val="ListParagraph"/>
        <w:numPr>
          <w:ilvl w:val="0"/>
          <w:numId w:val="2"/>
        </w:numPr>
        <w:spacing w:after="120" w:line="264"/>
      </w:pPr>
      <w:r>
        <w:rPr>
          <w:rFonts w:ascii="Calibri" w:cs="Calibri" w:eastAsia="Calibri" w:hAnsi="Calibri"/>
          <w:b/>
          <w:bCs/>
          <w:color w:val="1D1D1D"/>
          <w:sz w:val="21"/>
          <w:szCs w:val="21"/>
        </w:rPr>
        <w:t xml:space="preserve">Konstrukcja ułatwiająca spełnienie wymagań higienicznych w systemach HACCP</w:t>
      </w:r>
      <w:r>
        <w:rPr>
          <w:rFonts w:ascii="Calibri" w:cs="Calibri" w:eastAsia="Calibri" w:hAnsi="Calibri"/>
          <w:b w:val="false"/>
          <w:bCs w:val="false"/>
          <w:color w:val="2D2D2D"/>
          <w:sz w:val="21"/>
          <w:szCs w:val="21"/>
        </w:rPr>
        <w:t xml:space="preserve"> oraz podczas audytów BRCGS i IFS – gładkie ściany, brak miejsc gromadzenia zanieczyszczeń oraz odporność na mycie w wysokiej temperaturze.</w:t>
      </w:r>
    </w:p>
    <w:p>
      <w:pPr>
        <w:pStyle w:val="ListParagraph"/>
        <w:numPr>
          <w:ilvl w:val="0"/>
          <w:numId w:val="2"/>
        </w:numPr>
        <w:spacing w:after="120" w:line="264"/>
      </w:pPr>
      <w:r>
        <w:rPr>
          <w:rFonts w:ascii="Calibri" w:cs="Calibri" w:eastAsia="Calibri" w:hAnsi="Calibri"/>
          <w:b/>
          <w:bCs/>
          <w:color w:val="1D1D1D"/>
          <w:sz w:val="21"/>
          <w:szCs w:val="21"/>
        </w:rPr>
        <w:t xml:space="preserve">Seria bakeline</w:t>
      </w:r>
      <w:r>
        <w:rPr>
          <w:rFonts w:ascii="Calibri" w:cs="Calibri" w:eastAsia="Calibri" w:hAnsi="Calibri"/>
          <w:b w:val="false"/>
          <w:bCs w:val="false"/>
          <w:color w:val="2D2D2D"/>
          <w:sz w:val="21"/>
          <w:szCs w:val="21"/>
        </w:rPr>
        <w:t xml:space="preserve"> obejmuje pojemniki piekarnicze z HDPE. Dla zakładów mięsnych, drobiarskich i mleczarskich oferujemy pojemniki z serii EURO-NORM Mięso i Drób oraz rozwiązania dla przemysłu spożywczego.</w:t>
      </w:r>
    </w:p>
    <w:p>
      <w:pPr>
        <w:spacing w:after="40" w:before="420"/>
      </w:pPr>
      <w:r>
        <w:rPr>
          <w:rFonts w:ascii="Calibri" w:cs="Calibri" w:eastAsia="Calibri" w:hAnsi="Calibri"/>
          <w:b/>
          <w:bCs/>
          <w:color w:val="65B32E"/>
          <w:spacing w:val="30"/>
          <w:sz w:val="15"/>
          <w:szCs w:val="15"/>
        </w:rPr>
        <w:t xml:space="preserve">WYZWANIA</w:t>
      </w:r>
    </w:p>
    <w:p>
      <w:pPr>
        <w:pStyle w:val="Heading2"/>
        <w:pBdr>
          <w:bottom w:val="single" w:color="DEDEDE" w:sz="6" w:space="8"/>
        </w:pBdr>
        <w:spacing w:after="180" w:before="40"/>
      </w:pPr>
      <w:r>
        <w:rPr>
          <w:rFonts w:ascii="Calibri" w:cs="Calibri" w:eastAsia="Calibri" w:hAnsi="Calibri"/>
          <w:b/>
          <w:bCs/>
          <w:color w:val="427718"/>
          <w:sz w:val="27"/>
          <w:szCs w:val="27"/>
        </w:rPr>
        <w:t xml:space="preserve">Cztery wyzwania zakładów spożywczych</w:t>
      </w:r>
    </w:p>
    <w:p>
      <w:pPr>
        <w:spacing w:after="180" w:line="264"/>
      </w:pPr>
      <w:r>
        <w:rPr>
          <w:rFonts w:ascii="Calibri" w:cs="Calibri" w:eastAsia="Calibri" w:hAnsi="Calibri"/>
          <w:color w:val="2D2D2D"/>
          <w:sz w:val="21"/>
          <w:szCs w:val="21"/>
        </w:rPr>
        <w:t xml:space="preserve">Na każde z tych wyzwań odpowiadamy konkretnym typem opakowań dla branży spożywczej – z dopuszczeniem do kontaktu z żywnością.</w:t>
      </w:r>
    </w:p>
    <w:p>
      <w:pPr>
        <w:pStyle w:val="Heading3"/>
        <w:spacing w:after="90" w:before="260"/>
      </w:pPr>
      <w:r>
        <w:rPr>
          <w:rFonts w:ascii="Calibri" w:cs="Calibri" w:eastAsia="Calibri" w:hAnsi="Calibri"/>
          <w:b/>
          <w:bCs/>
          <w:color w:val="1D1D1D"/>
          <w:sz w:val="23"/>
          <w:szCs w:val="23"/>
        </w:rPr>
        <w:t xml:space="preserve">01. Ograniczenie PFAS w opakowaniach do żywności (art. 5 PPWR)</w:t>
      </w:r>
    </w:p>
    <w:p>
      <w:pPr>
        <w:spacing w:after="90" w:line="264"/>
      </w:pPr>
      <w:r>
        <w:rPr>
          <w:rFonts w:ascii="Calibri" w:cs="Calibri" w:eastAsia="Calibri" w:hAnsi="Calibri"/>
          <w:color w:val="2D2D2D"/>
          <w:sz w:val="21"/>
          <w:szCs w:val="21"/>
        </w:rPr>
        <w:t xml:space="preserve">Od 12 sierpnia 2026 r. PPWR wprowadza ograniczenia dotyczące stosowania PFAS w określonych opakowaniach przeznaczonych do kontaktu z żywnością. PFAS były powszechnie stosowane jako powłoki zapewniające odporność na tłuszcz i wilgoć w części jednorazowych opakowań do żywności, m.in. pudełkach na frytki, opakowaniach typu fast food oraz niektórych kubkach papierowych. PPWR ma ograniczyć takie zastosowania.</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Clever Fresh Box Advance – składany pojemnik do kontaktu z żywnością</w:t>
      </w:r>
    </w:p>
    <w:p>
      <w:pPr>
        <w:pStyle w:val="Heading3"/>
        <w:spacing w:after="90" w:before="260"/>
      </w:pPr>
      <w:r>
        <w:rPr>
          <w:rFonts w:ascii="Calibri" w:cs="Calibri" w:eastAsia="Calibri" w:hAnsi="Calibri"/>
          <w:b/>
          <w:bCs/>
          <w:color w:val="1D1D1D"/>
          <w:sz w:val="23"/>
          <w:szCs w:val="23"/>
        </w:rPr>
        <w:t xml:space="preserve">02. Higiena – gładkie ściany, brak zacieków, odporność na mycie w wysokiej temperaturze</w:t>
      </w:r>
    </w:p>
    <w:p>
      <w:pPr>
        <w:spacing w:after="90" w:line="264"/>
      </w:pPr>
      <w:r>
        <w:rPr>
          <w:rFonts w:ascii="Calibri" w:cs="Calibri" w:eastAsia="Calibri" w:hAnsi="Calibri"/>
          <w:color w:val="2D2D2D"/>
          <w:sz w:val="21"/>
          <w:szCs w:val="21"/>
        </w:rPr>
        <w:t xml:space="preserve">Zakłady mięsne, mleczarnie i piekarnie muszą stosować pojemniki łatwe do mycia i dezynfekcji. Pojemniki z teksturowanymi ścianami gromadzą tłuszcz, mąkę i pozostałości.</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Pojemniki na mięso i drób – gładkie ściany · mycie w wysokiej temperaturze</w:t>
      </w:r>
    </w:p>
    <w:p>
      <w:pPr>
        <w:pStyle w:val="Heading3"/>
        <w:spacing w:after="90" w:before="260"/>
      </w:pPr>
      <w:r>
        <w:rPr>
          <w:rFonts w:ascii="Calibri" w:cs="Calibri" w:eastAsia="Calibri" w:hAnsi="Calibri"/>
          <w:b/>
          <w:bCs/>
          <w:color w:val="1D1D1D"/>
          <w:sz w:val="23"/>
          <w:szCs w:val="23"/>
        </w:rPr>
        <w:t xml:space="preserve">03. 40% ponownego użycia opakowań transportowych (art. 29 ust. 1)</w:t>
      </w:r>
    </w:p>
    <w:p>
      <w:pPr>
        <w:spacing w:after="90" w:line="264"/>
      </w:pPr>
      <w:r>
        <w:rPr>
          <w:rFonts w:ascii="Calibri" w:cs="Calibri" w:eastAsia="Calibri" w:hAnsi="Calibri"/>
          <w:color w:val="2D2D2D"/>
          <w:sz w:val="21"/>
          <w:szCs w:val="21"/>
        </w:rPr>
        <w:t xml:space="preserve">Do 2030 r. część przedsiębiorstw stosujących opakowania transportowe będzie zobowiązana do osiągnięcia 40% udziału opakowań wielokrotnego użytku zgodnie z art. 29 PPWR. Dla producentów współpracujących z sieciami handlowymi oznacza to stopniowy wzrost wykorzystania opakowań transportowych wielokrotnego użytku w całym łańcuchu dostaw.</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Pojemniki EURO-NORM – EURO 400×300 · 600×400</w:t>
      </w:r>
    </w:p>
    <w:p>
      <w:pPr>
        <w:pStyle w:val="Heading3"/>
        <w:spacing w:after="90" w:before="260"/>
      </w:pPr>
      <w:r>
        <w:rPr>
          <w:rFonts w:ascii="Calibri" w:cs="Calibri" w:eastAsia="Calibri" w:hAnsi="Calibri"/>
          <w:b/>
          <w:bCs/>
          <w:color w:val="1D1D1D"/>
          <w:sz w:val="23"/>
          <w:szCs w:val="23"/>
        </w:rPr>
        <w:t xml:space="preserve">04. Skrzynki na pieczywo – sezonowy szczyt w IV kwartale</w:t>
      </w:r>
    </w:p>
    <w:p>
      <w:pPr>
        <w:spacing w:after="90" w:line="264"/>
      </w:pPr>
      <w:r>
        <w:rPr>
          <w:rFonts w:ascii="Calibri" w:cs="Calibri" w:eastAsia="Calibri" w:hAnsi="Calibri"/>
          <w:color w:val="2D2D2D"/>
          <w:sz w:val="21"/>
          <w:szCs w:val="21"/>
        </w:rPr>
        <w:t xml:space="preserve">Piekarnie obsługujące sieci handlowe notują w grudniu (Boże Narodzenie, Sylwester) wyraźny szczyt popytu ponad średnią roczną. Flota skrzynek musi nadążyć za tymi wahaniami.</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bakeline – seria pojemników piekarniczych z HDPE</w:t>
      </w:r>
    </w:p>
    <w:p>
      <w:pPr>
        <w:spacing w:after="40" w:before="420"/>
      </w:pPr>
      <w:r>
        <w:rPr>
          <w:rFonts w:ascii="Calibri" w:cs="Calibri" w:eastAsia="Calibri" w:hAnsi="Calibri"/>
          <w:b/>
          <w:bCs/>
          <w:color w:val="65B32E"/>
          <w:spacing w:val="30"/>
          <w:sz w:val="15"/>
          <w:szCs w:val="15"/>
        </w:rPr>
        <w:t xml:space="preserve">PRODUKTY</w:t>
      </w:r>
    </w:p>
    <w:p>
      <w:pPr>
        <w:pStyle w:val="Heading2"/>
        <w:pBdr>
          <w:bottom w:val="single" w:color="DEDEDE" w:sz="6" w:space="8"/>
        </w:pBdr>
        <w:spacing w:after="180" w:before="40"/>
      </w:pPr>
      <w:r>
        <w:rPr>
          <w:rFonts w:ascii="Calibri" w:cs="Calibri" w:eastAsia="Calibri" w:hAnsi="Calibri"/>
          <w:b/>
          <w:bCs/>
          <w:color w:val="427718"/>
          <w:sz w:val="27"/>
          <w:szCs w:val="27"/>
        </w:rPr>
        <w:t xml:space="preserve">bakeline, pojemniki na mięso i nabiał – nasze serie dla przetwórstwa żywności</w:t>
      </w:r>
    </w:p>
    <w:p>
      <w:pPr>
        <w:pStyle w:val="ListParagraph"/>
        <w:numPr>
          <w:ilvl w:val="0"/>
          <w:numId w:val="2"/>
        </w:numPr>
        <w:spacing w:after="120" w:line="264"/>
      </w:pPr>
      <w:r>
        <w:rPr>
          <w:rFonts w:ascii="Calibri" w:cs="Calibri" w:eastAsia="Calibri" w:hAnsi="Calibri"/>
          <w:b/>
          <w:bCs/>
          <w:color w:val="1D1D1D"/>
          <w:sz w:val="21"/>
          <w:szCs w:val="21"/>
        </w:rPr>
        <w:t xml:space="preserve">Na pieczywo</w:t>
      </w:r>
      <w:r>
        <w:rPr>
          <w:rFonts w:ascii="Calibri" w:cs="Calibri" w:eastAsia="Calibri" w:hAnsi="Calibri"/>
          <w:color w:val="2D2D2D"/>
          <w:sz w:val="21"/>
          <w:szCs w:val="21"/>
        </w:rPr>
        <w:t xml:space="preserve"> – Piekarnie</w:t>
      </w:r>
    </w:p>
    <w:p>
      <w:pPr>
        <w:pStyle w:val="ListParagraph"/>
        <w:numPr>
          <w:ilvl w:val="0"/>
          <w:numId w:val="2"/>
        </w:numPr>
        <w:spacing w:after="120" w:line="264"/>
      </w:pPr>
      <w:r>
        <w:rPr>
          <w:rFonts w:ascii="Calibri" w:cs="Calibri" w:eastAsia="Calibri" w:hAnsi="Calibri"/>
          <w:b/>
          <w:bCs/>
          <w:color w:val="1D1D1D"/>
          <w:sz w:val="21"/>
          <w:szCs w:val="21"/>
        </w:rPr>
        <w:t xml:space="preserve">Mięso/drób</w:t>
      </w:r>
      <w:r>
        <w:rPr>
          <w:rFonts w:ascii="Calibri" w:cs="Calibri" w:eastAsia="Calibri" w:hAnsi="Calibri"/>
          <w:color w:val="2D2D2D"/>
          <w:sz w:val="21"/>
          <w:szCs w:val="21"/>
        </w:rPr>
        <w:t xml:space="preserve"> – Zakłady mięsne</w:t>
      </w:r>
    </w:p>
    <w:p>
      <w:pPr>
        <w:pStyle w:val="ListParagraph"/>
        <w:numPr>
          <w:ilvl w:val="0"/>
          <w:numId w:val="2"/>
        </w:numPr>
        <w:spacing w:after="120" w:line="264"/>
      </w:pPr>
      <w:r>
        <w:rPr>
          <w:rFonts w:ascii="Calibri" w:cs="Calibri" w:eastAsia="Calibri" w:hAnsi="Calibri"/>
          <w:b/>
          <w:bCs/>
          <w:color w:val="1D1D1D"/>
          <w:sz w:val="21"/>
          <w:szCs w:val="21"/>
        </w:rPr>
        <w:t xml:space="preserve">Owoce/warzywa</w:t>
      </w:r>
      <w:r>
        <w:rPr>
          <w:rFonts w:ascii="Calibri" w:cs="Calibri" w:eastAsia="Calibri" w:hAnsi="Calibri"/>
          <w:color w:val="2D2D2D"/>
          <w:sz w:val="21"/>
          <w:szCs w:val="21"/>
        </w:rPr>
        <w:t xml:space="preserve"> – Przetwórnie</w:t>
      </w:r>
    </w:p>
    <w:p>
      <w:pPr>
        <w:pStyle w:val="ListParagraph"/>
        <w:numPr>
          <w:ilvl w:val="0"/>
          <w:numId w:val="2"/>
        </w:numPr>
        <w:spacing w:after="120" w:line="264"/>
      </w:pPr>
      <w:r>
        <w:rPr>
          <w:rFonts w:ascii="Calibri" w:cs="Calibri" w:eastAsia="Calibri" w:hAnsi="Calibri"/>
          <w:b/>
          <w:bCs/>
          <w:color w:val="1D1D1D"/>
          <w:sz w:val="21"/>
          <w:szCs w:val="21"/>
        </w:rPr>
        <w:t xml:space="preserve">basicline</w:t>
      </w:r>
      <w:r>
        <w:rPr>
          <w:rFonts w:ascii="Calibri" w:cs="Calibri" w:eastAsia="Calibri" w:hAnsi="Calibri"/>
          <w:color w:val="2D2D2D"/>
          <w:sz w:val="21"/>
          <w:szCs w:val="21"/>
        </w:rPr>
        <w:t xml:space="preserve"> – Mleczarnie, nabiał</w:t>
      </w:r>
    </w:p>
    <w:p>
      <w:pPr>
        <w:pStyle w:val="ListParagraph"/>
        <w:numPr>
          <w:ilvl w:val="0"/>
          <w:numId w:val="2"/>
        </w:numPr>
        <w:spacing w:after="120" w:line="264"/>
      </w:pPr>
      <w:r>
        <w:rPr>
          <w:rFonts w:ascii="Calibri" w:cs="Calibri" w:eastAsia="Calibri" w:hAnsi="Calibri"/>
          <w:b/>
          <w:bCs/>
          <w:color w:val="1D1D1D"/>
          <w:sz w:val="21"/>
          <w:szCs w:val="21"/>
        </w:rPr>
        <w:t xml:space="preserve">basicline plus</w:t>
      </w:r>
      <w:r>
        <w:rPr>
          <w:rFonts w:ascii="Calibri" w:cs="Calibri" w:eastAsia="Calibri" w:hAnsi="Calibri"/>
          <w:color w:val="2D2D2D"/>
          <w:sz w:val="21"/>
          <w:szCs w:val="21"/>
        </w:rPr>
        <w:t xml:space="preserve"> – Duże objętości</w:t>
      </w:r>
    </w:p>
    <w:p>
      <w:pPr>
        <w:spacing w:after="40" w:before="420"/>
      </w:pPr>
      <w:r>
        <w:rPr>
          <w:rFonts w:ascii="Calibri" w:cs="Calibri" w:eastAsia="Calibri" w:hAnsi="Calibri"/>
          <w:b/>
          <w:bCs/>
          <w:color w:val="65B32E"/>
          <w:spacing w:val="30"/>
          <w:sz w:val="15"/>
          <w:szCs w:val="15"/>
        </w:rPr>
        <w:t xml:space="preserve">PPWR · ZGODNOŚĆ</w:t>
      </w:r>
    </w:p>
    <w:p>
      <w:pPr>
        <w:pStyle w:val="Heading2"/>
        <w:pBdr>
          <w:bottom w:val="single" w:color="DEDEDE" w:sz="6" w:space="8"/>
        </w:pBdr>
        <w:spacing w:after="180" w:before="40"/>
      </w:pPr>
      <w:r>
        <w:rPr>
          <w:rFonts w:ascii="Calibri" w:cs="Calibri" w:eastAsia="Calibri" w:hAnsi="Calibri"/>
          <w:b/>
          <w:bCs/>
          <w:color w:val="427718"/>
          <w:sz w:val="27"/>
          <w:szCs w:val="27"/>
        </w:rPr>
        <w:t xml:space="preserve">Ograniczenie PFAS i cele ponownego użycia – dwa kluczowe wymagania PPWR dla branży spożywczej</w:t>
      </w:r>
    </w:p>
    <w:p>
      <w:pPr>
        <w:spacing w:after="180" w:line="264"/>
      </w:pPr>
      <w:r>
        <w:rPr>
          <w:rFonts w:ascii="Calibri" w:cs="Calibri" w:eastAsia="Calibri" w:hAnsi="Calibri"/>
          <w:color w:val="2D2D2D"/>
          <w:sz w:val="21"/>
          <w:szCs w:val="21"/>
        </w:rPr>
        <w:t xml:space="preserve">Branżę spożywczą obejmują dwa kluczowe wymagania PPWR: ograniczenia dotyczące PFAS w wybranych opakowaniach do kontaktu z żywnością (art. 5, od 12 sierpnia 2026 r.) oraz cele ponownego użycia opakowań transportowych (art. 29, od 2030 r.). Dodatkowo rozwój systemów ROP zwiększa znaczenie opakowań wielokrotnego użytku i wpływa na koszty stosowania opakowań jednorazowych.</w:t>
      </w:r>
    </w:p>
    <w:p>
      <w:pPr>
        <w:pStyle w:val="ListParagraph"/>
        <w:numPr>
          <w:ilvl w:val="0"/>
          <w:numId w:val="2"/>
        </w:numPr>
        <w:spacing w:after="120" w:line="264"/>
      </w:pPr>
      <w:r>
        <w:rPr>
          <w:rFonts w:ascii="Calibri" w:cs="Calibri" w:eastAsia="Calibri" w:hAnsi="Calibri"/>
          <w:b/>
          <w:bCs/>
          <w:color w:val="1D1D1D"/>
          <w:sz w:val="21"/>
          <w:szCs w:val="21"/>
        </w:rPr>
        <w:t xml:space="preserve">Art. 5 · PFAS</w:t>
      </w:r>
      <w:r>
        <w:rPr>
          <w:rFonts w:ascii="Calibri" w:cs="Calibri" w:eastAsia="Calibri" w:hAnsi="Calibri"/>
          <w:color w:val="2D2D2D"/>
          <w:sz w:val="21"/>
          <w:szCs w:val="21"/>
        </w:rPr>
        <w:t xml:space="preserve"> – Ograniczenie PFAS w opakowaniach do kontaktu z żywnością. Dotyczy m.in. papieru tłuszczoodpornego, powłok barierowych, pudełek na frytki i kubków na napoje gorące.</w:t>
      </w:r>
    </w:p>
    <w:p>
      <w:pPr>
        <w:pStyle w:val="ListParagraph"/>
        <w:numPr>
          <w:ilvl w:val="0"/>
          <w:numId w:val="2"/>
        </w:numPr>
        <w:spacing w:after="120" w:line="264"/>
      </w:pPr>
      <w:r>
        <w:rPr>
          <w:rFonts w:ascii="Calibri" w:cs="Calibri" w:eastAsia="Calibri" w:hAnsi="Calibri"/>
          <w:b/>
          <w:bCs/>
          <w:color w:val="1D1D1D"/>
          <w:sz w:val="21"/>
          <w:szCs w:val="21"/>
        </w:rPr>
        <w:t xml:space="preserve">Art. 29 ust. 1</w:t>
      </w:r>
      <w:r>
        <w:rPr>
          <w:rFonts w:ascii="Calibri" w:cs="Calibri" w:eastAsia="Calibri" w:hAnsi="Calibri"/>
          <w:color w:val="2D2D2D"/>
          <w:sz w:val="21"/>
          <w:szCs w:val="21"/>
        </w:rPr>
        <w:t xml:space="preserve"> – Cel 40% ponownego użycia opakowań transportowych do 2030 r. dotyczy podmiotów gospodarczych stosujących te opakowania (m.in. producentów wysyłających towar oraz sieci handlowych). Przedsiębiorstwa wykorzystujące opakowania transportowe powinny przygotować się do realizacji celów ponownego użycia. W praktyce sieci handlowe coraz częściej oczekują od dostawców stosowania opakowań wielokrotnego użytku.</w:t>
      </w:r>
    </w:p>
    <w:p>
      <w:pPr>
        <w:pStyle w:val="ListParagraph"/>
        <w:numPr>
          <w:ilvl w:val="0"/>
          <w:numId w:val="2"/>
        </w:numPr>
        <w:spacing w:after="120" w:line="264"/>
      </w:pPr>
      <w:r>
        <w:rPr>
          <w:rFonts w:ascii="Calibri" w:cs="Calibri" w:eastAsia="Calibri" w:hAnsi="Calibri"/>
          <w:b/>
          <w:bCs/>
          <w:color w:val="1D1D1D"/>
          <w:sz w:val="21"/>
          <w:szCs w:val="21"/>
        </w:rPr>
        <w:t xml:space="preserve">Art. 29 ust. 6</w:t>
      </w:r>
      <w:r>
        <w:rPr>
          <w:rFonts w:ascii="Calibri" w:cs="Calibri" w:eastAsia="Calibri" w:hAnsi="Calibri"/>
          <w:color w:val="2D2D2D"/>
          <w:sz w:val="21"/>
          <w:szCs w:val="21"/>
        </w:rPr>
        <w:t xml:space="preserve"> – Cele ponownego użycia opakowań na napoje (10% do 2030 r.) dotyczą dystrybutorów końcowych – rozlewnie soków odczują je pośrednio, przez wymagania sieci. Mleko i przetwory mleczne są z tego celu wyłączone (art. 29 ust. 7).</w:t>
      </w:r>
    </w:p>
    <w:p>
      <w:pPr>
        <w:spacing w:after="40" w:before="420"/>
      </w:pPr>
      <w:r>
        <w:rPr>
          <w:rFonts w:ascii="Calibri" w:cs="Calibri" w:eastAsia="Calibri" w:hAnsi="Calibri"/>
          <w:b/>
          <w:bCs/>
          <w:color w:val="65B32E"/>
          <w:spacing w:val="30"/>
          <w:sz w:val="15"/>
          <w:szCs w:val="15"/>
        </w:rPr>
        <w:t xml:space="preserve">NASTĘPNE KROKI</w:t>
      </w:r>
    </w:p>
    <w:p>
      <w:pPr>
        <w:pStyle w:val="Heading2"/>
        <w:pBdr>
          <w:bottom w:val="single" w:color="DEDEDE" w:sz="6" w:space="8"/>
        </w:pBdr>
        <w:spacing w:after="180" w:before="40"/>
      </w:pPr>
      <w:r>
        <w:rPr>
          <w:rFonts w:ascii="Calibri" w:cs="Calibri" w:eastAsia="Calibri" w:hAnsi="Calibri"/>
          <w:b/>
          <w:bCs/>
          <w:color w:val="427718"/>
          <w:sz w:val="27"/>
          <w:szCs w:val="27"/>
        </w:rPr>
        <w:t xml:space="preserve">Co możesz zrobić już teraz</w:t>
      </w:r>
    </w:p>
    <w:p>
      <w:pPr>
        <w:pBdr>
          <w:left w:val="single" w:color="65B32E" w:sz="18" w:space="14"/>
        </w:pBdr>
        <w:spacing w:after="60" w:before="160" w:line="264"/>
        <w:ind w:left="340"/>
      </w:pPr>
      <w:r>
        <w:rPr>
          <w:rFonts w:ascii="Calibri" w:cs="Calibri" w:eastAsia="Calibri" w:hAnsi="Calibri"/>
          <w:i/>
          <w:iCs/>
          <w:color w:val="434343"/>
          <w:sz w:val="21"/>
          <w:szCs w:val="21"/>
        </w:rPr>
        <w:t xml:space="preserve">Ograniczenie PFAS w opakowaniach do kontaktu z żywnością stosuje się od 12 sierpnia 2026 r. i obejmuje m.in. papier tłuszczoodporny oraz powłoki barierowe.</w:t>
      </w:r>
    </w:p>
    <w:p>
      <w:pPr>
        <w:spacing w:after="220" w:line="240"/>
        <w:ind w:left="340"/>
      </w:pPr>
      <w:r>
        <w:rPr>
          <w:rFonts w:ascii="Calibri" w:cs="Calibri" w:eastAsia="Calibri" w:hAnsi="Calibri"/>
          <w:color w:val="9A9A9A"/>
          <w:sz w:val="16"/>
          <w:szCs w:val="16"/>
        </w:rPr>
        <w:t xml:space="preserve">zgodnie z rozporządzeniem (UE) 2025/40 Parlamentu Europejskiego i Rady z dnia 19 grudnia 2024 r. w sprawie opakowań i odpadów opakowaniowych (PPWR)</w:t>
      </w:r>
    </w:p>
    <w:p>
      <w:pPr>
        <w:pStyle w:val="Heading3"/>
        <w:spacing w:after="90" w:before="260"/>
      </w:pPr>
      <w:r>
        <w:rPr>
          <w:rFonts w:ascii="Calibri" w:cs="Calibri" w:eastAsia="Calibri" w:hAnsi="Calibri"/>
          <w:b/>
          <w:bCs/>
          <w:color w:val="1D1D1D"/>
          <w:sz w:val="23"/>
          <w:szCs w:val="23"/>
        </w:rPr>
        <w:t xml:space="preserve">01. Przeprowadź audyt PPWR</w:t>
      </w:r>
    </w:p>
    <w:p>
      <w:pPr>
        <w:spacing w:after="90" w:line="264"/>
      </w:pPr>
      <w:r>
        <w:rPr>
          <w:rFonts w:ascii="Calibri" w:cs="Calibri" w:eastAsia="Calibri" w:hAnsi="Calibri"/>
          <w:color w:val="2D2D2D"/>
          <w:sz w:val="21"/>
          <w:szCs w:val="21"/>
        </w:rPr>
        <w:t xml:space="preserve">Sprawdź gotowość zakładu spożywczego w kilka minut.</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Przejdź do audytu</w:t>
      </w:r>
    </w:p>
    <w:p>
      <w:pPr>
        <w:pStyle w:val="Heading3"/>
        <w:spacing w:after="90" w:before="260"/>
      </w:pPr>
      <w:r>
        <w:rPr>
          <w:rFonts w:ascii="Calibri" w:cs="Calibri" w:eastAsia="Calibri" w:hAnsi="Calibri"/>
          <w:b/>
          <w:bCs/>
          <w:color w:val="1D1D1D"/>
          <w:sz w:val="23"/>
          <w:szCs w:val="23"/>
        </w:rPr>
        <w:t xml:space="preserve">02. Oblicz koszt PPWR</w:t>
      </w:r>
    </w:p>
    <w:p>
      <w:pPr>
        <w:spacing w:after="90" w:line="264"/>
      </w:pPr>
      <w:r>
        <w:rPr>
          <w:rFonts w:ascii="Calibri" w:cs="Calibri" w:eastAsia="Calibri" w:hAnsi="Calibri"/>
          <w:color w:val="2D2D2D"/>
          <w:sz w:val="21"/>
          <w:szCs w:val="21"/>
        </w:rPr>
        <w:t xml:space="preserve">Porównaj opakowania jednorazowe i zwrotne oraz sprawdź próg rentowności.</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Otwórz kalkulator</w:t>
      </w:r>
    </w:p>
    <w:p>
      <w:pPr>
        <w:pStyle w:val="Heading3"/>
        <w:spacing w:after="90" w:before="260"/>
      </w:pPr>
      <w:r>
        <w:rPr>
          <w:rFonts w:ascii="Calibri" w:cs="Calibri" w:eastAsia="Calibri" w:hAnsi="Calibri"/>
          <w:b/>
          <w:bCs/>
          <w:color w:val="1D1D1D"/>
          <w:sz w:val="23"/>
          <w:szCs w:val="23"/>
        </w:rPr>
        <w:t xml:space="preserve">03. Zapytaj eksperta</w:t>
      </w:r>
    </w:p>
    <w:p>
      <w:pPr>
        <w:spacing w:after="90" w:line="264"/>
      </w:pPr>
      <w:r>
        <w:rPr>
          <w:rFonts w:ascii="Calibri" w:cs="Calibri" w:eastAsia="Calibri" w:hAnsi="Calibri"/>
          <w:color w:val="2D2D2D"/>
          <w:sz w:val="21"/>
          <w:szCs w:val="21"/>
        </w:rPr>
        <w:t xml:space="preserve">O PPWR i PFAS w branży spożywczej.</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Umów rozmowę</w:t>
      </w:r>
    </w:p>
    <w:p>
      <w:pPr>
        <w:spacing w:after="40" w:before="420"/>
      </w:pPr>
      <w:r>
        <w:rPr>
          <w:rFonts w:ascii="Calibri" w:cs="Calibri" w:eastAsia="Calibri" w:hAnsi="Calibri"/>
          <w:b/>
          <w:bCs/>
          <w:color w:val="65B32E"/>
          <w:spacing w:val="30"/>
          <w:sz w:val="15"/>
          <w:szCs w:val="15"/>
        </w:rPr>
        <w:t xml:space="preserve">CASE STUDIES</w:t>
      </w:r>
    </w:p>
    <w:p>
      <w:pPr>
        <w:pStyle w:val="Heading2"/>
        <w:pBdr>
          <w:bottom w:val="single" w:color="DEDEDE" w:sz="6" w:space="8"/>
        </w:pBdr>
        <w:spacing w:after="180" w:before="40"/>
      </w:pPr>
      <w:r>
        <w:rPr>
          <w:rFonts w:ascii="Calibri" w:cs="Calibri" w:eastAsia="Calibri" w:hAnsi="Calibri"/>
          <w:b/>
          <w:bCs/>
          <w:color w:val="427718"/>
          <w:sz w:val="27"/>
          <w:szCs w:val="27"/>
        </w:rPr>
        <w:t xml:space="preserve">Wybrane wdrożenia opakowań wielokrotnego użytku bekuplast (z pokrewnych branż logistycznych)</w:t>
      </w:r>
    </w:p>
    <w:p>
      <w:pPr>
        <w:spacing w:after="180" w:line="264"/>
      </w:pPr>
      <w:r>
        <w:rPr>
          <w:rFonts w:ascii="Calibri" w:cs="Calibri" w:eastAsia="Calibri" w:hAnsi="Calibri"/>
          <w:color w:val="2D2D2D"/>
          <w:sz w:val="21"/>
          <w:szCs w:val="21"/>
        </w:rPr>
        <w:t xml:space="preserve">Każde wdrożenie to osobna historia naszego Klienta. Indywidualne wymagania, do których dopasowujemy optymalne rozwiązania.</w:t>
      </w:r>
    </w:p>
    <w:p>
      <w:pPr>
        <w:spacing w:after="60" w:before="180"/>
      </w:pPr>
      <w:r>
        <w:rPr>
          <w:rFonts w:ascii="Calibri" w:cs="Calibri" w:eastAsia="Calibri" w:hAnsi="Calibri"/>
          <w:b/>
          <w:bCs/>
          <w:color w:val="1D1D1D"/>
          <w:sz w:val="23"/>
          <w:szCs w:val="23"/>
        </w:rPr>
        <w:t xml:space="preserve">ROSSMANN</w:t>
      </w:r>
    </w:p>
    <w:p>
      <w:pPr>
        <w:spacing w:after="60" w:line="264"/>
      </w:pPr>
      <w:r>
        <w:rPr>
          <w:rFonts w:ascii="Calibri" w:cs="Calibri" w:eastAsia="Calibri" w:hAnsi="Calibri"/>
          <w:color w:val="2D2D2D"/>
          <w:sz w:val="21"/>
          <w:szCs w:val="21"/>
        </w:rPr>
        <w:t xml:space="preserve">Intralogistyka centralnego magazynu (Landsberg, DE) – pojemniki obiegowe w zautomatyzowanym centrum logistycznym.</w:t>
      </w:r>
    </w:p>
    <w:p>
      <w:pPr>
        <w:spacing w:after="160" w:line="240"/>
        <w:ind w:left="240"/>
      </w:pPr>
      <w:r>
        <w:rPr>
          <w:rFonts w:ascii="Calibri" w:cs="Calibri" w:eastAsia="Calibri" w:hAnsi="Calibri"/>
          <w:color w:val="717171"/>
          <w:sz w:val="17"/>
          <w:szCs w:val="17"/>
        </w:rPr>
        <w:t xml:space="preserve">2025  ·  160 000 pojemników</w:t>
      </w:r>
    </w:p>
    <w:p>
      <w:pPr>
        <w:spacing w:after="60" w:before="180"/>
      </w:pPr>
      <w:r>
        <w:rPr>
          <w:rFonts w:ascii="Calibri" w:cs="Calibri" w:eastAsia="Calibri" w:hAnsi="Calibri"/>
          <w:b/>
          <w:bCs/>
          <w:color w:val="1D1D1D"/>
          <w:sz w:val="23"/>
          <w:szCs w:val="23"/>
        </w:rPr>
        <w:t xml:space="preserve">Orbico</w:t>
      </w:r>
    </w:p>
    <w:p>
      <w:pPr>
        <w:spacing w:after="60" w:line="264"/>
      </w:pPr>
      <w:r>
        <w:rPr>
          <w:rFonts w:ascii="Calibri" w:cs="Calibri" w:eastAsia="Calibri" w:hAnsi="Calibri"/>
          <w:color w:val="2D2D2D"/>
          <w:sz w:val="21"/>
          <w:szCs w:val="21"/>
        </w:rPr>
        <w:t xml:space="preserve">Dystrybucja beauty i FMCG (PL) – pojemniki contecline zwrotne w kompletacji zamówień (AKL/Shuttle).</w:t>
      </w:r>
    </w:p>
    <w:p>
      <w:pPr>
        <w:spacing w:after="160" w:line="240"/>
        <w:ind w:left="240"/>
      </w:pPr>
      <w:r>
        <w:rPr>
          <w:rFonts w:ascii="Calibri" w:cs="Calibri" w:eastAsia="Calibri" w:hAnsi="Calibri"/>
          <w:color w:val="717171"/>
          <w:sz w:val="17"/>
          <w:szCs w:val="17"/>
        </w:rPr>
        <w:t xml:space="preserve">2023  ·  46 000 pojemników</w:t>
      </w:r>
    </w:p>
    <w:p>
      <w:pPr>
        <w:spacing w:after="60" w:before="180"/>
      </w:pPr>
      <w:r>
        <w:rPr>
          <w:rFonts w:ascii="Calibri" w:cs="Calibri" w:eastAsia="Calibri" w:hAnsi="Calibri"/>
          <w:b/>
          <w:bCs/>
          <w:color w:val="1D1D1D"/>
          <w:sz w:val="23"/>
          <w:szCs w:val="23"/>
        </w:rPr>
        <w:t xml:space="preserve">Onninen</w:t>
      </w:r>
    </w:p>
    <w:p>
      <w:pPr>
        <w:spacing w:after="60" w:line="264"/>
      </w:pPr>
      <w:r>
        <w:rPr>
          <w:rFonts w:ascii="Calibri" w:cs="Calibri" w:eastAsia="Calibri" w:hAnsi="Calibri"/>
          <w:color w:val="2D2D2D"/>
          <w:sz w:val="21"/>
          <w:szCs w:val="21"/>
        </w:rPr>
        <w:t xml:space="preserve">Dystrybucja materiałów budowlanych i instalacyjnych (PL) – pojemniki contecline.</w:t>
      </w:r>
    </w:p>
    <w:p>
      <w:pPr>
        <w:spacing w:after="160" w:line="240"/>
        <w:ind w:left="240"/>
      </w:pPr>
      <w:r>
        <w:rPr>
          <w:rFonts w:ascii="Calibri" w:cs="Calibri" w:eastAsia="Calibri" w:hAnsi="Calibri"/>
          <w:color w:val="717171"/>
          <w:sz w:val="17"/>
          <w:szCs w:val="17"/>
        </w:rPr>
        <w:t xml:space="preserve">2019  ·  40 000 pojemników</w:t>
      </w:r>
    </w:p>
    <w:p>
      <w:pPr>
        <w:spacing w:after="60" w:before="180"/>
      </w:pPr>
      <w:r>
        <w:rPr>
          <w:rFonts w:ascii="Calibri" w:cs="Calibri" w:eastAsia="Calibri" w:hAnsi="Calibri"/>
          <w:b/>
          <w:bCs/>
          <w:color w:val="1D1D1D"/>
          <w:sz w:val="23"/>
          <w:szCs w:val="23"/>
        </w:rPr>
        <w:t xml:space="preserve">Auto Partner SA</w:t>
      </w:r>
    </w:p>
    <w:p>
      <w:pPr>
        <w:spacing w:after="60" w:line="264"/>
      </w:pPr>
      <w:r>
        <w:rPr>
          <w:rFonts w:ascii="Calibri" w:cs="Calibri" w:eastAsia="Calibri" w:hAnsi="Calibri"/>
          <w:color w:val="2D2D2D"/>
          <w:sz w:val="21"/>
          <w:szCs w:val="21"/>
        </w:rPr>
        <w:t xml:space="preserve">Dystrybucja części samochodowych (PL) – pojemniki contecline i silverline w obiegu zwrotnym w centrum dystrybucyjnym.</w:t>
      </w:r>
    </w:p>
    <w:p>
      <w:pPr>
        <w:spacing w:after="160" w:line="240"/>
        <w:ind w:left="240"/>
      </w:pPr>
      <w:r>
        <w:rPr>
          <w:rFonts w:ascii="Calibri" w:cs="Calibri" w:eastAsia="Calibri" w:hAnsi="Calibri"/>
          <w:color w:val="717171"/>
          <w:sz w:val="17"/>
          <w:szCs w:val="17"/>
        </w:rPr>
        <w:t xml:space="preserve">2022  ·  27 000 pojemników</w:t>
      </w:r>
    </w:p>
    <w:p>
      <w:pPr>
        <w:spacing w:after="40" w:before="420"/>
      </w:pPr>
      <w:r>
        <w:rPr>
          <w:rFonts w:ascii="Calibri" w:cs="Calibri" w:eastAsia="Calibri" w:hAnsi="Calibri"/>
          <w:b/>
          <w:bCs/>
          <w:color w:val="65B32E"/>
          <w:spacing w:val="30"/>
          <w:sz w:val="15"/>
          <w:szCs w:val="15"/>
        </w:rPr>
        <w:t xml:space="preserve">KOSZT PPWR</w:t>
      </w:r>
    </w:p>
    <w:p>
      <w:pPr>
        <w:pStyle w:val="Heading2"/>
        <w:pBdr>
          <w:bottom w:val="single" w:color="DEDEDE" w:sz="6" w:space="8"/>
        </w:pBdr>
        <w:spacing w:after="180" w:before="40"/>
      </w:pPr>
      <w:r>
        <w:rPr>
          <w:rFonts w:ascii="Calibri" w:cs="Calibri" w:eastAsia="Calibri" w:hAnsi="Calibri"/>
          <w:b/>
          <w:bCs/>
          <w:color w:val="427718"/>
          <w:sz w:val="27"/>
          <w:szCs w:val="27"/>
        </w:rPr>
        <w:t xml:space="preserve">Koszt przejścia na opakowania wielokrotnego użytku</w:t>
      </w:r>
    </w:p>
    <w:p>
      <w:pPr>
        <w:spacing w:after="180" w:line="264"/>
      </w:pPr>
      <w:r>
        <w:rPr>
          <w:rFonts w:ascii="Calibri" w:cs="Calibri" w:eastAsia="Calibri" w:hAnsi="Calibri"/>
          <w:color w:val="2D2D2D"/>
          <w:sz w:val="21"/>
          <w:szCs w:val="21"/>
        </w:rPr>
        <w:t xml:space="preserve">Porównaj koszt opakowań jednorazowych i zwrotnych pojemników zgodnych z HACCP dla swojego zakładu – kalkulator pokaże próg rentowności przejścia na opakowania wielokrotnego użytku.</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Oblicz koszt PPWR w kilka minut.</w:t>
      </w:r>
    </w:p>
    <w:p>
      <w:pPr>
        <w:spacing w:after="40" w:before="420"/>
      </w:pPr>
      <w:r>
        <w:rPr>
          <w:rFonts w:ascii="Calibri" w:cs="Calibri" w:eastAsia="Calibri" w:hAnsi="Calibri"/>
          <w:b/>
          <w:bCs/>
          <w:color w:val="65B32E"/>
          <w:spacing w:val="30"/>
          <w:sz w:val="15"/>
          <w:szCs w:val="15"/>
        </w:rPr>
        <w:t xml:space="preserve">POWIĄZANE</w:t>
      </w:r>
    </w:p>
    <w:p>
      <w:pPr>
        <w:pStyle w:val="Heading2"/>
        <w:pBdr>
          <w:bottom w:val="single" w:color="DEDEDE" w:sz="6" w:space="8"/>
        </w:pBdr>
        <w:spacing w:after="180" w:before="40"/>
      </w:pPr>
      <w:r>
        <w:rPr>
          <w:rFonts w:ascii="Calibri" w:cs="Calibri" w:eastAsia="Calibri" w:hAnsi="Calibri"/>
          <w:b/>
          <w:bCs/>
          <w:color w:val="427718"/>
          <w:sz w:val="27"/>
          <w:szCs w:val="27"/>
        </w:rPr>
        <w:t xml:space="preserve">Może Cię też zainteresować</w:t>
      </w:r>
    </w:p>
    <w:p>
      <w:pPr>
        <w:pStyle w:val="ListParagraph"/>
        <w:numPr>
          <w:ilvl w:val="0"/>
          <w:numId w:val="2"/>
        </w:numPr>
        <w:spacing w:after="120" w:line="264"/>
      </w:pPr>
      <w:r>
        <w:rPr>
          <w:rFonts w:ascii="Calibri" w:cs="Calibri" w:eastAsia="Calibri" w:hAnsi="Calibri"/>
          <w:b/>
          <w:bCs/>
          <w:color w:val="1D1D1D"/>
          <w:sz w:val="21"/>
          <w:szCs w:val="21"/>
        </w:rPr>
        <w:t xml:space="preserve">Handel detaliczny i FMCG</w:t>
      </w:r>
      <w:r>
        <w:rPr>
          <w:rFonts w:ascii="Calibri" w:cs="Calibri" w:eastAsia="Calibri" w:hAnsi="Calibri"/>
          <w:color w:val="2D2D2D"/>
          <w:sz w:val="21"/>
          <w:szCs w:val="21"/>
        </w:rPr>
        <w:t xml:space="preserve"> – Sieci handlowe są Twoim odbiorcą – art. 29 PPWR obejmuje podmioty stosujące opakowania transportowe, co przełoży się na wymagania w łańcuchu dostaw.</w:t>
      </w:r>
    </w:p>
    <w:p>
      <w:pPr>
        <w:pStyle w:val="ListParagraph"/>
        <w:numPr>
          <w:ilvl w:val="0"/>
          <w:numId w:val="2"/>
        </w:numPr>
        <w:spacing w:after="120" w:line="264"/>
      </w:pPr>
      <w:r>
        <w:rPr>
          <w:rFonts w:ascii="Calibri" w:cs="Calibri" w:eastAsia="Calibri" w:hAnsi="Calibri"/>
          <w:b/>
          <w:bCs/>
          <w:color w:val="1D1D1D"/>
          <w:sz w:val="21"/>
          <w:szCs w:val="21"/>
        </w:rPr>
        <w:t xml:space="preserve">Rolnictwo, ogrodnictwo, owoce-warzywa</w:t>
      </w:r>
      <w:r>
        <w:rPr>
          <w:rFonts w:ascii="Calibri" w:cs="Calibri" w:eastAsia="Calibri" w:hAnsi="Calibri"/>
          <w:color w:val="2D2D2D"/>
          <w:sz w:val="21"/>
          <w:szCs w:val="21"/>
        </w:rPr>
        <w:t xml:space="preserve"> – Surowce do Twojego zakładu – kompatybilność opakowań od sadu do centrum dystrybucyjnego.</w:t>
      </w:r>
    </w:p>
    <w:p>
      <w:pPr>
        <w:pStyle w:val="ListParagraph"/>
        <w:numPr>
          <w:ilvl w:val="0"/>
          <w:numId w:val="2"/>
        </w:numPr>
        <w:spacing w:after="120" w:line="264"/>
      </w:pPr>
      <w:r>
        <w:rPr>
          <w:rFonts w:ascii="Calibri" w:cs="Calibri" w:eastAsia="Calibri" w:hAnsi="Calibri"/>
          <w:b/>
          <w:bCs/>
          <w:color w:val="1D1D1D"/>
          <w:sz w:val="21"/>
          <w:szCs w:val="21"/>
        </w:rPr>
        <w:t xml:space="preserve">Sprzedaż i transport na rynku napojów</w:t>
      </w:r>
      <w:r>
        <w:rPr>
          <w:rFonts w:ascii="Calibri" w:cs="Calibri" w:eastAsia="Calibri" w:hAnsi="Calibri"/>
          <w:color w:val="2D2D2D"/>
          <w:sz w:val="21"/>
          <w:szCs w:val="21"/>
        </w:rPr>
        <w:t xml:space="preserve"> – Kategoria spożywcza z wymagającymi regulacjami – system kaucyjny, ROP oraz PPWR.</w:t>
      </w:r>
    </w:p>
    <w:p>
      <w:pPr>
        <w:spacing w:after="40" w:before="420"/>
      </w:pPr>
      <w:r>
        <w:rPr>
          <w:rFonts w:ascii="Calibri" w:cs="Calibri" w:eastAsia="Calibri" w:hAnsi="Calibri"/>
          <w:b/>
          <w:bCs/>
          <w:color w:val="65B32E"/>
          <w:spacing w:val="30"/>
          <w:sz w:val="15"/>
          <w:szCs w:val="15"/>
        </w:rPr>
        <w:t xml:space="preserve">FAQ</w:t>
      </w:r>
    </w:p>
    <w:p>
      <w:pPr>
        <w:pStyle w:val="Heading2"/>
        <w:pBdr>
          <w:bottom w:val="single" w:color="DEDEDE" w:sz="6" w:space="8"/>
        </w:pBdr>
        <w:spacing w:after="180" w:before="40"/>
      </w:pPr>
      <w:r>
        <w:rPr>
          <w:rFonts w:ascii="Calibri" w:cs="Calibri" w:eastAsia="Calibri" w:hAnsi="Calibri"/>
          <w:b/>
          <w:bCs/>
          <w:color w:val="427718"/>
          <w:sz w:val="27"/>
          <w:szCs w:val="27"/>
        </w:rPr>
        <w:t xml:space="preserve">Najczęściej zadawane pytania</w:t>
      </w:r>
    </w:p>
    <w:p>
      <w:pPr>
        <w:spacing w:after="80" w:before="240"/>
      </w:pPr>
      <w:r>
        <w:rPr>
          <w:rFonts w:ascii="Calibri" w:cs="Calibri" w:eastAsia="Calibri" w:hAnsi="Calibri"/>
          <w:b/>
          <w:bCs/>
          <w:color w:val="1D1D1D"/>
          <w:sz w:val="22"/>
          <w:szCs w:val="22"/>
        </w:rPr>
        <w:t xml:space="preserve">Czy pojemniki bekuplast mają dopuszczenie do kontaktu z żywnością?</w:t>
      </w:r>
    </w:p>
    <w:p>
      <w:pPr>
        <w:spacing w:after="150" w:line="264"/>
      </w:pPr>
      <w:r>
        <w:rPr>
          <w:rFonts w:ascii="Calibri" w:cs="Calibri" w:eastAsia="Calibri" w:hAnsi="Calibri"/>
          <w:color w:val="2D2D2D"/>
          <w:sz w:val="21"/>
          <w:szCs w:val="21"/>
        </w:rPr>
        <w:t xml:space="preserve">Tak – serie przeznaczone dla branży spożywczej są wykonane z materiału dopuszczonego do kontaktu z żywnością. Na życzenie udostępniamy dokumentację materiałową i zgodności właściwą dla danej serii.</w:t>
      </w:r>
    </w:p>
    <w:p>
      <w:pPr>
        <w:spacing w:after="80" w:before="240"/>
      </w:pPr>
      <w:r>
        <w:rPr>
          <w:rFonts w:ascii="Calibri" w:cs="Calibri" w:eastAsia="Calibri" w:hAnsi="Calibri"/>
          <w:b/>
          <w:bCs/>
          <w:color w:val="1D1D1D"/>
          <w:sz w:val="22"/>
          <w:szCs w:val="22"/>
        </w:rPr>
        <w:t xml:space="preserve">Czy pojemniki bekuplast zawierają PFAS?</w:t>
      </w:r>
    </w:p>
    <w:p>
      <w:pPr>
        <w:spacing w:after="150" w:line="264"/>
      </w:pPr>
      <w:r>
        <w:rPr>
          <w:rFonts w:ascii="Calibri" w:cs="Calibri" w:eastAsia="Calibri" w:hAnsi="Calibri"/>
          <w:color w:val="2D2D2D"/>
          <w:sz w:val="21"/>
          <w:szCs w:val="21"/>
        </w:rPr>
        <w:t xml:space="preserve">HDPE stosowane w naszych pojemnikach do kontaktu z żywnością jest dopuszczone do kontaktu z żywnością. Ograniczenie PFAS z PPWR (art. 5, stosowane od 12 sierpnia 2026 r.) dotyczy dodatków per- i polifluoroalkilowych w opakowaniach – zapraszamy do kontaktu, jeśli potrzebują Państwo szczegółowej informacji materiałowej dla swojego zastosowania.</w:t>
      </w:r>
    </w:p>
    <w:p>
      <w:pPr>
        <w:spacing w:after="80" w:before="240"/>
      </w:pPr>
      <w:r>
        <w:rPr>
          <w:rFonts w:ascii="Calibri" w:cs="Calibri" w:eastAsia="Calibri" w:hAnsi="Calibri"/>
          <w:b/>
          <w:bCs/>
          <w:color w:val="1D1D1D"/>
          <w:sz w:val="22"/>
          <w:szCs w:val="22"/>
        </w:rPr>
        <w:t xml:space="preserve">W jakich temperaturach mogę myć pojemniki bakeline?</w:t>
      </w:r>
    </w:p>
    <w:p>
      <w:pPr>
        <w:spacing w:after="150" w:line="264"/>
      </w:pPr>
      <w:r>
        <w:rPr>
          <w:rFonts w:ascii="Calibri" w:cs="Calibri" w:eastAsia="Calibri" w:hAnsi="Calibri"/>
          <w:color w:val="2D2D2D"/>
          <w:sz w:val="21"/>
          <w:szCs w:val="21"/>
        </w:rPr>
        <w:t xml:space="preserve">Pojemniki bakeline z HDPE wytrzymują temperatury pracy od -20°C do +70°C i są odporne na standardowe środki myjące oraz dezynfekujące stosowane w reżimie HACCP, bez deformacji ani odbarwień.</w:t>
      </w:r>
    </w:p>
    <w:p>
      <w:pPr>
        <w:spacing w:after="80" w:before="240"/>
      </w:pPr>
      <w:r>
        <w:rPr>
          <w:rFonts w:ascii="Calibri" w:cs="Calibri" w:eastAsia="Calibri" w:hAnsi="Calibri"/>
          <w:b/>
          <w:bCs/>
          <w:color w:val="1D1D1D"/>
          <w:sz w:val="22"/>
          <w:szCs w:val="22"/>
        </w:rPr>
        <w:t xml:space="preserve">Czy mogę zamówić pojemnik na pieczywo z indywidualnym znakowaniem?</w:t>
      </w:r>
    </w:p>
    <w:p>
      <w:pPr>
        <w:spacing w:after="150" w:line="264"/>
      </w:pPr>
      <w:r>
        <w:rPr>
          <w:rFonts w:ascii="Calibri" w:cs="Calibri" w:eastAsia="Calibri" w:hAnsi="Calibri"/>
          <w:color w:val="2D2D2D"/>
          <w:sz w:val="21"/>
          <w:szCs w:val="21"/>
        </w:rPr>
        <w:t xml:space="preserve">Tak – pojemniki bekuplast mają uchwyty i pola na etykiety ułatwiające identyfikację, a znakowanie oraz personalizację (m.in. oznaczenie na potrzeby dystrybucji) dobieramy pod konkretne zastosowanie – szczegóły ustalamy indywidualnie.</w:t>
      </w:r>
    </w:p>
    <w:p>
      <w:pPr>
        <w:spacing w:after="80" w:before="240"/>
      </w:pPr>
      <w:r>
        <w:rPr>
          <w:rFonts w:ascii="Calibri" w:cs="Calibri" w:eastAsia="Calibri" w:hAnsi="Calibri"/>
          <w:b/>
          <w:bCs/>
          <w:color w:val="1D1D1D"/>
          <w:sz w:val="22"/>
          <w:szCs w:val="22"/>
        </w:rPr>
        <w:t xml:space="preserve">Czy macie pojemniki do mleczarni?</w:t>
      </w:r>
    </w:p>
    <w:p>
      <w:pPr>
        <w:spacing w:after="150" w:line="264"/>
      </w:pPr>
      <w:r>
        <w:rPr>
          <w:rFonts w:ascii="Calibri" w:cs="Calibri" w:eastAsia="Calibri" w:hAnsi="Calibri"/>
          <w:color w:val="2D2D2D"/>
          <w:sz w:val="21"/>
          <w:szCs w:val="21"/>
        </w:rPr>
        <w:t xml:space="preserve">Tak – pojemniki basicline oraz skrzynki przegrodowe na butelki szklane. Dla mleczarni wprowadzających butelki zwrotne dobierzemy rozwiązanie do stosowanego systemu dystrybucji.</w:t>
      </w:r>
    </w:p>
    <w:p>
      <w:pPr>
        <w:spacing w:after="80" w:before="240"/>
      </w:pPr>
      <w:r>
        <w:rPr>
          <w:rFonts w:ascii="Calibri" w:cs="Calibri" w:eastAsia="Calibri" w:hAnsi="Calibri"/>
          <w:b/>
          <w:bCs/>
          <w:color w:val="1D1D1D"/>
          <w:sz w:val="22"/>
          <w:szCs w:val="22"/>
        </w:rPr>
        <w:t xml:space="preserve">Co dalej z papierowymi i drewnianymi skrzynkami w branży spożywczej?</w:t>
      </w:r>
    </w:p>
    <w:p>
      <w:pPr>
        <w:spacing w:after="150" w:line="264"/>
      </w:pPr>
      <w:r>
        <w:rPr>
          <w:rFonts w:ascii="Calibri" w:cs="Calibri" w:eastAsia="Calibri" w:hAnsi="Calibri"/>
          <w:color w:val="2D2D2D"/>
          <w:sz w:val="21"/>
          <w:szCs w:val="21"/>
        </w:rPr>
        <w:t xml:space="preserve">Papier z powłoką PFAS w opakowaniach do kontaktu z żywnością przestaje spełniać wymogi PPWR z chwilą stosowania ograniczenia z art. 5, czyli od 12 sierpnia 2026 r. Skrzynki i palety drewniane wymagają przy eksporcie poza UE obróbki fitosanitarnej (ISPM-15) i będą stopniowo zastępowane. Tworzywo HDPE pozostaje standardem – nadaje się do recyklingu i charakteryzuje się długą żywotnością.</w:t>
      </w:r>
    </w:p>
    <w:p>
      <w:pPr>
        <w:spacing w:after="80" w:before="240"/>
      </w:pPr>
      <w:r>
        <w:rPr>
          <w:rFonts w:ascii="Calibri" w:cs="Calibri" w:eastAsia="Calibri" w:hAnsi="Calibri"/>
          <w:b/>
          <w:bCs/>
          <w:color w:val="1D1D1D"/>
          <w:sz w:val="22"/>
          <w:szCs w:val="22"/>
        </w:rPr>
        <w:t xml:space="preserve">Jakie są warunki dostawy?</w:t>
      </w:r>
    </w:p>
    <w:p>
      <w:pPr>
        <w:spacing w:after="150" w:line="264"/>
      </w:pPr>
      <w:r>
        <w:rPr>
          <w:rFonts w:ascii="Calibri" w:cs="Calibri" w:eastAsia="Calibri" w:hAnsi="Calibri"/>
          <w:color w:val="2D2D2D"/>
          <w:sz w:val="21"/>
          <w:szCs w:val="21"/>
        </w:rPr>
        <w:t xml:space="preserve">Minimalne ilości zamówienia oraz terminy realizacji i dostawy ustalamy indywidualnie w zależności od produktu (pozycja katalogowa czy wykonanie na zamówienie).</w:t>
      </w:r>
    </w:p>
    <w:p>
      <w:pPr>
        <w:spacing w:after="40" w:before="420"/>
      </w:pPr>
      <w:r>
        <w:rPr>
          <w:rFonts w:ascii="Calibri" w:cs="Calibri" w:eastAsia="Calibri" w:hAnsi="Calibri"/>
          <w:b/>
          <w:bCs/>
          <w:color w:val="65B32E"/>
          <w:spacing w:val="30"/>
          <w:sz w:val="15"/>
          <w:szCs w:val="15"/>
        </w:rPr>
        <w:t xml:space="preserve">KONTAKT</w:t>
      </w:r>
    </w:p>
    <w:p>
      <w:pPr>
        <w:pStyle w:val="Heading2"/>
        <w:pBdr>
          <w:bottom w:val="single" w:color="DEDEDE" w:sz="6" w:space="8"/>
        </w:pBdr>
        <w:spacing w:after="180" w:before="40"/>
      </w:pPr>
      <w:r>
        <w:rPr>
          <w:rFonts w:ascii="Calibri" w:cs="Calibri" w:eastAsia="Calibri" w:hAnsi="Calibri"/>
          <w:b/>
          <w:bCs/>
          <w:color w:val="427718"/>
          <w:sz w:val="27"/>
          <w:szCs w:val="27"/>
        </w:rPr>
        <w:t xml:space="preserve">Omówmy rozwiązanie dla Twojego procesu</w:t>
      </w:r>
    </w:p>
    <w:p>
      <w:pPr>
        <w:pStyle w:val="ListParagraph"/>
        <w:numPr>
          <w:ilvl w:val="0"/>
          <w:numId w:val="2"/>
        </w:numPr>
        <w:spacing w:after="100" w:line="264"/>
      </w:pPr>
      <w:r>
        <w:rPr>
          <w:rFonts w:ascii="Calibri" w:cs="Calibri" w:eastAsia="Calibri" w:hAnsi="Calibri"/>
          <w:color w:val="2D2D2D"/>
          <w:sz w:val="21"/>
          <w:szCs w:val="21"/>
        </w:rPr>
        <w:t xml:space="preserve">Szybki kontakt zwrotny</w:t>
      </w:r>
    </w:p>
    <w:p>
      <w:pPr>
        <w:pStyle w:val="ListParagraph"/>
        <w:numPr>
          <w:ilvl w:val="0"/>
          <w:numId w:val="2"/>
        </w:numPr>
        <w:spacing w:after="100" w:line="264"/>
      </w:pPr>
      <w:r>
        <w:rPr>
          <w:rFonts w:ascii="Calibri" w:cs="Calibri" w:eastAsia="Calibri" w:hAnsi="Calibri"/>
          <w:color w:val="2D2D2D"/>
          <w:sz w:val="21"/>
          <w:szCs w:val="21"/>
        </w:rPr>
        <w:t xml:space="preserve">Rozmawiamy o Twoich konkretnych potrzebach</w:t>
      </w:r>
    </w:p>
    <w:p>
      <w:pPr>
        <w:pStyle w:val="ListParagraph"/>
        <w:numPr>
          <w:ilvl w:val="0"/>
          <w:numId w:val="2"/>
        </w:numPr>
        <w:spacing w:after="100" w:line="264"/>
      </w:pPr>
      <w:r>
        <w:rPr>
          <w:rFonts w:ascii="Calibri" w:cs="Calibri" w:eastAsia="Calibri" w:hAnsi="Calibri"/>
          <w:color w:val="2D2D2D"/>
          <w:sz w:val="21"/>
          <w:szCs w:val="21"/>
        </w:rPr>
        <w:t xml:space="preserve">Bezpłatnie i bez zobowiązań</w:t>
      </w:r>
    </w:p>
    <w:p>
      <w:pPr>
        <w:pStyle w:val="ListParagraph"/>
        <w:numPr>
          <w:ilvl w:val="0"/>
          <w:numId w:val="2"/>
        </w:numPr>
        <w:spacing w:after="100" w:line="264"/>
      </w:pPr>
      <w:r>
        <w:rPr>
          <w:rFonts w:ascii="Calibri" w:cs="Calibri" w:eastAsia="Calibri" w:hAnsi="Calibri"/>
          <w:color w:val="2D2D2D"/>
          <w:sz w:val="21"/>
          <w:szCs w:val="21"/>
        </w:rPr>
        <w:t xml:space="preserve">Możliwość pozyskania próbek produktów</w:t>
      </w:r>
    </w:p>
    <w:p>
      <w:pPr>
        <w:pStyle w:val="Heading3"/>
        <w:spacing w:after="90" w:before="260"/>
      </w:pPr>
      <w:r>
        <w:rPr>
          <w:rFonts w:ascii="Calibri" w:cs="Calibri" w:eastAsia="Calibri" w:hAnsi="Calibri"/>
          <w:b/>
          <w:bCs/>
          <w:color w:val="1D1D1D"/>
          <w:sz w:val="23"/>
          <w:szCs w:val="23"/>
        </w:rPr>
        <w:t xml:space="preserve">Pozostaw dane kontaktowe</w:t>
      </w:r>
    </w:p>
    <w:p>
      <w:pPr>
        <w:spacing w:after="160" w:line="240"/>
        <w:ind w:left="240"/>
      </w:pPr>
      <w:r>
        <w:rPr>
          <w:rFonts w:ascii="Calibri" w:cs="Calibri" w:eastAsia="Calibri" w:hAnsi="Calibri"/>
          <w:b/>
          <w:bCs/>
          <w:color w:val="9A9A9A"/>
          <w:sz w:val="17"/>
          <w:szCs w:val="17"/>
        </w:rPr>
        <w:t xml:space="preserve">Pola: </w:t>
      </w:r>
      <w:r>
        <w:rPr>
          <w:rFonts w:ascii="Calibri" w:cs="Calibri" w:eastAsia="Calibri" w:hAnsi="Calibri"/>
          <w:color w:val="717171"/>
          <w:sz w:val="17"/>
          <w:szCs w:val="17"/>
        </w:rPr>
        <w:t xml:space="preserve">Imię i nazwisko  ·  Firma  ·  E-mail  ·  Telefon</w:t>
      </w:r>
    </w:p>
    <w:p>
      <w:pPr>
        <w:spacing w:after="160" w:line="240"/>
        <w:ind w:left="240"/>
      </w:pPr>
      <w:r>
        <w:rPr>
          <w:rFonts w:ascii="Calibri" w:cs="Calibri" w:eastAsia="Calibri" w:hAnsi="Calibri"/>
          <w:b/>
          <w:bCs/>
          <w:color w:val="9A9A9A"/>
          <w:sz w:val="17"/>
          <w:szCs w:val="17"/>
        </w:rPr>
        <w:t xml:space="preserve">Zgoda: </w:t>
      </w:r>
      <w:r>
        <w:rPr>
          <w:rFonts w:ascii="Calibri" w:cs="Calibri" w:eastAsia="Calibri" w:hAnsi="Calibri"/>
          <w:color w:val="717171"/>
          <w:sz w:val="17"/>
          <w:szCs w:val="17"/>
        </w:rPr>
        <w:t xml:space="preserve">Wyrażam zgodę na przetwarzanie danych osobowych i potwierdzam, że zapoznałem/am się z Polityką prywatności dotyczącą zasad ich przetwarzania.</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Proszę o kontakt</w:t>
      </w:r>
    </w:p>
    <w:sectPr>
      <w:footerReference w:type="default" r:id="rId7"/>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space="8"/>
      </w:pBdr>
      <w:tabs>
        <w:tab w:val="right" w:pos="9412"/>
      </w:tabs>
    </w:pPr>
    <w:r>
      <w:rPr>
        <w:rFonts w:ascii="Calibri" w:cs="Calibri" w:eastAsia="Calibri" w:hAnsi="Calibri"/>
        <w:color w:val="9A9A9A"/>
        <w:sz w:val="15"/>
        <w:szCs w:val="15"/>
      </w:rPr>
      <w:t xml:space="preserve">Strona 02 – Przetwórstwo żywności · makieta v15</w:t>
    </w:r>
    <w:r>
      <w:rPr>
        <w:rFonts w:ascii="Calibri" w:cs="Calibri" w:eastAsia="Calibri" w:hAnsi="Calibri"/>
        <w:sz w:val="15"/>
        <w:szCs w:val="15"/>
      </w:rPr>
      <w:t xml:space="preserve">	</w:t>
    </w:r>
    <w:r>
      <w:rPr>
        <w:rFonts w:ascii="Calibri" w:cs="Calibri" w:eastAsia="Calibri" w:hAnsi="Calibri"/>
        <w:color w:val="9A9A9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65B32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Strona 02 – Przetwórstwo żywności</dc:title>
  <dc:creator>crear agency</dc:creator>
  <dc:description>Treść makiety branżowej PPWR v15 do recenzji</dc:description>
  <cp:lastModifiedBy>Un-named</cp:lastModifiedBy>
  <cp:revision>1</cp:revision>
  <dcterms:created xsi:type="dcterms:W3CDTF">2026-07-24T10:36:16.286Z</dcterms:created>
  <dcterms:modified xsi:type="dcterms:W3CDTF">2026-07-24T10:36:16.286Z</dcterms:modified>
</cp:coreProperties>
</file>

<file path=docProps/custom.xml><?xml version="1.0" encoding="utf-8"?>
<Properties xmlns="http://schemas.openxmlformats.org/officeDocument/2006/custom-properties" xmlns:vt="http://schemas.openxmlformats.org/officeDocument/2006/docPropsVTypes"/>
</file>