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D1D1D"/>
          <w:sz w:val="40"/>
          <w:szCs w:val="40"/>
        </w:rPr>
        <w:t xml:space="preserve">Strona 08 – Produkcja przemysłowa</w:t>
      </w:r>
    </w:p>
    <w:p>
      <w:pPr>
        <w:spacing w:after="3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Makieta v15 · /branzowe/produkcja-przemyslowa/</w:t>
      </w:r>
    </w:p>
    <w:p>
      <w:pPr>
        <w:spacing w:after="3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Persona: Production Manager / Plant Director</w:t>
      </w:r>
    </w:p>
    <w:p>
      <w:pPr>
        <w:spacing w:after="14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Główna fraza: pojemniki transportowe</w:t>
      </w:r>
    </w:p>
    <w:p>
      <w:pPr>
        <w:pBdr>
          <w:top w:val="single" w:color="DEDEDE" w:sz="6" w:space="10"/>
        </w:pBdr>
        <w:spacing w:after="120" w:line="240"/>
      </w:pPr>
      <w:r>
        <w:rPr>
          <w:rFonts w:ascii="Calibri" w:cs="Calibri" w:eastAsia="Calibri" w:hAnsi="Calibri"/>
          <w:i/>
          <w:iCs/>
          <w:color w:val="717171"/>
          <w:sz w:val="17"/>
          <w:szCs w:val="17"/>
        </w:rPr>
        <w:t xml:space="preserve">Dokument zawiera treść makiety do recenzji. Komentarze prosimy nanosić bezpośrednio w pliku.</w:t>
      </w:r>
    </w:p>
    <w:p>
      <w:pPr>
        <w:pBdr>
          <w:bottom w:val="single" w:color="DEDEDE" w:sz="6" w:space="2"/>
        </w:pBdr>
        <w:spacing w:after="260" w:before="12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pStyle w:val="Heading1"/>
        <w:spacing w:after="160" w:before="120"/>
      </w:pPr>
      <w:r>
        <w:rPr>
          <w:rFonts w:ascii="Calibri" w:cs="Calibri" w:eastAsia="Calibri" w:hAnsi="Calibri"/>
          <w:b/>
          <w:bCs/>
          <w:color w:val="1D1D1D"/>
          <w:sz w:val="32"/>
          <w:szCs w:val="32"/>
        </w:rPr>
        <w:t xml:space="preserve">Pojemniki transportowe dla produkcji przemysłowej</w:t>
      </w:r>
    </w:p>
    <w:p>
      <w:pPr>
        <w:spacing w:after="200" w:line="276"/>
      </w:pPr>
      <w:r>
        <w:rPr>
          <w:rFonts w:ascii="Calibri" w:cs="Calibri" w:eastAsia="Calibri" w:hAnsi="Calibri"/>
          <w:color w:val="434343"/>
          <w:sz w:val="23"/>
          <w:szCs w:val="23"/>
        </w:rPr>
        <w:t xml:space="preserve">Pojemniki transportowe i palety plastikowe Euro dla AGD, elektroniki, mebli, chemii i budownictwa. Rozwiązania wspierające systemy opakowań wielokrotnego użytku zgodne z wymaganiami PPWR.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Przyciski: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Zapytaj eksperta  ·  Przeprowadź audyt PPWR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NAJWAŻNIEJSZE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Kluczowe wnioski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29 ust. 2 PPWR przewiduje, że od 2030 r. opakowania transportowe w obiegu wewnątrz firmy będą opakowaniami wielokrotnego użytku.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Dotyczy to przepływu między miejscami działalności tego samego przedsiębiorstwa lub przedsiębiorstw powiązanych.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Obieg zamknięty wewnątrz firmy jest ugruntowaną praktyką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w przemyśle Europy Zachodniej (m.in. motoryzacja, AGD, elektronika), a polski rynek dynamicznie wdraża ten model w związku z nadchodzącymi obowiązkami PPWR.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Rozwiązania dla wielu branż przemysłu w jednym miejscu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– AGD, RTV, elektronika konsumencka, meble, chemia ogólna, budownictwo, tekstylia, narzędzia i części zamienne.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Pojemniki basicline plus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(baza 800×600 mm) sprawdzają się przy dużych wolumenach w produkcji (AGD, meble, narzędzia).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Palety plastikowe Euro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mogą stanowić alternatywę dla palet drewnianych EPAL – nie podlegają obróbce ISPM-15 i cechują się długą żywotnością w obiegu zamkniętym.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WYZWANIA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Cztery wyzwania producentów przemysłowych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Pokazujemy, jak pojemniki transportowe domykają obieg między zakładami w produkcji przemysłowej.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01. Obieg zamknięty wewnątrz firmy – art. 29 ust. 2 PPWR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Producent AGD z 3 zakładami w Polsce i 2 centrami dystrybucyjnymi – PPWR przewiduje, że od 2030 r. pojemniki transportowe krążące między tymi 5 lokalizacjami będą opakowaniami wielokrotnego użytku.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basicline / basicline plus – EURO-NORM · palety plastikowe Euro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02. Pojemniki dla AKL i magazynów automatycznych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Nowoczesna produkcja przemysłowa to automatyczny magazyn (AKL), linia produkcyjna i automatyczna stacja pakowania. Pojemniki muszą mieć precyzyjne, powtarzalne wymiary zgodne z EURO-NORM, zapewniające niezawodną obsługę w magazynach automatycznych (AKL).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silverline / contecline – AKL · precyzja EURO-NORM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03. Opakowania dla komponentów wielkogabarytowych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Producenci AGD (lodówki, pralki), mebli i materiałów budowlanych potrzebują opakowań większych niż standardowe pojemniki – do komponentów wielkogabarytowych sprawdzają się palety plastikowe i pojemniki wielkogabarytowe.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Palety plastikowe i pojemniki wielkogabarytowe – 1200×1000 / 1200×800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04. Palety drewniane i obróbka ISPM-15 przy eksporcie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Palety drewniane w eksporcie poza UE wymagają obróbki fitosanitarnej według normy ISPM-15 (obróbka termiczna lub fumigacja) i znaku IPPC. Palety z tworzywa są poza zakresem tej normy – nie wymagają obróbki fitosanitarnej ani oznakowania IPPC wymaganego dla palet drewnianych.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Palety plastikowe Euro – bez obróbki ISPM-15 · długa żywotność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PRODUKTY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Pojemniki i palety dla produkcji przemysłowej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silverline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Obieg zamknięty między zakładami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basicline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Uniwersalne B2B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basicline plus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AGD, meble, narzędzia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contecline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Magazyny AKL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ESD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Elektronika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Palety Euro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Bez obróbki ISPM-15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ERGline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dystrybucja, logistyka zwrotna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PPWR · ZGODNOŚĆ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PPWR dla producentów – art. 29 i co konkretnie musisz zrobić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Art. 29 ust. 2 PPWR przewiduje, że od 1 stycznia 2030 r. opakowania transportowe w obiegu wewnątrz firmy – między zakładami produkcyjnymi, magazynami DC i centrami dystrybucji tego samego podmiotu lub przedsiębiorstw powiązanych lub partnerskich – będą opakowaniami wielokrotnego użytku. Rozporządzenie nie podaje tu wprost wartości procentowej.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29 ust. 2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PPWR przewiduje, że od 2030 r. opakowania transportowe w obiegu między zakładami tego samego przedsiębiorstwa lub przedsiębiorstw powiązanych będą opakowaniami wielokrotnego użytku.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29 ust. 1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Producent stosujący opakowania transportowe zapewnia co najmniej 40% opakowań wielokrotnego użytku (2030); od 2040 r. – dążenie do 70%.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5 PFAS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Ogranicza zawartość PFAS w opakowaniach mających kontakt z żywnością (od 12.08.2026). Dotyczy producentów takich opakowań.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24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Ograniczenie nadmiernej pustej przestrzeni w opakowaniu – maksymalnie 50% objętości.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NASTĘPNE KROKI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Co możesz zrobić już teraz</w:t>
      </w:r>
    </w:p>
    <w:p>
      <w:pPr>
        <w:pBdr>
          <w:left w:val="single" w:color="65B32E" w:sz="18" w:space="14"/>
        </w:pBdr>
        <w:spacing w:after="60" w:before="160" w:line="264"/>
        <w:ind w:left="340"/>
      </w:pPr>
      <w:r>
        <w:rPr>
          <w:rFonts w:ascii="Calibri" w:cs="Calibri" w:eastAsia="Calibri" w:hAnsi="Calibri"/>
          <w:i/>
          <w:iCs/>
          <w:color w:val="434343"/>
          <w:sz w:val="21"/>
          <w:szCs w:val="21"/>
        </w:rPr>
        <w:t xml:space="preserve">PPWR przewiduje, że od 2030 r. opakowania transportowe w obiegu między różnymi miejscami działalności tego samego podmiotu oraz przedsiębiorstw powiązanych lub partnerskich w UE będą opakowaniami wielokrotnego użytku (art. 29 ust. 2).</w:t>
      </w:r>
    </w:p>
    <w:p>
      <w:pPr>
        <w:spacing w:after="220" w:line="240"/>
        <w:ind w:left="340"/>
      </w:pPr>
      <w:r>
        <w:rPr>
          <w:rFonts w:ascii="Calibri" w:cs="Calibri" w:eastAsia="Calibri" w:hAnsi="Calibri"/>
          <w:color w:val="9A9A9A"/>
          <w:sz w:val="16"/>
          <w:szCs w:val="16"/>
        </w:rPr>
        <w:t xml:space="preserve">zgodnie z rozporządzeniem (UE) 2025/40 Parlamentu Europejskiego i Rady z dnia 19 grudnia 2024 r. w sprawie opakowań i odpadów opakowaniowych (PPWR)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01. Przeprowadź audyt PPWR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Sprawdź gotowość zakładu do wymogów PPWR.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Przejdź do audytu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02. Oblicz koszt PPWR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Porównaj opakowania jednorazowe i zwrotne oraz zobacz próg rentowności.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Otwórz kalkulator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03. Zapytaj eksperta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Zapytaj eksperta o PPWR w swojej branży.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Umów rozmowę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CASE STUDIES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Opakowania wielokrotnego użytku we wdrożeniach bekuplast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Każde wdrożenie to osobna historia naszego Klienta – indywidualne wymagania, do których dopasowujemy optymalne rozwiązania.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ROSSMANN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Intralogistyka centralnego magazynu (Landsberg, Niemcy) – pojemniki obiegowe w magazynie centralnym.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2025  ·  160 000 pojemników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Orbico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beauty i FMCG (PL) – pojemniki contecline dla zautomatyzowanych magazynów AKL/Shuttle.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2023  ·  46 000 pojemników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Onninen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materiałów budowlanych i instalacyjnych (PL) – pojemniki contecline.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2019  ·  40 000 pojemników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Auto Partner SA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części samochodowych (PL) – pojemniki contecline i silverline w magazynach AKL/Shuttle.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2022  ·  27 000 pojemników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KOSZT PPWR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Koszt przejścia na opakowania wielokrotnego użytku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Porównaj koszt opakowań jednorazowych z kosztem pojemników zwrotnych w obiegu zamkniętym – kalkulator pomoże oszacować próg rentowności przejścia na opakowania wielokrotnego użytku.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Oblicz koszt PPWR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POWIĄZANE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Może Cię też zainteresować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Intralogistyka i magazyn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Pojemniki AKL, shuttle, miniload dla automatyzacji magazynowej.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Przemysł motoryzacyjny i automotive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VDA-KLT, dostawcy tier-1/2/3, closed-loop OEM.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Farmacja i kosmetyki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Pojemniki ESD dla farmacji i chemii specjalistycznej.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FAQ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Najczęściej zadawane pytania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Co to jest art. 29 ust. 2 PPWR i kogo dotyczy?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Art. 29 ust. 2 PPWR przewiduje, że od 2030 r. opakowania transportowe w obiegu wewnątrz firmy – między różnymi miejscami działalności tego samego podmiotu lub przedsiębiorstw powiązanych lub partnerskich – będą opakowaniami wielokrotnego użytku. Dotyczy podmiotów gospodarczych stosujących opakowania transportowe w takim obiegu.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pojedynczy zakład produkcyjny jest objęty art. 29?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Art. 29 ust. 2 dotyczy opakowań transportowych w obiegu między różnymi miejscami działalności tego samego podmiotu lub przedsiębiorstw powiązanych lub partnerskich – pojedynczy zakład bez takiego obiegu co do zasady nie podlega tej części przepisów. Może go jednak objąć art. 29 ust. 1 (cel 40% dla podmiotów stosujących opakowania transportowe), gdy dostarcza produkty dalej w łańcuchu.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Jakie pojemniki polecacie do obiegu zamkniętego w branży AGD?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Pojemniki basicline plus dla średnich i dużych komponentów AGD, silverline dla magazynów AKL oraz palety plastikowe Euro dla transportu międzyzakładowego.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palety plastikowe Euro są kompatybilne z systemami magazynów automatycznych (AKL)?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Tak – produkujemy palety plastikowe Euro w standardowych wymiarach EURO-NORM, kompatybilne z powszechnie stosowanymi systemami magazynów automatycznych. Dokładne wymiary dobieramy do wymagań Twojej instalacji.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Ile cykli wytrzymują palety plastikowe?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Palety plastikowe zapewniają wieloletnią eksploatację w obiegu zamkniętym – konkretna żywotność zależy od profilu obciążeń i liczby cykli w Twoim procesie. Palety drewniane zwykle mają krótszą żywotność i wymagają napraw oraz wymiany uszkodzonych elementów.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mogę porównać koszt obiegu zamkniętego z obecnym modelem jednorazowym?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Tak – kalkulator kosztu PPWR pomoże porównać obecny model z obiegiem zamkniętym: podajesz liczbę dostaw między zakładami, obecny model i skalę roczną, a otrzymujesz wynik kierunkowy w zakresie progu rentowności przejścia na opakowania zwrotne.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oferujecie znakowanie indywidualne dla producenta?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Tak – oferujemy indywidualne znakowanie i personalizację pojemników (m.in. logo firmy), a w razie potrzeby przygotowanie miejsca pod tag RFID. Dostępne metody i szczegóły dobieramy pod konkretne zastosowanie. Docelowo opakowania obejmie zharmonizowane oznakowanie (cyfrowy nośnik danych) przewidziane w PPWR – szczegółowy termin i format wynikają z unijnych aktów wykonawczych.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KONTAKT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Omówmy rozwiązanie dla Twojego procesu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Szybki kontakt zwrotny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Rozmawiamy o Twoich konkretnych potrzebach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Bezpłatnie i bez zobowiązań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Możliwość pozyskania próbek produktów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Pozostaw dane kontaktowe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Pola: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Imię i nazwisko  ·  Firma  ·  E-mail  ·  Telefon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Zgoda: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Wyrażam zgodę na przetwarzanie danych osobowych i potwierdzam, że zapoznałem/am się z Polityką prywatności dotyczącą zasad ich przetwarzania.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Proszę o kontakt</w:t>
      </w:r>
    </w:p>
    <w:sectPr>
      <w:footerReference w:type="default" r:id="rId7"/>
      <w:pgSz w:w="11906" w:h="16838" w:orient="portrait"/>
      <w:pgMar w:top="1247" w:right="1247" w:bottom="1133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DEDE" w:sz="4" w:space="8"/>
      </w:pBdr>
      <w:tabs>
        <w:tab w:val="right" w:pos="9412"/>
      </w:tabs>
    </w:pPr>
    <w:r>
      <w:rPr>
        <w:rFonts w:ascii="Calibri" w:cs="Calibri" w:eastAsia="Calibri" w:hAnsi="Calibri"/>
        <w:color w:val="9A9A9A"/>
        <w:sz w:val="15"/>
        <w:szCs w:val="15"/>
      </w:rPr>
      <w:t xml:space="preserve">Strona 08 – Produkcja przemysłowa · makieta v15</w:t>
    </w:r>
    <w:r>
      <w:rPr>
        <w:rFonts w:ascii="Calibri" w:cs="Calibri" w:eastAsia="Calibri" w:hAnsi="Calibri"/>
        <w:sz w:val="15"/>
        <w:szCs w:val="15"/>
      </w:rPr>
      <w:t xml:space="preserve">	</w:t>
    </w:r>
    <w:r>
      <w:rPr>
        <w:rFonts w:ascii="Calibri" w:cs="Calibri" w:eastAsia="Calibri" w:hAnsi="Calibri"/>
        <w:color w:val="9A9A9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Calibri" w:cs="Calibri" w:eastAsia="Calibri" w:hAnsi="Calibri"/>
        <w:color w:val="65B32E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Strona 08 – Produkcja przemysłowa</dc:title>
  <dc:creator>crear agency</dc:creator>
  <dc:description>Treść makiety branżowej PPWR v15 do recenzji</dc:description>
  <cp:lastModifiedBy>Un-named</cp:lastModifiedBy>
  <cp:revision>1</cp:revision>
  <dcterms:created xsi:type="dcterms:W3CDTF">2026-07-24T10:36:16.328Z</dcterms:created>
  <dcterms:modified xsi:type="dcterms:W3CDTF">2026-07-24T10:36:16.328Z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