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D1D1D"/>
          <w:sz w:val="40"/>
          <w:szCs w:val="40"/>
        </w:rPr>
        <w:t xml:space="preserve">Strona 10 – E-commerce, 3PL i fulfillment</w:t>
      </w:r>
    </w:p>
    <w:p>
      <w:pPr>
        <w:spacing w:after="3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Makieta v15 · /branzowe/e-commerce-3pl-fulfillment/</w:t>
      </w:r>
    </w:p>
    <w:p>
      <w:pPr>
        <w:spacing w:after="3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Persona: Head of Fulfillment / Operations Manager 3PL e-com</w:t>
      </w:r>
    </w:p>
    <w:p>
      <w:pPr>
        <w:spacing w:after="14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Główna fraza: opakowania ecommerce</w:t>
      </w:r>
    </w:p>
    <w:p>
      <w:pPr>
        <w:pBdr>
          <w:top w:val="single" w:color="DEDEDE" w:sz="6" w:space="10"/>
        </w:pBdr>
        <w:spacing w:after="120" w:line="240"/>
      </w:pPr>
      <w:r>
        <w:rPr>
          <w:rFonts w:ascii="Calibri" w:cs="Calibri" w:eastAsia="Calibri" w:hAnsi="Calibri"/>
          <w:i/>
          <w:iCs/>
          <w:color w:val="717171"/>
          <w:sz w:val="17"/>
          <w:szCs w:val="17"/>
        </w:rPr>
        <w:t xml:space="preserve">Dokument zawiera treść makiety do recenzji. Komentarze prosimy nanosić bezpośrednio w pliku.</w:t>
      </w:r>
    </w:p>
    <w:p>
      <w:pPr>
        <w:pBdr>
          <w:bottom w:val="single" w:color="DEDEDE" w:sz="6" w:space="2"/>
        </w:pBdr>
        <w:spacing w:after="260" w:before="12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D1D1D"/>
          <w:sz w:val="32"/>
          <w:szCs w:val="32"/>
        </w:rPr>
        <w:t xml:space="preserve">Opakowania zwrotne dla e-commerce</w:t>
      </w:r>
    </w:p>
    <w:p>
      <w:pPr>
        <w:spacing w:after="200" w:line="276"/>
      </w:pPr>
      <w:r>
        <w:rPr>
          <w:rFonts w:ascii="Calibri" w:cs="Calibri" w:eastAsia="Calibri" w:hAnsi="Calibri"/>
          <w:color w:val="434343"/>
          <w:sz w:val="23"/>
          <w:szCs w:val="23"/>
        </w:rPr>
        <w:t xml:space="preserve">Opakowania zwrotne dla e-commerce – składane skrzynki, pojemniki magazynowe i pojemniki na zwroty dla operatorów fulfillmentu i 3PL. Rozwiązania wspierające realizację wymagań PPWR dotyczących opakowań transportowych.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Przyciski: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Zapytaj eksperta  ·  Przeprowadź audyt PPWR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NAJWAŻNIEJSZE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Kluczowe wnioski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Obowiązki PPWR w e-commerce i 3PL zależą od roli podmiotu i rodzaju stosowanych opakowań.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Art. 29 dotyczy podmiotów stosujących opakowania transportowe i obejmuje także handel elektroniczny (art. 29 ust. 3); operatorzy fulfillmentu, platformy marketplace i operatorzy logistyczni stosujący opakowania transportowe mogą podlegać wymaganiom wynikającym z PPWR – rozporządzenie nie wymienia ich z nazwy jako odrębnych adresatów. Cel: 40% ponownego użycia opakowań transportowych do 2030 r.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Składana skrzynka zwrotna w e-commerce to dziś nisza, która może stać się standardem.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Składane skrzynki (clever move box) redukują objętość po zwrocie do 84% (dane bekuplast), ograniczając puste przebiegi w transporcie.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Rozbudowana sieć automatów paczkowych w Polsce może stać się naturalną bazą dla opakowań zwrotnych (RTP).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To potencjalny kierunek rozwoju rynku, a nie wymóg wynikający z PPWR: konsument oddaje skrzynkę do automatu → kurier zabiera → DC czyści → ponowna dystrybucja. Infrastruktura automatów już istnieje.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Rozbudowana sieć automatów paczkowych w Polsce stwarza korzystne warunki do rozwoju systemów opakowań wielokrotnego użytku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– rynki Europy Zachodniej rozwijają opakowania wielokrotnego użytku w e-commerce, jednak bez porównywalnej do Polski infrastruktury automatów paczkowych.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Przejście na flotę opakowań wielokrotnego użytku i system zwrotu to inwestycja, której skala zależy od wolumenu paczek i profilu operatora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– wyliczymy ją dla Twojego procesu. Okres zwrotu inwestycji zależy od skali i intensywności rotacji – oszacujemy go w kalkulatorze.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WYZWANIA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Cztery wyzwania e-commerce – i cztery odpowiedzi opakowań zwrotnych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Pokazujemy, jak opakowania zwrotne dla e-commerce ograniczają karton i obsługują zwroty w fulfillmencie.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01. Karton jednorazowy dominuje w opakowaniach e-commerce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W typowym fulfillment center dominują jednorazowe kartony i folia stretch, generujące istotny wolumen odpadów opakowaniowych oraz koszt ich utylizacji.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Clever-Retail-Box – Skrzynka zwrotna e-commerce · okres amortyzacji zależny od skali wdrożenia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02. Puste przebiegi w transporcie zwrotnym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Znacząca część paczek wraca jako zwroty, a opakowanie zwrotne wraca od konsumenta do DC puste. Sztywna skrzynka zajmuje po zwrocie tyle samo miejsca co pełna – składana redukuje objętość do 84%.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Clever move box – Redukcja objętości po złożeniu do 84% (dane bekuplast)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03. Art. 29 PPWR – obowiązek po stronie podmiotu stosującego opakowania transportowe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Podmioty stosujące opakowania transportowe (operatorzy fulfillmentu, platformy marketplace, kurierzy) podlegają art. 29 o tyle, o ile stosują takie opakowania – rozporządzenie nie wymienia ich z nazwy. Cel: 40% ponownego użycia opakowań transportowych do 2030 r.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Skrzynki pod automaty paczkowe – clever move box + palety plastikowe · skrzynki w wymiarach dopasowanych pod automaty paczkowe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04. Zwroty w e-commerce – pojemniki na produkty zwrócone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Współczynnik zwrotów w e-commerce bywa wysoki, zwłaszcza w modzie – pojemniki zwrotne porządkują ten proces, który dziś dla wielu operatorów jest improwizacją.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Kuwety na zwroty – Trwałe znakowanie i miejsce na etykietę · integracja z WMS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PRODUKTY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Składane skrzynki, totes magazynowe i palety dla operatorów e-commerce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Clever Retail Box 4011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Składana skrzynka retail / fulfillment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Clever move box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Redukcja objętości do 84% (dane bekuplast)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silverline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AKL, automatyzacja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contecline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Magazyny automatyczne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lightline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Kompletacja ręczna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Palety Euro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Transport DC → DC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PPWR · ZGODNOŚĆ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PPWR dla e-commerce – art. 29 i co konkretnie musisz zrobić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Polski rynek e-commerce opiera się dziś niemal wyłącznie na opakowaniach jednorazowych (karton, folia stretch, wypełniacze). PPWR wprowadza wymagania dotyczące określonych kategorii opakowań: cele ponownego użycia obejmują opakowania transportowe, natomiast jednorazowe pudła tekturowe objęte wyłączeniem z art. 29 ust. 4 lit. d nie są wliczane do tych celów.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29 ust. 1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Kluczowy dla e-commerce – 40% ponownego użycia w opakowaniach transportowych do 2030 r. oraz dążenie do 70% do 2040 r. Kary określi polska ustawa krajowa (w toku prac legislacyjnych).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24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Ograniczenie nadmiarowego opakowania – art. 24 PPWR przewiduje, że pusta przestrzeń w paczce e-commerce nie będzie mogła przekraczać 50% (zgodnie z harmonogramem określonym w rozporządzeniu), co w praktyce oznacza minimalizację warstw opakowaniowych w wysyłce.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29 ust. 6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Cele ponownego użycia dla napojów (10% w 2030 r., dążenie do 40% w 2040 r.) obejmują dystrybutorów końcowych udostępniających napoje konsumentom.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50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PPWR przewiduje obowiązek ustanowienia systemów kaucyjnych dla jednorazowych butelek z tworzyw sztucznych i puszek, z wyjątkami określonymi w rozporządzeniu – to obszar istotny także dla e-commerce sprzedającego napoje. Wykorzystanie automatów paczkowych jako punktów zbiórki to potencjalny kierunek rozwoju rynku, a nie element rozporządzenia.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NASTĘPNE KROKI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Co możesz zrobić już teraz</w:t>
      </w:r>
    </w:p>
    <w:p>
      <w:pPr>
        <w:pBdr>
          <w:left w:val="single" w:color="65B32E" w:sz="18" w:space="14"/>
        </w:pBdr>
        <w:spacing w:after="60" w:before="160" w:line="264"/>
        <w:ind w:left="340"/>
      </w:pPr>
      <w:r>
        <w:rPr>
          <w:rFonts w:ascii="Calibri" w:cs="Calibri" w:eastAsia="Calibri" w:hAnsi="Calibri"/>
          <w:i/>
          <w:iCs/>
          <w:color w:val="434343"/>
          <w:sz w:val="21"/>
          <w:szCs w:val="21"/>
        </w:rPr>
        <w:t xml:space="preserve">Operatorzy e-commerce i fulfillmentu mogą podlegać celom ponownego użycia opakowań transportowych – zależnie od zakresu działalności i rodzaju stosowanych opakowań: co najmniej 40% do 2030 r. i dążenie do 70% do 2040 r.</w:t>
      </w:r>
    </w:p>
    <w:p>
      <w:pPr>
        <w:spacing w:after="220" w:line="240"/>
        <w:ind w:left="340"/>
      </w:pPr>
      <w:r>
        <w:rPr>
          <w:rFonts w:ascii="Calibri" w:cs="Calibri" w:eastAsia="Calibri" w:hAnsi="Calibri"/>
          <w:color w:val="9A9A9A"/>
          <w:sz w:val="16"/>
          <w:szCs w:val="16"/>
        </w:rPr>
        <w:t xml:space="preserve">zgodnie z rozporządzeniem (UE) 2025/40 Parlamentu Europejskiego i Rady z dnia 19 grudnia 2024 r. w sprawie opakowań i odpadów opakowaniowych (PPWR)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01. Przeprowadź audyt PPWR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Sprawdź gotowość operatora e-commerce w kilka minut.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Przejdź do audytu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02. Oblicz koszt PPWR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Porównaj opakowania jednorazowe i zwrotne, zobacz próg rentowności.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Otwórz kalkulator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03. Zapytaj eksperta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Zapytaj eksperta o PPWR w swojej branży.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Umów rozmowę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CASE STUDIES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Opakowania wielokrotnego użytku we wdrożeniach bekuplast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Każde wdrożenie to osobna historia naszego Klienta. Indywidualne wymagania, do których dopasowujemy optymalne rozwiązania.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ROSSMANN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Intralogistyka sieci drogerii (Landsberg, DE) – pojemnik kompletacyjny w zautomatyzowanym magazynie centralnym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2025  ·  160 000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Orbico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beauty i FMCG (PL) – pojemniki contecline w zautomatyzowanych magazynach (AKL/Shuttle)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2023  ·  46 000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Onninen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materiałów budowlanych i instalacyjnych (PL) – 40 000 pojemników contecline w automatycznym magazynie Onnimat (projekt DOMINO)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2019  ·  40 000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Auto Partner SA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części samochodowych (PL) – pojemniki contecline i silverline w magazynach AKL/Shuttle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2022  ·  27 000 pojemników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KOSZT PPWR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Koszt przejścia na opakowania wielokrotnego użytku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Porównaj koszt kartonów jednorazowych i zwrotnych pojemników e-commerce – kalkulator pokaże próg rentowności i strukturę emisji CO₂ dla operatora fulfillmentu.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Oblicz koszt PPWR w 2 min.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POWIĄZANE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Może Cię też zainteresować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Handel detaliczny i FMCG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Sieci handlowe to często sprzedawcy na Twoich platformach marketplace. Art. 29 PPWR może dotyczyć ich podobnie jak operatorów e-commerce – zależnie od stosowanych opakowań transportowych.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Logistyka i transport (3PL)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Operatorzy logistyczni B2B obsługujący transport międzymagazynowy.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Intralogistyka i magazyn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AKL, shuttle, WMS – fundament fulfillment center.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FAQ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Najczęściej zadawane pytania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Czym jest art. 29 PPWR i kogo obejmuje?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Art. 29 PPWR dotyczy podmiotów stosujących opakowania transportowe – obejmuje także handel elektroniczny (art. 29 ust. 3). Sieci handlowe, operatorzy fulfillmentu, kurierzy i platformy marketplace podlegają mu o tyle, o ile stosują takie opakowania. Cel: 40% ponownego użycia opakowań transportowych do 2030 r. oraz dążenie do 70% do 2040 r. Z celów ponownego użycia zwolnione są mikroprzedsiębiorstwa udostępniające nie więcej niż 1000 kg opakowań rocznie (art. 29 ust. 13). Pudła tekturowe są wyłączone z tych obowiązków (art. 29 ust. 4 lit. d), co jest istotne dla paczek e-commerce.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operatorzy e-commerce i logistyki są objęci PPWR?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Operatorzy fulfillmentu, platformy marketplace i operatorzy logistyczni stosujący opakowania transportowe mogą podlegać wymaganiom wynikającym z PPWR. Rozporządzenie nie wymienia ich z nazwy jako odrębnych adresatów – podlegają art. 29 o tyle, o ile stosują opakowania transportowe.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Co to jest clever move box i czym różni się od zwykłej skrzynki?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Clever move box to składana skrzynka z tworzywa – po złożeniu redukuje objętość do 84% w porównaniu ze skrzynkami sztywnymi (dane bekuplast). Ogranicza puste przebiegi w transporcie zwrotnym (kurier zabiera na jednym przebiegu znacznie więcej zwracanych skrzynek).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Jakie kary za niespełnienie art. 29?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Kary za niespełnienie celów PPWR określi polska ustawa krajowa (w toku prac legislacyjnych). Zgodnie z art. 68 PPWR to państwa członkowskie ustanawiają kary skuteczne, proporcjonalne i odstraszające – ich ostateczna wysokość nie jest jeszcze przesądzona.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Ile cykli wytrzymuje clever move box?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Składane skrzynki transportowe z tworzywa są przeznaczone do wielokrotnej rotacji i wieloletniej eksploatacji; realną liczbę cykli dobieramy do intensywności Twojego procesu.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obsługujecie operatorów fulfillmentu i 3PL na rynkach DACH?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 – bekuplast od lat obsługuje operatorów fulfillmentu i logistyki w regionie DACH oraz w Polsce.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KONTAKT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Omówmy rozwiązanie dla Twojego procesu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Szybki kontakt zwrotny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Rozmawiamy o Twoich konkretnych potrzebach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Bezpłatnie i bez zobowiązań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Możliwość pozyskania próbek produktów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Pozostaw dane kontaktowe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Pola: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Imię i nazwisko  ·  Firma  ·  E-mail  ·  Telefon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Zgoda: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Wyrażam zgodę na przetwarzanie danych osobowych i potwierdzam, że zapoznałem/am się z Polityką prywatności dotyczącą zasad ich przetwarzania.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Proszę o kontakt</w:t>
      </w:r>
    </w:p>
    <w:sectPr>
      <w:footerReference w:type="default" r:id="rId7"/>
      <w:pgSz w:w="11906" w:h="16838" w:orient="portrait"/>
      <w:pgMar w:top="1247" w:right="1247" w:bottom="1133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DEDE" w:sz="4" w:space="8"/>
      </w:pBdr>
      <w:tabs>
        <w:tab w:val="right" w:pos="9412"/>
      </w:tabs>
    </w:pPr>
    <w:r>
      <w:rPr>
        <w:rFonts w:ascii="Calibri" w:cs="Calibri" w:eastAsia="Calibri" w:hAnsi="Calibri"/>
        <w:color w:val="9A9A9A"/>
        <w:sz w:val="15"/>
        <w:szCs w:val="15"/>
      </w:rPr>
      <w:t xml:space="preserve">Strona 10 – E-commerce, 3PL i fulfillment · makieta v15</w:t>
    </w:r>
    <w:r>
      <w:rPr>
        <w:rFonts w:ascii="Calibri" w:cs="Calibri" w:eastAsia="Calibri" w:hAnsi="Calibri"/>
        <w:sz w:val="15"/>
        <w:szCs w:val="15"/>
      </w:rPr>
      <w:t xml:space="preserve">	</w:t>
    </w:r>
    <w:r>
      <w:rPr>
        <w:rFonts w:ascii="Calibri" w:cs="Calibri" w:eastAsia="Calibri" w:hAnsi="Calibri"/>
        <w:color w:val="9A9A9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Calibri" w:cs="Calibri" w:eastAsia="Calibri" w:hAnsi="Calibri"/>
        <w:color w:val="65B32E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Strona 10 – E-commerce, 3PL i fulfillment</dc:title>
  <dc:creator>crear agency</dc:creator>
  <dc:description>Treść makiety branżowej PPWR v15 do recenzji</dc:description>
  <cp:lastModifiedBy>Un-named</cp:lastModifiedBy>
  <cp:revision>1</cp:revision>
  <dcterms:created xsi:type="dcterms:W3CDTF">2026-07-24T10:36:16.342Z</dcterms:created>
  <dcterms:modified xsi:type="dcterms:W3CDTF">2026-07-24T10:36:16.342Z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