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D1D1D"/>
          <w:sz w:val="40"/>
          <w:szCs w:val="40"/>
        </w:rPr>
        <w:t xml:space="preserve">Strona 03 – Sprzedaż i transport na rynku napojów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Makieta v17 · /branzowe/sprzedaz-i-transport-na-rynku-napojow/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Persona: Logistics Manager browaru / mleczarni</w:t>
      </w:r>
    </w:p>
    <w:p>
      <w:pPr>
        <w:spacing w:after="14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Główna fraza: skrzynka na piwo</w:t>
      </w:r>
    </w:p>
    <w:p>
      <w:pPr>
        <w:pBdr>
          <w:top w:val="single" w:color="DEDEDE" w:sz="6" w:space="10"/>
        </w:pBdr>
        <w:spacing w:after="120" w:line="240"/>
      </w:pPr>
      <w:r>
        <w:rPr>
          <w:rFonts w:ascii="Calibri" w:cs="Calibri" w:eastAsia="Calibri" w:hAnsi="Calibri"/>
          <w:i/>
          <w:iCs/>
          <w:color w:val="717171"/>
          <w:sz w:val="17"/>
          <w:szCs w:val="17"/>
        </w:rPr>
        <w:t xml:space="preserve">Dokument zawiera treść makiety do recenzji. Komentarze prosimy nanosić bezpośrednio w pliku.</w:t>
      </w:r>
    </w:p>
    <w:p>
      <w:pPr>
        <w:pBdr>
          <w:bottom w:val="single" w:color="DEDEDE" w:sz="6" w:space="2"/>
        </w:pBdr>
        <w:spacing w:after="260" w:before="12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D1D1D"/>
          <w:sz w:val="32"/>
          <w:szCs w:val="32"/>
        </w:rPr>
        <w:t xml:space="preserve">Skrzynki przegrodowe do butelek</w:t>
      </w:r>
    </w:p>
    <w:p>
      <w:pPr>
        <w:spacing w:after="200" w:line="276"/>
      </w:pPr>
      <w:r>
        <w:rPr>
          <w:rFonts w:ascii="Calibri" w:cs="Calibri" w:eastAsia="Calibri" w:hAnsi="Calibri"/>
          <w:color w:val="434343"/>
          <w:sz w:val="23"/>
          <w:szCs w:val="23"/>
        </w:rPr>
        <w:t xml:space="preserve">Skrzynki przegrodowe do butelek zwrotnych o trwałej konstrukcji, przeznaczone do wielokrotnego użytkowania. Sprawdzają się w systemach kaucyjnych oraz modelach obiegu opakowań zgodnych z PPWR.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Przyciski: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Zapytaj eksperta  ·  Przeprowadź audyt PPWR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NAJWAŻNIEJSZE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Kluczowe wnioski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Branża napojowa stoi przed trzema ważnymi zmianami regulacyjnymi.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System kaucyjny (od 1 października 2025 r.), rozwój systemów rozszerzonej odpowiedzialności producenta (ROP) oraz wymagania PPWR zmieniają sposób projektowania i wykorzystywania opakowań. Większość przepisów PPWR będzie stosowana od 12 sierpnia 2026 r.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Branża piwowarska jest dobrze przygotowana do wymagań PPWR.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Wieloletnie doświadczenie w wykorzystaniu skrzynek i butelek zwrotnych sprawia, że browary dysponują rozwiniętymi systemami opakowań wielokrotnego użytku. PPWR dodatkowo wzmacnia znaczenie takich rozwiązań poprzez cele ponownego użycia opakowań.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Skrzynki przegrodowe są przeznaczone do wielokrotnego użytkowania.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Wytrzymała konstrukcja sprawdza się w intensywnym obiegu logistycznym i wspiera ograniczanie wykorzystania opakowań jednorazowych oraz realizację celów ponownego użycia określonych w PPWR.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Branża mleczarska i producenci napojów rozwijają systemy opakowań wielokrotnego użytku.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PPWR wyłącza mleko i produkty mleczne z celów ponownego użycia dotyczących opakowań napojowych (art. 29 ust. 7). Jednocześnie opakowania transportowe wykorzystywane w łańcuchu dostaw nadal podlegają celom ponownego użycia określonym w art. 29 ust. 1, dlatego przedsiębiorstwa powinny odpowiednio wcześniej przygotować swoje systemy logistyczne.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Rozwój systemów kaucyjnych i cele PPWR będą sprzyjać upowszechnianiu opakowań wielokrotnego użytku.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Opakowania zwrotne, takie jak skrzynki przegrodowe do butelek, wspierają efektywny obieg opakowań i wpisują się w kierunek zmian wyznaczony przez PPWR.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WYZWANIA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Pięć wyzwań logistyki napojów, na które odpowiadamy konkretnie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Od skrzynek na piwo po systemy dystrybucyjne – pokazujemy, jak ograniczasz stłuczki i koszty w logistyce napojów.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Stłuczki butelek = realne koszty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Uszkodzenia butelek podczas transportu i magazynowania generują wymierne koszty operacyjne związane ze stratami produktów, zakłóceniami procesów logistycznych oraz reklamacjami. Odpowiednio zaprojektowane skrzynki przegrodowe pomagają ograniczyć ryzyko takich uszkodzeń.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Skrzynka przegrodowa T-3 – ograniczenie kontaktu szkło–szkło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Kaucja konsumencka (od 1 października 2025 r.) – ryzyko operacyjne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System kaucyjny zwiększa znaczenie sprawnego obiegu butelek zwrotnych. Trwałe oznakowanie skrzynek ułatwia ich identyfikację i zarządzanie logistyką.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Personalizacja i znakowanie skrzynek – pod system kaucyjny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ROP za napoje (rozszerzona odpowiedzialność producenta)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Rozszerzona odpowiedzialność producenta wzmacnia ekonomiczne znaczenie projektowania opakowań pod kątem recyklingu i wielokrotnego wykorzystania. Skrzynki zwrotne mogą ograniczać zużycie opakowań jednorazowych oraz koszty eksploatacyjne w odpowiednio zorganizowanych systemach obiegu. ROP i PPWR to dwie odrębne, działające równolegle regulacje, ale PPWR reguluje również część obowiązków rejestracyjnych, ewidencyjnych i sprawozdawczych w systemach ROP.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04. PPWR – cele ponownego użycia napojów 10% (od 1.01.2030) i dążenie do 40% (od 2040)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Art. 29 ust. 6 PPWR: cele ponownego użycia opakowań napojowych – 10% od 1 stycznia 2030 r. i dążenie do 40% od 1 stycznia 2040 r. Adresatem przepisu są dystrybutorzy końcowi udostępniający napoje, którzy mają je oferować w opakowaniach wielokrotnego użytku w ramach systemu ponownego użycia. Wyłączenia obejmują m.in. mleko, wino i napoje spirytusowe (art. 29 ust. 7).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Skrzynki przygotowane do zastosowania RFID lub innych cyfrowych nośników danych – zgodnych z wymaganiami PPWR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05. Transport międzymagazynowy DC → sklep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PPWR przewiduje cele dotyczące opakowań transportowych działających w ramach systemu ponownego użycia – zarówno w obiegu zamkniętym, jak i otwartym, także wtedy, gdy opakowanie zmienia właściciela. Wdrożenie rozwiązań wielokrotnego użytku wymaga odpowiedniego przygotowania procesów logistycznych przed rozpoczęciem obowiązywania nowych wymagań.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Systemy dystrybucyjne – skrzynki · palety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PRODUKTY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Skrzynki przegrodowe, palety i systemy dystrybucyjne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T-3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skrzynka przegrodowa na 20 butelek 0,33 l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Z1 – piwo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20 butelek 0,5 l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W2 – piwo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20 butelek 0,5 l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Z2 – piwo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20 butelek 0,5 l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Model A – woda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12 butelek 0,75 l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Model O – soki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24 butelki 0,25 l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Model D1 – wina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20 butelek 0,33 l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Palety Euro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Bez obróbki ISPM-15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PPWR · ZGODNOŚĆ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PPWR dla branży napojowej – trzy regulacje, jeden plan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Branża napojowa funkcjonuje obecnie w otoczeniu trzech istotnych zmian regulacyjnych: systemu kaucyjnego obowiązującego w Polsce od 1 października 2025 r., rozwijanych systemów rozszerzonej odpowiedzialności producenta (ROP) oraz wymagań wynikających z rozporządzenia (UE) 2025/40 (PPWR). Rozporządzenie weszło w życie 11 lutego 2025 r., a większość jego przepisów będzie stosowana od 12 sierpnia 2026 r. Od tego dnia branży napojów dotyczy również ograniczenie PFAS w opakowaniach przeznaczonych do kontaktu z żywnością (art. 5 ust. 5) – w prawie UE napój jest traktowany jak żywność.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6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PPWR określa cele ponownego użycia opakowań napojowych: co najmniej 10% od 1 stycznia 2030 r., a od 1 stycznia 2040 r. podmioty objęte tym obowiązkiem dążą do 40%. Adresatem przepisu są dystrybutorzy końcowi udostępniający napoje, którzy mają je oferować w opakowaniach wielokrotnego użytku w ramach systemu ponownego użycia. Z wymagań wyłączono m.in. mleko i produkty mleczne, wino, napoje spirytusowe oraz niektóre napoje łatwo psujące się.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2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Od 1 stycznia 2030 r. opakowania transportowe stosowane w obiegu pomiędzy zakładami tego samego przedsiębiorstwa oraz przedsiębiorstw powiązanych i partnerskich mają być zdatne do ponownego użycia w ramach systemu ponownego użycia. Liczy się nie sama trwałość opakowania, lecz jego udział w zorganizowanym obiegu zwrotnym. Skrzynki, palety i pojemniki wielokrotnego użytku ułatwiają zbudowanie takiego systemu i usprawniają logistykę wewnętrzną.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1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PPWR określa cel ogólny dla podmiotów gospodarczych stosujących opakowania transportowe. Docelowy udział opakowań działających w ramach systemu ponownego użycia wynosi co najmniej 40% od 1 stycznia 2030 r., a od 1 stycznia 2040 r. podmioty objęte tym obowiązkiem dążą do 70%.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3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– W dostawach do innego podmiotu gospodarczego w tym samym państwie członkowskim od 1 stycznia 2030 r. stosuje się wyłącznie opakowania zdatne do ponownego użycia w ramach systemu ponownego użycia. Przepis nie przewiduje progu procentowego – dla krajowego obrotu B2B reżim jest więc ostrzejszy niż cel 40%.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50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PPWR zobowiązuje państwa członkowskie do zapewnienia systemów kaucyjnych dla jednorazowych butelek z tworzyw sztucznych oraz puszek metalowych o pojemności do 3 litrów, chyba że spełnione są warunki zwolnienia określone w rozporządzeniu. Celem jest osiągnięcie 90% poziomu selektywnej zbiórki tych opakowań do 2029 r.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NASTĘPNE KROKI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Co możesz zrobić już teraz</w:t>
      </w:r>
    </w:p>
    <w:p>
      <w:pPr>
        <w:pBdr>
          <w:left w:val="single" w:color="65B32E" w:sz="18" w:space="14"/>
        </w:pBdr>
        <w:spacing w:after="60" w:before="160" w:line="264"/>
        <w:ind w:left="340"/>
      </w:pPr>
      <w:r>
        <w:rPr>
          <w:rFonts w:ascii="Calibri" w:cs="Calibri" w:eastAsia="Calibri" w:hAnsi="Calibri"/>
          <w:i/>
          <w:iCs/>
          <w:color w:val="434343"/>
          <w:sz w:val="21"/>
          <w:szCs w:val="21"/>
        </w:rPr>
        <w:t xml:space="preserve">Branża napojowa funkcjonuje obecnie w otoczeniu trzech istotnych zmian regulacyjnych – systemu kaucyjnego obowiązującego w Polsce od 1 października 2025 r., rozwijanych systemów rozszerzonej odpowiedzialności producenta (ROP) oraz wymagań PPWR dotyczących ponownego użycia opakowań. Rozporządzenie (UE) 2025/40 wyznacza cele ponownego użycia opakowań napojowych oraz opakowań transportowych, które będą stopniowo obowiązywać od 2030 r.</w:t>
      </w:r>
    </w:p>
    <w:p>
      <w:pPr>
        <w:spacing w:after="220" w:line="240"/>
        <w:ind w:left="340"/>
      </w:pPr>
      <w:r>
        <w:rPr>
          <w:rFonts w:ascii="Calibri" w:cs="Calibri" w:eastAsia="Calibri" w:hAnsi="Calibri"/>
          <w:color w:val="9A9A9A"/>
          <w:sz w:val="16"/>
          <w:szCs w:val="16"/>
        </w:rPr>
        <w:t xml:space="preserve">zgodnie z rozporządzeniem (UE) 2025/40 Parlamentu Europejskiego i Rady z dnia 19 grudnia 2024 r. w sprawie opakowań i odpadów opakowaniowych (PPWR)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Przeprowadź audyt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Sprawdź gotowość browaru, mleczarni lub rozlewni w kilka minut.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Przejdź do audytu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Oblicz koszt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Wpisz skalę produkcji (hl/rok) i porównaj opakowania jednorazowe ze skrzynkami zwrotnymi.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Otwórz kalkulator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Zapytaj eksperta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Porozmawiaj o PPWR w branży napojów.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Umów rozmowę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CASE STUDIES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Opakowania wielokrotnego użytku we wdrożeniach bekuplast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Każde wdrożenie to osobna historia naszego Klienta. Indywidualne wymagania, do których dopasowujemy optymalne rozwiązania.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ROSSMANN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Intralogistyka sieci drogerii (DE) – pojemniki obiegowe w magazynie centralnym.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2025  ·  160 000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Orbico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beauty i FMCG (PL) – pojemniki zwrotne (contecline) w kompletacji zamówień.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2023  ·  46 000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Onninen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materiałów budowlanych (PL) – pojemniki contecline (projekt DOMINO).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2019  ·  40 000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Auto Partner SA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części samochodowych (PL) – obieg zwrotny (contecline + silverline) w centrum dystrybucyjnym.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2022  ·  27 000 pojemników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KOSZT PPWR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Koszt przejścia na opakowania wielokrotnego użytku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Wpisz skalę produkcji (hl/rok) i porównaj koszt opakowań jednorazowych ze skrzynkami zwrotnymi – kalkulator pokaże orientacyjny próg rentowności i strukturę emisji CO₂ dla branży napojów.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Oblicz koszt PPWR w 2 min.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POWIĄZANE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Może Cię też zainteresować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Handel detaliczny i FMCG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Sieci handlowe detaliczne są ważnym odbiorcą w łańcuchu napojów. Systemy transportowe DC → sklep.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Przetwórstwo żywności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Mleczarnie i piekarnie korzystają z podobnych systemów opakowań z materiałów dopuszczonych do kontaktu z żywnością.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Logistyka i transport (3PL)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Operatorzy logistyczni (3PL) obsługujący transport międzymagazynowy napojów.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FAQ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Najczęściej zadawane pytania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Czym różni się skrzynka przegrodowa od zwykłej skrzynki transportowej?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Skrzynka przegrodowa posiada indywidualne komory dla każdej butelki, dopasowane do jej kształtu. Ogranicza kontakt szkła ze szkłem, zmniejszając ryzyko uszkodzeń podczas transportu i magazynowania.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Ile cykli rotacji wytrzymuje skrzynka na piwo bekuplast?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Skrzynki klasy przemysłowej są przystosowane do wielokrotnej rotacji przez wiele lat eksploatacji (dokładna liczba cykli zależy od intensywności użytkowania).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Jakie obowiązki dla branży napojów wynikają z PPWR od 12 sierpnia 2026 r.?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PPWR stosuje się od 12 sierpnia 2026 r., a kluczowe cele wchodzą później: art. 29 ust. 6 (cele ponownego użycia opakowań napojowych dla dystrybutorów końcowych, którzy mają udostępniać napoje w opakowaniach wielokrotnego użytku w ramach systemu ponownego użycia – 10% od 1 stycznia 2030 r., dążenie do 40% od 1 stycznia 2040 r.) oraz art. 29 ust. 2 (od 1 stycznia 2030 r. opakowania transportowe w obiegu między zakładami tego samego przedsiębiorstwa oraz przedsiębiorstw powiązanych i partnerskich będą opakowaniami zdatnymi do ponownego użycia w ramach systemu ponownego użycia). PPWR zobowiązuje ponadto państwa członkowskie do zapewnienia systemów kaucyjnych dla jednorazowych butelek z tworzyw sztucznych i puszek metalowych o pojemności do 3 litrów (art. 50); w Polsce system kaucyjny działa od 1 października 2025 r. Od 12 sierpnia 2026 r. obowiązuje ponadto ograniczenie PFAS w opakowaniach przeznaczonych do kontaktu z żywnością (art. 5 ust. 5) – w prawie UE napój jest traktowany jak żywność, więc przepis obejmuje także opakowania napojowe.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mogę zamówić skrzynkę na butelkę niestandardową (np. o nietypowym kształcie)?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robimy skrzynki indywidualne z dopasowanymi przegrodami. Produkcja na indywidualne zamówienie – minimalną wielkość zamówienia i czas realizacji ustalamy indywidualnie.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Jak wygląda znakowanie skrzynek dla systemu kaucji konsumenckiej?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Oferujemy znakowanie skrzynek oraz personalizację (m.in. kolor i nadruk). Szczegółowe metody i opcje kodowania dobieramy do potrzeb.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mogę porównać koszt skrzynek zwrotnych vs jednorazowych kartonów dla mojego browaru?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mamy kalkulator kosztu PPWR przygotowany dla branży napojów. Wpisujesz skalę produkcji (hl/rok) i otrzymujesz orientacyjny próg rentowności, redukcję CO₂ oraz polecane produkty.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Co z paletami drewnianymi EPAL – czy muszę je wymienić na plastikowe?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PPWR nie zakazuje palet EPAL. To dwa odrębne tematy. Palety drewniane w eksporcie poza UE podlegają wymaganiom normy ISPM-15, które w praktyce najczęściej realizuje się poprzez obróbkę termiczną (HT). Z kolei ograniczenie PFAS z art. 5 ust. 5 PPWR (od 12 sierpnia 2026 r.) dotyczy opakowań przeznaczonych do kontaktu z żywnością, a nie obróbki palet (PFAS to nie pestycydy). Niezależnie od tego art. 5 ogranicza sumę metali ciężkich we wszystkich opakowaniach. Palety z tworzywa (HDPE) nie podlegają wymaganiom ISPM-15, dzięki czemu nie wymagają obróbki fitosanitarnej ani oznakowania IPPC stosowanego dla palet drewnianych.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Jakie są warunki współpracy?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Warunki współpracy (minimalna wielkość zamówienia, czas realizacji i dostawy) ustalamy indywidualnie w zależności od produktu i skali zamówienia.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KONTAKT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Omówmy rozwiązanie dla Twojego procesu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Szybki kontakt zwrotny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Rozmawiamy o Twoich konkretnych potrzebach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Bezpłatnie i bez zobowiązań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Możliwość pozyskania próbek produktów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Pozostaw dane kontaktowe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Pola: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Imię i nazwisko  ·  Firma  ·  E-mail  ·  Telefon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Zgoda: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Wyrażam zgodę na przetwarzanie danych osobowych i potwierdzam, że zapoznałem/am się z Polityką prywatności dotyczącą zasad ich przetwarzania.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Proszę o kontakt</w:t>
      </w:r>
    </w:p>
    <w:sectPr>
      <w:footerReference w:type="default" r:id="rId7"/>
      <w:pgSz w:w="11906" w:h="16838" w:orient="portrait"/>
      <w:pgMar w:top="1247" w:right="1247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E" w:sz="4" w:space="8"/>
      </w:pBdr>
      <w:tabs>
        <w:tab w:val="right" w:pos="9412"/>
      </w:tabs>
    </w:pPr>
    <w:r>
      <w:rPr>
        <w:rFonts w:ascii="Calibri" w:cs="Calibri" w:eastAsia="Calibri" w:hAnsi="Calibri"/>
        <w:color w:val="9A9A9A"/>
        <w:sz w:val="15"/>
        <w:szCs w:val="15"/>
      </w:rPr>
      <w:t xml:space="preserve">Strona 03 – Sprzedaż i transport na rynku napojów · makieta v17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color w:val="9A9A9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Calibri" w:cs="Calibri" w:eastAsia="Calibri" w:hAnsi="Calibri"/>
        <w:color w:val="65B32E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Strona 03 – Sprzedaż i transport na rynku napojów</dc:title>
  <dc:creator>crear agency</dc:creator>
  <dc:description>Treść makiety branżowej PPWR v17 do recenzji</dc:description>
  <cp:lastModifiedBy>Un-named</cp:lastModifiedBy>
  <cp:revision>1</cp:revision>
  <dcterms:created xsi:type="dcterms:W3CDTF">2026-08-11T10:23:34.000Z</dcterms:created>
  <dcterms:modified xsi:type="dcterms:W3CDTF">2026-08-11T10:23:34.000Z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