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D1D1D"/>
          <w:sz w:val="40"/>
          <w:szCs w:val="40"/>
        </w:rPr>
        <w:t xml:space="preserve">Strona 06 – Logistyka i transport (3PL)</w:t>
      </w:r>
    </w:p>
    <w:p>
      <w:pPr>
        <w:spacing w:after="30" w:line="240"/>
      </w:pPr>
      <w:r>
        <w:rPr>
          <w:rFonts w:ascii="Calibri" w:cs="Calibri" w:eastAsia="Calibri" w:hAnsi="Calibri"/>
          <w:color w:val="717171"/>
          <w:sz w:val="17"/>
          <w:szCs w:val="17"/>
        </w:rPr>
        <w:t xml:space="preserve">Makieta v17 · /branzowe/logistyka-i-transport/</w:t>
      </w:r>
    </w:p>
    <w:p>
      <w:pPr>
        <w:spacing w:after="30" w:line="240"/>
      </w:pPr>
      <w:r>
        <w:rPr>
          <w:rFonts w:ascii="Calibri" w:cs="Calibri" w:eastAsia="Calibri" w:hAnsi="Calibri"/>
          <w:color w:val="717171"/>
          <w:sz w:val="17"/>
          <w:szCs w:val="17"/>
        </w:rPr>
        <w:t xml:space="preserve">Persona: Operations Manager 3PL</w:t>
      </w:r>
    </w:p>
    <w:p>
      <w:pPr>
        <w:spacing w:after="140" w:line="240"/>
      </w:pPr>
      <w:r>
        <w:rPr>
          <w:rFonts w:ascii="Calibri" w:cs="Calibri" w:eastAsia="Calibri" w:hAnsi="Calibri"/>
          <w:color w:val="717171"/>
          <w:sz w:val="17"/>
          <w:szCs w:val="17"/>
        </w:rPr>
        <w:t xml:space="preserve">Główna fraza: logistyka 3PL</w:t>
      </w:r>
    </w:p>
    <w:p>
      <w:pPr>
        <w:pBdr>
          <w:top w:val="single" w:color="DEDEDE" w:sz="6" w:space="10"/>
        </w:pBdr>
        <w:spacing w:after="120" w:line="240"/>
      </w:pPr>
      <w:r>
        <w:rPr>
          <w:rFonts w:ascii="Calibri" w:cs="Calibri" w:eastAsia="Calibri" w:hAnsi="Calibri"/>
          <w:i/>
          <w:iCs/>
          <w:color w:val="717171"/>
          <w:sz w:val="17"/>
          <w:szCs w:val="17"/>
        </w:rPr>
        <w:t xml:space="preserve">Dokument zawiera treść makiety do recenzji. Komentarze prosimy nanosić bezpośrednio w pliku.</w:t>
      </w:r>
    </w:p>
    <w:p>
      <w:pPr>
        <w:pBdr>
          <w:bottom w:val="single" w:color="DEDEDE" w:sz="6" w:space="2"/>
        </w:pBdr>
        <w:spacing w:after="260" w:before="120"/>
      </w:pPr>
      <w:r>
        <w:rPr>
          <w:rFonts w:ascii="Calibri" w:cs="Calibri" w:eastAsia="Calibri" w:hAnsi="Calibri"/>
          <w:sz w:val="2"/>
          <w:szCs w:val="2"/>
        </w:rPr>
        <w:t xml:space="preserve"/>
      </w:r>
    </w:p>
    <w:p>
      <w:pPr>
        <w:pStyle w:val="Heading1"/>
        <w:spacing w:after="160" w:before="120"/>
      </w:pPr>
      <w:r>
        <w:rPr>
          <w:rFonts w:ascii="Calibri" w:cs="Calibri" w:eastAsia="Calibri" w:hAnsi="Calibri"/>
          <w:b/>
          <w:bCs/>
          <w:color w:val="1D1D1D"/>
          <w:sz w:val="32"/>
          <w:szCs w:val="32"/>
        </w:rPr>
        <w:t xml:space="preserve">Opakowania transportowe dla logistyki i 3PL</w:t>
      </w:r>
    </w:p>
    <w:p>
      <w:pPr>
        <w:spacing w:after="200" w:line="276"/>
      </w:pPr>
      <w:r>
        <w:rPr>
          <w:rFonts w:ascii="Calibri" w:cs="Calibri" w:eastAsia="Calibri" w:hAnsi="Calibri"/>
          <w:color w:val="434343"/>
          <w:sz w:val="23"/>
          <w:szCs w:val="23"/>
        </w:rPr>
        <w:t xml:space="preserve">Palety i pojemniki zwrotne dla operatorów logistyki 3PL i kurierów. Art. 29 PPWR – co najmniej 40% opakowań transportowych w ramach systemu ponownego użycia od 1 stycznia 2030 r. dla podmiotów objętych tym obowiązkiem.</w:t>
      </w:r>
    </w:p>
    <w:p>
      <w:pPr>
        <w:spacing w:after="160" w:line="240"/>
        <w:ind w:left="240"/>
      </w:pPr>
      <w:r>
        <w:rPr>
          <w:rFonts w:ascii="Calibri" w:cs="Calibri" w:eastAsia="Calibri" w:hAnsi="Calibri"/>
          <w:b/>
          <w:bCs/>
          <w:color w:val="9A9A9A"/>
          <w:sz w:val="17"/>
          <w:szCs w:val="17"/>
        </w:rPr>
        <w:t xml:space="preserve">Przyciski: </w:t>
      </w:r>
      <w:r>
        <w:rPr>
          <w:rFonts w:ascii="Calibri" w:cs="Calibri" w:eastAsia="Calibri" w:hAnsi="Calibri"/>
          <w:color w:val="717171"/>
          <w:sz w:val="17"/>
          <w:szCs w:val="17"/>
        </w:rPr>
        <w:t xml:space="preserve">Zapytaj eksperta  ·  Przeprowadź audyt PPWR</w:t>
      </w:r>
    </w:p>
    <w:p>
      <w:pPr>
        <w:spacing w:after="40" w:before="420"/>
      </w:pPr>
      <w:r>
        <w:rPr>
          <w:rFonts w:ascii="Calibri" w:cs="Calibri" w:eastAsia="Calibri" w:hAnsi="Calibri"/>
          <w:b/>
          <w:bCs/>
          <w:color w:val="65B32E"/>
          <w:spacing w:val="30"/>
          <w:sz w:val="15"/>
          <w:szCs w:val="15"/>
        </w:rPr>
        <w:t xml:space="preserve">NAJWAŻNIEJSZE</w:t>
      </w:r>
    </w:p>
    <w:p>
      <w:pPr>
        <w:pStyle w:val="Heading2"/>
        <w:pBdr>
          <w:bottom w:val="single" w:color="DEDEDE" w:sz="6" w:space="8"/>
        </w:pBdr>
        <w:spacing w:after="180" w:before="40"/>
      </w:pPr>
      <w:r>
        <w:rPr>
          <w:rFonts w:ascii="Calibri" w:cs="Calibri" w:eastAsia="Calibri" w:hAnsi="Calibri"/>
          <w:b/>
          <w:bCs/>
          <w:color w:val="427718"/>
          <w:sz w:val="27"/>
          <w:szCs w:val="27"/>
        </w:rPr>
        <w:t xml:space="preserve">Kluczowe wnioski</w:t>
      </w:r>
    </w:p>
    <w:p>
      <w:pPr>
        <w:pStyle w:val="ListParagraph"/>
        <w:numPr>
          <w:ilvl w:val="0"/>
          <w:numId w:val="2"/>
        </w:numPr>
        <w:spacing w:after="120" w:line="264"/>
      </w:pPr>
      <w:r>
        <w:rPr>
          <w:rFonts w:ascii="Calibri" w:cs="Calibri" w:eastAsia="Calibri" w:hAnsi="Calibri"/>
          <w:b/>
          <w:bCs/>
          <w:color w:val="1D1D1D"/>
          <w:sz w:val="21"/>
          <w:szCs w:val="21"/>
        </w:rPr>
        <w:t xml:space="preserve">Jeżeli jako operator logistyczny stosujesz opakowania transportowe, podlegasz</w:t>
      </w:r>
      <w:r>
        <w:rPr>
          <w:rFonts w:ascii="Calibri" w:cs="Calibri" w:eastAsia="Calibri" w:hAnsi="Calibri"/>
          <w:b w:val="false"/>
          <w:bCs w:val="false"/>
          <w:color w:val="2D2D2D"/>
          <w:sz w:val="21"/>
          <w:szCs w:val="21"/>
        </w:rPr>
        <w:t xml:space="preserve"> celom ponownego użycia z art. 29 PPWR: co najmniej 40% opakowań w ramach systemu ponownego użycia od 1 stycznia 2030 r. i dążenie do 70% od 1 stycznia 2040 r.</w:t>
      </w:r>
    </w:p>
    <w:p>
      <w:pPr>
        <w:pStyle w:val="ListParagraph"/>
        <w:numPr>
          <w:ilvl w:val="0"/>
          <w:numId w:val="2"/>
        </w:numPr>
        <w:spacing w:after="120" w:line="264"/>
      </w:pPr>
      <w:r>
        <w:rPr>
          <w:rFonts w:ascii="Calibri" w:cs="Calibri" w:eastAsia="Calibri" w:hAnsi="Calibri"/>
          <w:b/>
          <w:bCs/>
          <w:color w:val="1D1D1D"/>
          <w:sz w:val="21"/>
          <w:szCs w:val="21"/>
        </w:rPr>
        <w:t xml:space="preserve">Polska branża 3PL</w:t>
      </w:r>
      <w:r>
        <w:rPr>
          <w:rFonts w:ascii="Calibri" w:cs="Calibri" w:eastAsia="Calibri" w:hAnsi="Calibri"/>
          <w:b w:val="false"/>
          <w:bCs w:val="false"/>
          <w:color w:val="2D2D2D"/>
          <w:sz w:val="21"/>
          <w:szCs w:val="21"/>
        </w:rPr>
        <w:t xml:space="preserve"> opiera się dziś w dużej mierze na paletach drewnianych i opakowaniach jednorazowych. Transformacja 2026–2030 wymaga inwestycji w opakowania zwrotne, której skala zależy od profilu i wielkości floty operatora.</w:t>
      </w:r>
    </w:p>
    <w:p>
      <w:pPr>
        <w:pStyle w:val="ListParagraph"/>
        <w:numPr>
          <w:ilvl w:val="0"/>
          <w:numId w:val="2"/>
        </w:numPr>
        <w:spacing w:after="120" w:line="264"/>
      </w:pPr>
      <w:r>
        <w:rPr>
          <w:rFonts w:ascii="Calibri" w:cs="Calibri" w:eastAsia="Calibri" w:hAnsi="Calibri"/>
          <w:b/>
          <w:bCs/>
          <w:color w:val="1D1D1D"/>
          <w:sz w:val="21"/>
          <w:szCs w:val="21"/>
        </w:rPr>
        <w:t xml:space="preserve">Operatorzy poolingu to nasi potencjalni klienci, a nie konkurenci</w:t>
      </w:r>
      <w:r>
        <w:rPr>
          <w:rFonts w:ascii="Calibri" w:cs="Calibri" w:eastAsia="Calibri" w:hAnsi="Calibri"/>
          <w:b w:val="false"/>
          <w:bCs w:val="false"/>
          <w:color w:val="2D2D2D"/>
          <w:sz w:val="21"/>
          <w:szCs w:val="21"/>
        </w:rPr>
        <w:t xml:space="preserve"> – produkujemy trwałe pojemniki zwrotne w standardzie Euro.</w:t>
      </w:r>
    </w:p>
    <w:p>
      <w:pPr>
        <w:pStyle w:val="ListParagraph"/>
        <w:numPr>
          <w:ilvl w:val="0"/>
          <w:numId w:val="2"/>
        </w:numPr>
        <w:spacing w:after="120" w:line="264"/>
      </w:pPr>
      <w:r>
        <w:rPr>
          <w:rFonts w:ascii="Calibri" w:cs="Calibri" w:eastAsia="Calibri" w:hAnsi="Calibri"/>
          <w:b/>
          <w:bCs/>
          <w:color w:val="1D1D1D"/>
          <w:sz w:val="21"/>
          <w:szCs w:val="21"/>
        </w:rPr>
        <w:t xml:space="preserve">Palety z tworzywa nie podlegają wymaganiom ISPM-15</w:t>
      </w:r>
      <w:r>
        <w:rPr>
          <w:rFonts w:ascii="Calibri" w:cs="Calibri" w:eastAsia="Calibri" w:hAnsi="Calibri"/>
          <w:b w:val="false"/>
          <w:bCs w:val="false"/>
          <w:color w:val="2D2D2D"/>
          <w:sz w:val="21"/>
          <w:szCs w:val="21"/>
        </w:rPr>
        <w:t xml:space="preserve">, dzięki czemu nie wymagają obróbki fitosanitarnej ani oznakowania IPPC wymaganego dla palet drewnianych.</w:t>
      </w:r>
    </w:p>
    <w:p>
      <w:pPr>
        <w:spacing w:after="40" w:before="420"/>
      </w:pPr>
      <w:r>
        <w:rPr>
          <w:rFonts w:ascii="Calibri" w:cs="Calibri" w:eastAsia="Calibri" w:hAnsi="Calibri"/>
          <w:b/>
          <w:bCs/>
          <w:color w:val="65B32E"/>
          <w:spacing w:val="30"/>
          <w:sz w:val="15"/>
          <w:szCs w:val="15"/>
        </w:rPr>
        <w:t xml:space="preserve">WYZWANIA</w:t>
      </w:r>
    </w:p>
    <w:p>
      <w:pPr>
        <w:pStyle w:val="Heading2"/>
        <w:pBdr>
          <w:bottom w:val="single" w:color="DEDEDE" w:sz="6" w:space="8"/>
        </w:pBdr>
        <w:spacing w:after="180" w:before="40"/>
      </w:pPr>
      <w:r>
        <w:rPr>
          <w:rFonts w:ascii="Calibri" w:cs="Calibri" w:eastAsia="Calibri" w:hAnsi="Calibri"/>
          <w:b/>
          <w:bCs/>
          <w:color w:val="427718"/>
          <w:sz w:val="27"/>
          <w:szCs w:val="27"/>
        </w:rPr>
        <w:t xml:space="preserve">Cztery wyzwania operatorów 3PL</w:t>
      </w:r>
    </w:p>
    <w:p>
      <w:pPr>
        <w:spacing w:after="180" w:line="264"/>
      </w:pPr>
      <w:r>
        <w:rPr>
          <w:rFonts w:ascii="Calibri" w:cs="Calibri" w:eastAsia="Calibri" w:hAnsi="Calibri"/>
          <w:color w:val="2D2D2D"/>
          <w:sz w:val="21"/>
          <w:szCs w:val="21"/>
        </w:rPr>
        <w:t xml:space="preserve">Każde z tych wyzwań logistyki 3PL rozwiązujemy paletami i pojemnikami zwrotnymi kompatybilnymi z systemami klientów.</w:t>
      </w:r>
    </w:p>
    <w:p>
      <w:pPr>
        <w:pStyle w:val="Heading3"/>
        <w:spacing w:after="90" w:before="260"/>
      </w:pPr>
      <w:r>
        <w:rPr>
          <w:rFonts w:ascii="Calibri" w:cs="Calibri" w:eastAsia="Calibri" w:hAnsi="Calibri"/>
          <w:b/>
          <w:bCs/>
          <w:color w:val="1D1D1D"/>
          <w:sz w:val="23"/>
          <w:szCs w:val="23"/>
        </w:rPr>
        <w:t xml:space="preserve">01. Art. 29 PPWR – cel 40% ponownego użycia od 1 stycznia 2030 r.</w:t>
      </w:r>
    </w:p>
    <w:p>
      <w:pPr>
        <w:spacing w:after="90" w:line="264"/>
      </w:pPr>
      <w:r>
        <w:rPr>
          <w:rFonts w:ascii="Calibri" w:cs="Calibri" w:eastAsia="Calibri" w:hAnsi="Calibri"/>
          <w:color w:val="2D2D2D"/>
          <w:sz w:val="21"/>
          <w:szCs w:val="21"/>
        </w:rPr>
        <w:t xml:space="preserve">Jeżeli jako operator 3PL stosujesz opakowania transportowe, dotyczą Cię cele ponownego użycia: co najmniej 40% opakowań w ramach systemu ponownego użycia od 1 stycznia 2030 r. i dążenie do 70% od 1 stycznia 2040 r. Z obowiązków wyłączone są mikroprzedsiębiorstwa, które udostępniają nie więcej niż 1000 kg opakowań rocznie (art. 29 ust. 13).</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Palety plastikowe Euro – Wymiary Euro 1200×800 / 1200×1000 mm</w:t>
      </w:r>
    </w:p>
    <w:p>
      <w:pPr>
        <w:pStyle w:val="Heading3"/>
        <w:spacing w:after="90" w:before="260"/>
      </w:pPr>
      <w:r>
        <w:rPr>
          <w:rFonts w:ascii="Calibri" w:cs="Calibri" w:eastAsia="Calibri" w:hAnsi="Calibri"/>
          <w:b/>
          <w:bCs/>
          <w:color w:val="1D1D1D"/>
          <w:sz w:val="23"/>
          <w:szCs w:val="23"/>
        </w:rPr>
        <w:t xml:space="preserve">02. Puste przebiegi – efektywność transportu zwrotnego</w:t>
      </w:r>
    </w:p>
    <w:p>
      <w:pPr>
        <w:spacing w:after="90" w:line="264"/>
      </w:pPr>
      <w:r>
        <w:rPr>
          <w:rFonts w:ascii="Calibri" w:cs="Calibri" w:eastAsia="Calibri" w:hAnsi="Calibri"/>
          <w:color w:val="2D2D2D"/>
          <w:sz w:val="21"/>
          <w:szCs w:val="21"/>
        </w:rPr>
        <w:t xml:space="preserve">W transporcie powrotnym ładowność bywa wykorzystana tylko częściowo, co zwiększa koszt pustych przebiegów. Składane skrzynki (clever move box) redukują objętość po zwrocie do ok. 84% (dane bekuplast).</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Clever move box – Redukcja objętości do ok. 84% (dane bekuplast)</w:t>
      </w:r>
    </w:p>
    <w:p>
      <w:pPr>
        <w:pStyle w:val="Heading3"/>
        <w:spacing w:after="90" w:before="260"/>
      </w:pPr>
      <w:r>
        <w:rPr>
          <w:rFonts w:ascii="Calibri" w:cs="Calibri" w:eastAsia="Calibri" w:hAnsi="Calibri"/>
          <w:b/>
          <w:bCs/>
          <w:color w:val="1D1D1D"/>
          <w:sz w:val="23"/>
          <w:szCs w:val="23"/>
        </w:rPr>
        <w:t xml:space="preserve">03. Eksport poza UE – norma ISPM-15 dla palet drewnianych</w:t>
      </w:r>
    </w:p>
    <w:p>
      <w:pPr>
        <w:spacing w:after="90" w:line="264"/>
      </w:pPr>
      <w:r>
        <w:rPr>
          <w:rFonts w:ascii="Calibri" w:cs="Calibri" w:eastAsia="Calibri" w:hAnsi="Calibri"/>
          <w:color w:val="2D2D2D"/>
          <w:sz w:val="21"/>
          <w:szCs w:val="21"/>
        </w:rPr>
        <w:t xml:space="preserve">Eksportując poza UE na paletach drewnianych, musisz spełnić normę ISPM-15 – w praktyce poddać je obróbce termicznej (HT, rdzeń drewna min. 56°C przez 30 minut). Palety z tworzywa są z tego wymogu wyłączone i nie wymagają oznakowania IPPC.</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Palety plastikowe Euro – Bez wymogu ISPM-15</w:t>
      </w:r>
    </w:p>
    <w:p>
      <w:pPr>
        <w:pStyle w:val="Heading3"/>
        <w:spacing w:after="90" w:before="260"/>
      </w:pPr>
      <w:r>
        <w:rPr>
          <w:rFonts w:ascii="Calibri" w:cs="Calibri" w:eastAsia="Calibri" w:hAnsi="Calibri"/>
          <w:b/>
          <w:bCs/>
          <w:color w:val="1D1D1D"/>
          <w:sz w:val="23"/>
          <w:szCs w:val="23"/>
        </w:rPr>
        <w:t xml:space="preserve">04. Pojemniki zasilające systemy poolingowe klientów</w:t>
      </w:r>
    </w:p>
    <w:p>
      <w:pPr>
        <w:spacing w:after="90" w:line="264"/>
      </w:pPr>
      <w:r>
        <w:rPr>
          <w:rFonts w:ascii="Calibri" w:cs="Calibri" w:eastAsia="Calibri" w:hAnsi="Calibri"/>
          <w:color w:val="2D2D2D"/>
          <w:sz w:val="21"/>
          <w:szCs w:val="21"/>
        </w:rPr>
        <w:t xml:space="preserve">Operatorzy poolingu to nasi potencjalni klienci, a nie konkurenci. Gdy pracujesz w cudzym systemie poolingowym, liczą się przede wszystkim trwałość i standard Euro pojemnika.</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Pojemniki zwrotne – Trwałe, w standardzie Euro</w:t>
      </w:r>
    </w:p>
    <w:p>
      <w:pPr>
        <w:spacing w:after="40" w:before="420"/>
      </w:pPr>
      <w:r>
        <w:rPr>
          <w:rFonts w:ascii="Calibri" w:cs="Calibri" w:eastAsia="Calibri" w:hAnsi="Calibri"/>
          <w:b/>
          <w:bCs/>
          <w:color w:val="65B32E"/>
          <w:spacing w:val="30"/>
          <w:sz w:val="15"/>
          <w:szCs w:val="15"/>
        </w:rPr>
        <w:t xml:space="preserve">PRODUKTY</w:t>
      </w:r>
    </w:p>
    <w:p>
      <w:pPr>
        <w:pStyle w:val="Heading2"/>
        <w:pBdr>
          <w:bottom w:val="single" w:color="DEDEDE" w:sz="6" w:space="8"/>
        </w:pBdr>
        <w:spacing w:after="180" w:before="40"/>
      </w:pPr>
      <w:r>
        <w:rPr>
          <w:rFonts w:ascii="Calibri" w:cs="Calibri" w:eastAsia="Calibri" w:hAnsi="Calibri"/>
          <w:b/>
          <w:bCs/>
          <w:color w:val="427718"/>
          <w:sz w:val="27"/>
          <w:szCs w:val="27"/>
        </w:rPr>
        <w:t xml:space="preserve">Palety i pojemniki transportowe B2B</w:t>
      </w:r>
    </w:p>
    <w:p>
      <w:pPr>
        <w:pStyle w:val="ListParagraph"/>
        <w:numPr>
          <w:ilvl w:val="0"/>
          <w:numId w:val="2"/>
        </w:numPr>
        <w:spacing w:after="120" w:line="264"/>
      </w:pPr>
      <w:r>
        <w:rPr>
          <w:rFonts w:ascii="Calibri" w:cs="Calibri" w:eastAsia="Calibri" w:hAnsi="Calibri"/>
          <w:b/>
          <w:bCs/>
          <w:color w:val="1D1D1D"/>
          <w:sz w:val="21"/>
          <w:szCs w:val="21"/>
        </w:rPr>
        <w:t xml:space="preserve">Palety Euro</w:t>
      </w:r>
      <w:r>
        <w:rPr>
          <w:rFonts w:ascii="Calibri" w:cs="Calibri" w:eastAsia="Calibri" w:hAnsi="Calibri"/>
          <w:color w:val="2D2D2D"/>
          <w:sz w:val="21"/>
          <w:szCs w:val="21"/>
        </w:rPr>
        <w:t xml:space="preserve"> – Bez wymogu ISPM-15</w:t>
      </w:r>
    </w:p>
    <w:p>
      <w:pPr>
        <w:pStyle w:val="ListParagraph"/>
        <w:numPr>
          <w:ilvl w:val="0"/>
          <w:numId w:val="2"/>
        </w:numPr>
        <w:spacing w:after="120" w:line="264"/>
      </w:pPr>
      <w:r>
        <w:rPr>
          <w:rFonts w:ascii="Calibri" w:cs="Calibri" w:eastAsia="Calibri" w:hAnsi="Calibri"/>
          <w:b/>
          <w:bCs/>
          <w:color w:val="1D1D1D"/>
          <w:sz w:val="21"/>
          <w:szCs w:val="21"/>
        </w:rPr>
        <w:t xml:space="preserve">Clever move box</w:t>
      </w:r>
      <w:r>
        <w:rPr>
          <w:rFonts w:ascii="Calibri" w:cs="Calibri" w:eastAsia="Calibri" w:hAnsi="Calibri"/>
          <w:color w:val="2D2D2D"/>
          <w:sz w:val="21"/>
          <w:szCs w:val="21"/>
        </w:rPr>
        <w:t xml:space="preserve"> – Redukcja objętości do 84% (dane bekuplast)</w:t>
      </w:r>
    </w:p>
    <w:p>
      <w:pPr>
        <w:pStyle w:val="ListParagraph"/>
        <w:numPr>
          <w:ilvl w:val="0"/>
          <w:numId w:val="2"/>
        </w:numPr>
        <w:spacing w:after="120" w:line="264"/>
      </w:pPr>
      <w:r>
        <w:rPr>
          <w:rFonts w:ascii="Calibri" w:cs="Calibri" w:eastAsia="Calibri" w:hAnsi="Calibri"/>
          <w:b/>
          <w:bCs/>
          <w:color w:val="1D1D1D"/>
          <w:sz w:val="21"/>
          <w:szCs w:val="21"/>
        </w:rPr>
        <w:t xml:space="preserve">basicline</w:t>
      </w:r>
      <w:r>
        <w:rPr>
          <w:rFonts w:ascii="Calibri" w:cs="Calibri" w:eastAsia="Calibri" w:hAnsi="Calibri"/>
          <w:color w:val="2D2D2D"/>
          <w:sz w:val="21"/>
          <w:szCs w:val="21"/>
        </w:rPr>
        <w:t xml:space="preserve"> – Uniwersalna B2B</w:t>
      </w:r>
    </w:p>
    <w:p>
      <w:pPr>
        <w:pStyle w:val="ListParagraph"/>
        <w:numPr>
          <w:ilvl w:val="0"/>
          <w:numId w:val="2"/>
        </w:numPr>
        <w:spacing w:after="120" w:line="264"/>
      </w:pPr>
      <w:r>
        <w:rPr>
          <w:rFonts w:ascii="Calibri" w:cs="Calibri" w:eastAsia="Calibri" w:hAnsi="Calibri"/>
          <w:b/>
          <w:bCs/>
          <w:color w:val="1D1D1D"/>
          <w:sz w:val="21"/>
          <w:szCs w:val="21"/>
        </w:rPr>
        <w:t xml:space="preserve">basicline plus</w:t>
      </w:r>
      <w:r>
        <w:rPr>
          <w:rFonts w:ascii="Calibri" w:cs="Calibri" w:eastAsia="Calibri" w:hAnsi="Calibri"/>
          <w:color w:val="2D2D2D"/>
          <w:sz w:val="21"/>
          <w:szCs w:val="21"/>
        </w:rPr>
        <w:t xml:space="preserve"> – Duże objętości</w:t>
      </w:r>
    </w:p>
    <w:p>
      <w:pPr>
        <w:pStyle w:val="ListParagraph"/>
        <w:numPr>
          <w:ilvl w:val="0"/>
          <w:numId w:val="2"/>
        </w:numPr>
        <w:spacing w:after="120" w:line="264"/>
      </w:pPr>
      <w:r>
        <w:rPr>
          <w:rFonts w:ascii="Calibri" w:cs="Calibri" w:eastAsia="Calibri" w:hAnsi="Calibri"/>
          <w:b/>
          <w:bCs/>
          <w:color w:val="1D1D1D"/>
          <w:sz w:val="21"/>
          <w:szCs w:val="21"/>
        </w:rPr>
        <w:t xml:space="preserve">ALC tradeline</w:t>
      </w:r>
      <w:r>
        <w:rPr>
          <w:rFonts w:ascii="Calibri" w:cs="Calibri" w:eastAsia="Calibri" w:hAnsi="Calibri"/>
          <w:color w:val="2D2D2D"/>
          <w:sz w:val="21"/>
          <w:szCs w:val="21"/>
        </w:rPr>
        <w:t xml:space="preserve"> – Zintegrowana pokrywa</w:t>
      </w:r>
    </w:p>
    <w:p>
      <w:pPr>
        <w:pStyle w:val="ListParagraph"/>
        <w:numPr>
          <w:ilvl w:val="0"/>
          <w:numId w:val="2"/>
        </w:numPr>
        <w:spacing w:after="120" w:line="264"/>
      </w:pPr>
      <w:r>
        <w:rPr>
          <w:rFonts w:ascii="Calibri" w:cs="Calibri" w:eastAsia="Calibri" w:hAnsi="Calibri"/>
          <w:b/>
          <w:bCs/>
          <w:color w:val="1D1D1D"/>
          <w:sz w:val="21"/>
          <w:szCs w:val="21"/>
        </w:rPr>
        <w:t xml:space="preserve">Indywidualne pod operatora</w:t>
      </w:r>
      <w:r>
        <w:rPr>
          <w:rFonts w:ascii="Calibri" w:cs="Calibri" w:eastAsia="Calibri" w:hAnsi="Calibri"/>
          <w:color w:val="2D2D2D"/>
          <w:sz w:val="21"/>
          <w:szCs w:val="21"/>
        </w:rPr>
        <w:t xml:space="preserve"> – Konstrukcja składana</w:t>
      </w:r>
    </w:p>
    <w:p>
      <w:pPr>
        <w:spacing w:after="40" w:before="420"/>
      </w:pPr>
      <w:r>
        <w:rPr>
          <w:rFonts w:ascii="Calibri" w:cs="Calibri" w:eastAsia="Calibri" w:hAnsi="Calibri"/>
          <w:b/>
          <w:bCs/>
          <w:color w:val="65B32E"/>
          <w:spacing w:val="30"/>
          <w:sz w:val="15"/>
          <w:szCs w:val="15"/>
        </w:rPr>
        <w:t xml:space="preserve">PPWR · ZGODNOŚĆ</w:t>
      </w:r>
    </w:p>
    <w:p>
      <w:pPr>
        <w:pStyle w:val="Heading2"/>
        <w:pBdr>
          <w:bottom w:val="single" w:color="DEDEDE" w:sz="6" w:space="8"/>
        </w:pBdr>
        <w:spacing w:after="180" w:before="40"/>
      </w:pPr>
      <w:r>
        <w:rPr>
          <w:rFonts w:ascii="Calibri" w:cs="Calibri" w:eastAsia="Calibri" w:hAnsi="Calibri"/>
          <w:b/>
          <w:bCs/>
          <w:color w:val="427718"/>
          <w:sz w:val="27"/>
          <w:szCs w:val="27"/>
        </w:rPr>
        <w:t xml:space="preserve">PPWR dla operatorów 3PL – co przewiduje art. 29</w:t>
      </w:r>
    </w:p>
    <w:p>
      <w:pPr>
        <w:spacing w:after="180" w:line="264"/>
      </w:pPr>
      <w:r>
        <w:rPr>
          <w:rFonts w:ascii="Calibri" w:cs="Calibri" w:eastAsia="Calibri" w:hAnsi="Calibri"/>
          <w:color w:val="2D2D2D"/>
          <w:sz w:val="21"/>
          <w:szCs w:val="21"/>
        </w:rPr>
        <w:t xml:space="preserve">Art. 29 PPWR dotyczy podmiotów stosujących opakowania transportowe – a tymi są m.in. operatorzy 3PL, operatorzy fulfillmentu e-commerce, spedytorzy, hurtownie i operatorzy cash-and-carry, o ile w swojej działalności stosują takie opakowania. Definicja „podmiotu gospodarczego” (art. 3 ust. 1 pkt 12) wymienia m.in. dystrybutorów, dystrybutorów końcowych oraz dostawców usług realizacji zamówień (fulfilment).</w:t>
      </w:r>
    </w:p>
    <w:p>
      <w:pPr>
        <w:pStyle w:val="ListParagraph"/>
        <w:numPr>
          <w:ilvl w:val="0"/>
          <w:numId w:val="2"/>
        </w:numPr>
        <w:spacing w:after="120" w:line="264"/>
      </w:pPr>
      <w:r>
        <w:rPr>
          <w:rFonts w:ascii="Calibri" w:cs="Calibri" w:eastAsia="Calibri" w:hAnsi="Calibri"/>
          <w:b/>
          <w:bCs/>
          <w:color w:val="1D1D1D"/>
          <w:sz w:val="21"/>
          <w:szCs w:val="21"/>
        </w:rPr>
        <w:t xml:space="preserve">Art. 29 ust. 1</w:t>
      </w:r>
      <w:r>
        <w:rPr>
          <w:rFonts w:ascii="Calibri" w:cs="Calibri" w:eastAsia="Calibri" w:hAnsi="Calibri"/>
          <w:color w:val="2D2D2D"/>
          <w:sz w:val="21"/>
          <w:szCs w:val="21"/>
        </w:rPr>
        <w:t xml:space="preserve"> – co najmniej 40% opakowań transportowych działających w ramach systemu ponownego użycia od 1 stycznia 2030 r. i dążenie do 70% od 1 stycznia 2040 r. Cel dotyczy podmiotów i kategorii opakowań objętych art. 29 ust. 1, a nie całego transportu.</w:t>
      </w:r>
    </w:p>
    <w:p>
      <w:pPr>
        <w:pStyle w:val="ListParagraph"/>
        <w:numPr>
          <w:ilvl w:val="0"/>
          <w:numId w:val="2"/>
        </w:numPr>
        <w:spacing w:after="120" w:line="264"/>
      </w:pPr>
      <w:r>
        <w:rPr>
          <w:rFonts w:ascii="Calibri" w:cs="Calibri" w:eastAsia="Calibri" w:hAnsi="Calibri"/>
          <w:b/>
          <w:bCs/>
          <w:color w:val="1D1D1D"/>
          <w:sz w:val="21"/>
          <w:szCs w:val="21"/>
        </w:rPr>
        <w:t xml:space="preserve">Art. 29</w:t>
      </w:r>
      <w:r>
        <w:rPr>
          <w:rFonts w:ascii="Calibri" w:cs="Calibri" w:eastAsia="Calibri" w:hAnsi="Calibri"/>
          <w:color w:val="2D2D2D"/>
          <w:sz w:val="21"/>
          <w:szCs w:val="21"/>
        </w:rPr>
        <w:t xml:space="preserve"> – Cele ponownego użycia dotyczą Cię bezpośrednio jako podmiotu stosującego opakowania transportowe, a pośrednio docierają do Ciebie przez wymagania Twoich klientów-producentów (browary, przetwórstwo żywności, FMCG).</w:t>
      </w:r>
    </w:p>
    <w:p>
      <w:pPr>
        <w:pStyle w:val="ListParagraph"/>
        <w:numPr>
          <w:ilvl w:val="0"/>
          <w:numId w:val="2"/>
        </w:numPr>
        <w:spacing w:after="120" w:line="264"/>
      </w:pPr>
      <w:r>
        <w:rPr>
          <w:rFonts w:ascii="Calibri" w:cs="Calibri" w:eastAsia="Calibri" w:hAnsi="Calibri"/>
          <w:b/>
          <w:bCs/>
          <w:color w:val="1D1D1D"/>
          <w:sz w:val="21"/>
          <w:szCs w:val="21"/>
        </w:rPr>
        <w:t xml:space="preserve">Art. 5 ust. 5 · PFAS</w:t>
      </w:r>
      <w:r>
        <w:rPr>
          <w:rFonts w:ascii="Calibri" w:cs="Calibri" w:eastAsia="Calibri" w:hAnsi="Calibri"/>
          <w:color w:val="2D2D2D"/>
          <w:sz w:val="21"/>
          <w:szCs w:val="21"/>
        </w:rPr>
        <w:t xml:space="preserve"> – Od 12 sierpnia 2026 r. PPWR ogranicza PFAS we wszystkich opakowaniach przeznaczonych do kontaktu z żywnością – to odrębny przepis, niezwiązany z obróbką palet drewnianych ani z normą ISPM-15. Pozostała część art. 5, w tym limit sumy metali ciężkich, obejmuje wszystkie opakowania.</w:t>
      </w:r>
    </w:p>
    <w:p>
      <w:pPr>
        <w:pStyle w:val="ListParagraph"/>
        <w:numPr>
          <w:ilvl w:val="0"/>
          <w:numId w:val="2"/>
        </w:numPr>
        <w:spacing w:after="120" w:line="264"/>
      </w:pPr>
      <w:r>
        <w:rPr>
          <w:rFonts w:ascii="Calibri" w:cs="Calibri" w:eastAsia="Calibri" w:hAnsi="Calibri"/>
          <w:b/>
          <w:bCs/>
          <w:color w:val="1D1D1D"/>
          <w:sz w:val="21"/>
          <w:szCs w:val="21"/>
        </w:rPr>
        <w:t xml:space="preserve">UC100 PL</w:t>
      </w:r>
      <w:r>
        <w:rPr>
          <w:rFonts w:ascii="Calibri" w:cs="Calibri" w:eastAsia="Calibri" w:hAnsi="Calibri"/>
          <w:color w:val="2D2D2D"/>
          <w:sz w:val="21"/>
          <w:szCs w:val="21"/>
        </w:rPr>
        <w:t xml:space="preserve"> – Projekt polskiej ustawy wdrażającej PPWR (UC100, w toku prac legislacyjnych). Wysokość kar zostanie określona w ustawie krajowej – nie jest jeszcze przesądzona.</w:t>
      </w:r>
    </w:p>
    <w:p>
      <w:pPr>
        <w:pStyle w:val="ListParagraph"/>
        <w:numPr>
          <w:ilvl w:val="0"/>
          <w:numId w:val="2"/>
        </w:numPr>
        <w:spacing w:after="120" w:line="264"/>
      </w:pPr>
      <w:r>
        <w:rPr>
          <w:rFonts w:ascii="Calibri" w:cs="Calibri" w:eastAsia="Calibri" w:hAnsi="Calibri"/>
          <w:b/>
          <w:bCs/>
          <w:color w:val="1D1D1D"/>
          <w:sz w:val="21"/>
          <w:szCs w:val="21"/>
        </w:rPr>
        <w:t xml:space="preserve">Poza zakresem</w:t>
      </w:r>
      <w:r>
        <w:rPr>
          <w:rFonts w:ascii="Calibri" w:cs="Calibri" w:eastAsia="Calibri" w:hAnsi="Calibri"/>
          <w:color w:val="2D2D2D"/>
          <w:sz w:val="21"/>
          <w:szCs w:val="21"/>
        </w:rPr>
        <w:t xml:space="preserve"> – Opakowania jednostkowe – odpowiada producent, nie 3PL. Kaucja konsumencka – po stronie producenta i sieci handlowych.</w:t>
      </w:r>
    </w:p>
    <w:p>
      <w:pPr>
        <w:pStyle w:val="ListParagraph"/>
        <w:numPr>
          <w:ilvl w:val="0"/>
          <w:numId w:val="2"/>
        </w:numPr>
        <w:spacing w:after="120" w:line="264"/>
      </w:pPr>
      <w:r>
        <w:rPr>
          <w:rFonts w:ascii="Calibri" w:cs="Calibri" w:eastAsia="Calibri" w:hAnsi="Calibri"/>
          <w:b/>
          <w:bCs/>
          <w:color w:val="1D1D1D"/>
          <w:sz w:val="21"/>
          <w:szCs w:val="21"/>
        </w:rPr>
        <w:t xml:space="preserve">Eksport poza UE</w:t>
      </w:r>
      <w:r>
        <w:rPr>
          <w:rFonts w:ascii="Calibri" w:cs="Calibri" w:eastAsia="Calibri" w:hAnsi="Calibri"/>
          <w:color w:val="2D2D2D"/>
          <w:sz w:val="21"/>
          <w:szCs w:val="21"/>
        </w:rPr>
        <w:t xml:space="preserve"> – Poza terytorium Unii PPWR nie obowiązuje; w eksporcie decydują przepisy kraju przeznaczenia i norma ISPM-15. Palety z tworzywa są z tej normy wyłączone, więc nie wymagają obróbki termicznej, fumigacji ani oznakowania IPPC.</w:t>
      </w:r>
    </w:p>
    <w:p>
      <w:pPr>
        <w:spacing w:after="40" w:before="420"/>
      </w:pPr>
      <w:r>
        <w:rPr>
          <w:rFonts w:ascii="Calibri" w:cs="Calibri" w:eastAsia="Calibri" w:hAnsi="Calibri"/>
          <w:b/>
          <w:bCs/>
          <w:color w:val="65B32E"/>
          <w:spacing w:val="30"/>
          <w:sz w:val="15"/>
          <w:szCs w:val="15"/>
        </w:rPr>
        <w:t xml:space="preserve">NASTĘPNE KROKI</w:t>
      </w:r>
    </w:p>
    <w:p>
      <w:pPr>
        <w:pStyle w:val="Heading2"/>
        <w:pBdr>
          <w:bottom w:val="single" w:color="DEDEDE" w:sz="6" w:space="8"/>
        </w:pBdr>
        <w:spacing w:after="180" w:before="40"/>
      </w:pPr>
      <w:r>
        <w:rPr>
          <w:rFonts w:ascii="Calibri" w:cs="Calibri" w:eastAsia="Calibri" w:hAnsi="Calibri"/>
          <w:b/>
          <w:bCs/>
          <w:color w:val="427718"/>
          <w:sz w:val="27"/>
          <w:szCs w:val="27"/>
        </w:rPr>
        <w:t xml:space="preserve">Co możesz zrobić już teraz</w:t>
      </w:r>
    </w:p>
    <w:p>
      <w:pPr>
        <w:pBdr>
          <w:left w:val="single" w:color="65B32E" w:sz="18" w:space="14"/>
        </w:pBdr>
        <w:spacing w:after="60" w:before="160" w:line="264"/>
        <w:ind w:left="340"/>
      </w:pPr>
      <w:r>
        <w:rPr>
          <w:rFonts w:ascii="Calibri" w:cs="Calibri" w:eastAsia="Calibri" w:hAnsi="Calibri"/>
          <w:i/>
          <w:iCs/>
          <w:color w:val="434343"/>
          <w:sz w:val="21"/>
          <w:szCs w:val="21"/>
        </w:rPr>
        <w:t xml:space="preserve">Operatorzy logistyczni stosujący opakowania transportowe podlegają wymaganiom PPWR, w tym celom ponownego użycia: co najmniej 40% opakowań w ramach systemu ponownego użycia od 1 stycznia 2030 r. i dążenie do 70% od 1 stycznia 2040 r.</w:t>
      </w:r>
    </w:p>
    <w:p>
      <w:pPr>
        <w:spacing w:after="220" w:line="240"/>
        <w:ind w:left="340"/>
      </w:pPr>
      <w:r>
        <w:rPr>
          <w:rFonts w:ascii="Calibri" w:cs="Calibri" w:eastAsia="Calibri" w:hAnsi="Calibri"/>
          <w:color w:val="9A9A9A"/>
          <w:sz w:val="16"/>
          <w:szCs w:val="16"/>
        </w:rPr>
        <w:t xml:space="preserve">zgodnie z rozporządzeniem (UE) 2025/40 Parlamentu Europejskiego i Rady z dnia 19 grudnia 2024 r. w sprawie opakowań i odpadów opakowaniowych (PPWR)</w:t>
      </w:r>
    </w:p>
    <w:p>
      <w:pPr>
        <w:pStyle w:val="Heading3"/>
        <w:spacing w:after="90" w:before="260"/>
      </w:pPr>
      <w:r>
        <w:rPr>
          <w:rFonts w:ascii="Calibri" w:cs="Calibri" w:eastAsia="Calibri" w:hAnsi="Calibri"/>
          <w:b/>
          <w:bCs/>
          <w:color w:val="1D1D1D"/>
          <w:sz w:val="23"/>
          <w:szCs w:val="23"/>
        </w:rPr>
        <w:t xml:space="preserve">01. Przeprowadź audyt PPWR</w:t>
      </w:r>
    </w:p>
    <w:p>
      <w:pPr>
        <w:spacing w:after="90" w:line="264"/>
      </w:pPr>
      <w:r>
        <w:rPr>
          <w:rFonts w:ascii="Calibri" w:cs="Calibri" w:eastAsia="Calibri" w:hAnsi="Calibri"/>
          <w:color w:val="2D2D2D"/>
          <w:sz w:val="21"/>
          <w:szCs w:val="21"/>
        </w:rPr>
        <w:t xml:space="preserve">Sprawdź gotowość 3PL w kilka minut.</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Przejdź do audytu</w:t>
      </w:r>
    </w:p>
    <w:p>
      <w:pPr>
        <w:pStyle w:val="Heading3"/>
        <w:spacing w:after="90" w:before="260"/>
      </w:pPr>
      <w:r>
        <w:rPr>
          <w:rFonts w:ascii="Calibri" w:cs="Calibri" w:eastAsia="Calibri" w:hAnsi="Calibri"/>
          <w:b/>
          <w:bCs/>
          <w:color w:val="1D1D1D"/>
          <w:sz w:val="23"/>
          <w:szCs w:val="23"/>
        </w:rPr>
        <w:t xml:space="preserve">02. Oblicz koszt PPWR</w:t>
      </w:r>
    </w:p>
    <w:p>
      <w:pPr>
        <w:spacing w:after="90" w:line="264"/>
      </w:pPr>
      <w:r>
        <w:rPr>
          <w:rFonts w:ascii="Calibri" w:cs="Calibri" w:eastAsia="Calibri" w:hAnsi="Calibri"/>
          <w:color w:val="2D2D2D"/>
          <w:sz w:val="21"/>
          <w:szCs w:val="21"/>
        </w:rPr>
        <w:t xml:space="preserve">Porównaj opakowania jednorazowe i zwrotne oraz sprawdź próg rentowności.</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Otwórz kalkulator</w:t>
      </w:r>
    </w:p>
    <w:p>
      <w:pPr>
        <w:pStyle w:val="Heading3"/>
        <w:spacing w:after="90" w:before="260"/>
      </w:pPr>
      <w:r>
        <w:rPr>
          <w:rFonts w:ascii="Calibri" w:cs="Calibri" w:eastAsia="Calibri" w:hAnsi="Calibri"/>
          <w:b/>
          <w:bCs/>
          <w:color w:val="1D1D1D"/>
          <w:sz w:val="23"/>
          <w:szCs w:val="23"/>
        </w:rPr>
        <w:t xml:space="preserve">03. Zapytaj eksperta</w:t>
      </w:r>
    </w:p>
    <w:p>
      <w:pPr>
        <w:spacing w:after="90" w:line="264"/>
      </w:pPr>
      <w:r>
        <w:rPr>
          <w:rFonts w:ascii="Calibri" w:cs="Calibri" w:eastAsia="Calibri" w:hAnsi="Calibri"/>
          <w:color w:val="2D2D2D"/>
          <w:sz w:val="21"/>
          <w:szCs w:val="21"/>
        </w:rPr>
        <w:t xml:space="preserve">O PPWR w logistyce 3PL.</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Umów rozmowę</w:t>
      </w:r>
    </w:p>
    <w:p>
      <w:pPr>
        <w:spacing w:after="40" w:before="420"/>
      </w:pPr>
      <w:r>
        <w:rPr>
          <w:rFonts w:ascii="Calibri" w:cs="Calibri" w:eastAsia="Calibri" w:hAnsi="Calibri"/>
          <w:b/>
          <w:bCs/>
          <w:color w:val="65B32E"/>
          <w:spacing w:val="30"/>
          <w:sz w:val="15"/>
          <w:szCs w:val="15"/>
        </w:rPr>
        <w:t xml:space="preserve">CASE STUDIES</w:t>
      </w:r>
    </w:p>
    <w:p>
      <w:pPr>
        <w:pStyle w:val="Heading2"/>
        <w:pBdr>
          <w:bottom w:val="single" w:color="DEDEDE" w:sz="6" w:space="8"/>
        </w:pBdr>
        <w:spacing w:after="180" w:before="40"/>
      </w:pPr>
      <w:r>
        <w:rPr>
          <w:rFonts w:ascii="Calibri" w:cs="Calibri" w:eastAsia="Calibri" w:hAnsi="Calibri"/>
          <w:b/>
          <w:bCs/>
          <w:color w:val="427718"/>
          <w:sz w:val="27"/>
          <w:szCs w:val="27"/>
        </w:rPr>
        <w:t xml:space="preserve">Opakowania wielokrotnego użytku we wdrożeniach bekuplast</w:t>
      </w:r>
    </w:p>
    <w:p>
      <w:pPr>
        <w:spacing w:after="180" w:line="264"/>
      </w:pPr>
      <w:r>
        <w:rPr>
          <w:rFonts w:ascii="Calibri" w:cs="Calibri" w:eastAsia="Calibri" w:hAnsi="Calibri"/>
          <w:color w:val="2D2D2D"/>
          <w:sz w:val="21"/>
          <w:szCs w:val="21"/>
        </w:rPr>
        <w:t xml:space="preserve">Każde wdrożenie to osobna historia naszego Klienta. Indywidualne wymagania, do których dopasowujemy optymalne rozwiązania.</w:t>
      </w:r>
    </w:p>
    <w:p>
      <w:pPr>
        <w:spacing w:after="60" w:before="180"/>
      </w:pPr>
      <w:r>
        <w:rPr>
          <w:rFonts w:ascii="Calibri" w:cs="Calibri" w:eastAsia="Calibri" w:hAnsi="Calibri"/>
          <w:b/>
          <w:bCs/>
          <w:color w:val="1D1D1D"/>
          <w:sz w:val="23"/>
          <w:szCs w:val="23"/>
        </w:rPr>
        <w:t xml:space="preserve">ROSSMANN</w:t>
      </w:r>
    </w:p>
    <w:p>
      <w:pPr>
        <w:spacing w:after="60" w:line="264"/>
      </w:pPr>
      <w:r>
        <w:rPr>
          <w:rFonts w:ascii="Calibri" w:cs="Calibri" w:eastAsia="Calibri" w:hAnsi="Calibri"/>
          <w:color w:val="2D2D2D"/>
          <w:sz w:val="21"/>
          <w:szCs w:val="21"/>
        </w:rPr>
        <w:t xml:space="preserve">Intralogistyka sieci drogerii (DE) – pojemniki obiegowe w magazynie centralnym.</w:t>
      </w:r>
    </w:p>
    <w:p>
      <w:pPr>
        <w:spacing w:after="160" w:line="240"/>
        <w:ind w:left="240"/>
      </w:pPr>
      <w:r>
        <w:rPr>
          <w:rFonts w:ascii="Calibri" w:cs="Calibri" w:eastAsia="Calibri" w:hAnsi="Calibri"/>
          <w:color w:val="717171"/>
          <w:sz w:val="17"/>
          <w:szCs w:val="17"/>
        </w:rPr>
        <w:t xml:space="preserve">2025  ·  160 000 pojemników</w:t>
      </w:r>
    </w:p>
    <w:p>
      <w:pPr>
        <w:spacing w:after="60" w:before="180"/>
      </w:pPr>
      <w:r>
        <w:rPr>
          <w:rFonts w:ascii="Calibri" w:cs="Calibri" w:eastAsia="Calibri" w:hAnsi="Calibri"/>
          <w:b/>
          <w:bCs/>
          <w:color w:val="1D1D1D"/>
          <w:sz w:val="23"/>
          <w:szCs w:val="23"/>
        </w:rPr>
        <w:t xml:space="preserve">Orbico</w:t>
      </w:r>
    </w:p>
    <w:p>
      <w:pPr>
        <w:spacing w:after="60" w:line="264"/>
      </w:pPr>
      <w:r>
        <w:rPr>
          <w:rFonts w:ascii="Calibri" w:cs="Calibri" w:eastAsia="Calibri" w:hAnsi="Calibri"/>
          <w:color w:val="2D2D2D"/>
          <w:sz w:val="21"/>
          <w:szCs w:val="21"/>
        </w:rPr>
        <w:t xml:space="preserve">Dystrybucja beauty i FMCG (PL) – pojemniki contecline w kompletacji zamówień.</w:t>
      </w:r>
    </w:p>
    <w:p>
      <w:pPr>
        <w:spacing w:after="160" w:line="240"/>
        <w:ind w:left="240"/>
      </w:pPr>
      <w:r>
        <w:rPr>
          <w:rFonts w:ascii="Calibri" w:cs="Calibri" w:eastAsia="Calibri" w:hAnsi="Calibri"/>
          <w:color w:val="717171"/>
          <w:sz w:val="17"/>
          <w:szCs w:val="17"/>
        </w:rPr>
        <w:t xml:space="preserve">2023  ·  46 000 pojemników</w:t>
      </w:r>
    </w:p>
    <w:p>
      <w:pPr>
        <w:spacing w:after="60" w:before="180"/>
      </w:pPr>
      <w:r>
        <w:rPr>
          <w:rFonts w:ascii="Calibri" w:cs="Calibri" w:eastAsia="Calibri" w:hAnsi="Calibri"/>
          <w:b/>
          <w:bCs/>
          <w:color w:val="1D1D1D"/>
          <w:sz w:val="23"/>
          <w:szCs w:val="23"/>
        </w:rPr>
        <w:t xml:space="preserve">Onninen</w:t>
      </w:r>
    </w:p>
    <w:p>
      <w:pPr>
        <w:spacing w:after="60" w:line="264"/>
      </w:pPr>
      <w:r>
        <w:rPr>
          <w:rFonts w:ascii="Calibri" w:cs="Calibri" w:eastAsia="Calibri" w:hAnsi="Calibri"/>
          <w:color w:val="2D2D2D"/>
          <w:sz w:val="21"/>
          <w:szCs w:val="21"/>
        </w:rPr>
        <w:t xml:space="preserve">Dystrybucja materiałów budowlanych (PL) – pojemniki contecline (projekt DOMINO).</w:t>
      </w:r>
    </w:p>
    <w:p>
      <w:pPr>
        <w:spacing w:after="160" w:line="240"/>
        <w:ind w:left="240"/>
      </w:pPr>
      <w:r>
        <w:rPr>
          <w:rFonts w:ascii="Calibri" w:cs="Calibri" w:eastAsia="Calibri" w:hAnsi="Calibri"/>
          <w:color w:val="717171"/>
          <w:sz w:val="17"/>
          <w:szCs w:val="17"/>
        </w:rPr>
        <w:t xml:space="preserve">2019  ·  40 000 pojemników</w:t>
      </w:r>
    </w:p>
    <w:p>
      <w:pPr>
        <w:spacing w:after="60" w:before="180"/>
      </w:pPr>
      <w:r>
        <w:rPr>
          <w:rFonts w:ascii="Calibri" w:cs="Calibri" w:eastAsia="Calibri" w:hAnsi="Calibri"/>
          <w:b/>
          <w:bCs/>
          <w:color w:val="1D1D1D"/>
          <w:sz w:val="23"/>
          <w:szCs w:val="23"/>
        </w:rPr>
        <w:t xml:space="preserve">Auto Partner SA</w:t>
      </w:r>
    </w:p>
    <w:p>
      <w:pPr>
        <w:spacing w:after="60" w:line="264"/>
      </w:pPr>
      <w:r>
        <w:rPr>
          <w:rFonts w:ascii="Calibri" w:cs="Calibri" w:eastAsia="Calibri" w:hAnsi="Calibri"/>
          <w:color w:val="2D2D2D"/>
          <w:sz w:val="21"/>
          <w:szCs w:val="21"/>
        </w:rPr>
        <w:t xml:space="preserve">Dystrybucja części samochodowych (PL) – pojemniki contecline i silverline w centrum dystrybucyjnym.</w:t>
      </w:r>
    </w:p>
    <w:p>
      <w:pPr>
        <w:spacing w:after="160" w:line="240"/>
        <w:ind w:left="240"/>
      </w:pPr>
      <w:r>
        <w:rPr>
          <w:rFonts w:ascii="Calibri" w:cs="Calibri" w:eastAsia="Calibri" w:hAnsi="Calibri"/>
          <w:color w:val="717171"/>
          <w:sz w:val="17"/>
          <w:szCs w:val="17"/>
        </w:rPr>
        <w:t xml:space="preserve">2022  ·  27 000 pojemników</w:t>
      </w:r>
    </w:p>
    <w:p>
      <w:pPr>
        <w:spacing w:after="40" w:before="420"/>
      </w:pPr>
      <w:r>
        <w:rPr>
          <w:rFonts w:ascii="Calibri" w:cs="Calibri" w:eastAsia="Calibri" w:hAnsi="Calibri"/>
          <w:b/>
          <w:bCs/>
          <w:color w:val="65B32E"/>
          <w:spacing w:val="30"/>
          <w:sz w:val="15"/>
          <w:szCs w:val="15"/>
        </w:rPr>
        <w:t xml:space="preserve">KOSZT PPWR</w:t>
      </w:r>
    </w:p>
    <w:p>
      <w:pPr>
        <w:pStyle w:val="Heading2"/>
        <w:pBdr>
          <w:bottom w:val="single" w:color="DEDEDE" w:sz="6" w:space="8"/>
        </w:pBdr>
        <w:spacing w:after="180" w:before="40"/>
      </w:pPr>
      <w:r>
        <w:rPr>
          <w:rFonts w:ascii="Calibri" w:cs="Calibri" w:eastAsia="Calibri" w:hAnsi="Calibri"/>
          <w:b/>
          <w:bCs/>
          <w:color w:val="427718"/>
          <w:sz w:val="27"/>
          <w:szCs w:val="27"/>
        </w:rPr>
        <w:t xml:space="preserve">Koszt przejścia na opakowania wielokrotnego użytku</w:t>
      </w:r>
    </w:p>
    <w:p>
      <w:pPr>
        <w:spacing w:after="180" w:line="264"/>
      </w:pPr>
      <w:r>
        <w:rPr>
          <w:rFonts w:ascii="Calibri" w:cs="Calibri" w:eastAsia="Calibri" w:hAnsi="Calibri"/>
          <w:color w:val="2D2D2D"/>
          <w:sz w:val="21"/>
          <w:szCs w:val="21"/>
        </w:rPr>
        <w:t xml:space="preserve">Porównaj koszt opakowań jednorazowych z paletami i pojemnikami zwrotnymi dla floty 3PL – kalkulator pokaże próg rentowności i strukturę emisji CO₂.</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Oblicz koszt PPWR w 2 min.</w:t>
      </w:r>
    </w:p>
    <w:p>
      <w:pPr>
        <w:spacing w:after="40" w:before="420"/>
      </w:pPr>
      <w:r>
        <w:rPr>
          <w:rFonts w:ascii="Calibri" w:cs="Calibri" w:eastAsia="Calibri" w:hAnsi="Calibri"/>
          <w:b/>
          <w:bCs/>
          <w:color w:val="65B32E"/>
          <w:spacing w:val="30"/>
          <w:sz w:val="15"/>
          <w:szCs w:val="15"/>
        </w:rPr>
        <w:t xml:space="preserve">POWIĄZANE</w:t>
      </w:r>
    </w:p>
    <w:p>
      <w:pPr>
        <w:pStyle w:val="Heading2"/>
        <w:pBdr>
          <w:bottom w:val="single" w:color="DEDEDE" w:sz="6" w:space="8"/>
        </w:pBdr>
        <w:spacing w:after="180" w:before="40"/>
      </w:pPr>
      <w:r>
        <w:rPr>
          <w:rFonts w:ascii="Calibri" w:cs="Calibri" w:eastAsia="Calibri" w:hAnsi="Calibri"/>
          <w:b/>
          <w:bCs/>
          <w:color w:val="427718"/>
          <w:sz w:val="27"/>
          <w:szCs w:val="27"/>
        </w:rPr>
        <w:t xml:space="preserve">Może Cię też zainteresować</w:t>
      </w:r>
    </w:p>
    <w:p>
      <w:pPr>
        <w:pStyle w:val="ListParagraph"/>
        <w:numPr>
          <w:ilvl w:val="0"/>
          <w:numId w:val="2"/>
        </w:numPr>
        <w:spacing w:after="120" w:line="264"/>
      </w:pPr>
      <w:r>
        <w:rPr>
          <w:rFonts w:ascii="Calibri" w:cs="Calibri" w:eastAsia="Calibri" w:hAnsi="Calibri"/>
          <w:b/>
          <w:bCs/>
          <w:color w:val="1D1D1D"/>
          <w:sz w:val="21"/>
          <w:szCs w:val="21"/>
        </w:rPr>
        <w:t xml:space="preserve">E-commerce, 3PL i fulfillment</w:t>
      </w:r>
      <w:r>
        <w:rPr>
          <w:rFonts w:ascii="Calibri" w:cs="Calibri" w:eastAsia="Calibri" w:hAnsi="Calibri"/>
          <w:color w:val="2D2D2D"/>
          <w:sz w:val="21"/>
          <w:szCs w:val="21"/>
        </w:rPr>
        <w:t xml:space="preserve"> – Operatorzy fulfillmentu e-commerce z osobną specyfiką.</w:t>
      </w:r>
    </w:p>
    <w:p>
      <w:pPr>
        <w:pStyle w:val="ListParagraph"/>
        <w:numPr>
          <w:ilvl w:val="0"/>
          <w:numId w:val="2"/>
        </w:numPr>
        <w:spacing w:after="120" w:line="264"/>
      </w:pPr>
      <w:r>
        <w:rPr>
          <w:rFonts w:ascii="Calibri" w:cs="Calibri" w:eastAsia="Calibri" w:hAnsi="Calibri"/>
          <w:b/>
          <w:bCs/>
          <w:color w:val="1D1D1D"/>
          <w:sz w:val="21"/>
          <w:szCs w:val="21"/>
        </w:rPr>
        <w:t xml:space="preserve">Handel detaliczny i FMCG</w:t>
      </w:r>
      <w:r>
        <w:rPr>
          <w:rFonts w:ascii="Calibri" w:cs="Calibri" w:eastAsia="Calibri" w:hAnsi="Calibri"/>
          <w:color w:val="2D2D2D"/>
          <w:sz w:val="21"/>
          <w:szCs w:val="21"/>
        </w:rPr>
        <w:t xml:space="preserve"> – Sieci handlowe są Twoim głównym klientem; ich standardy to Twoje standardy.</w:t>
      </w:r>
    </w:p>
    <w:p>
      <w:pPr>
        <w:pStyle w:val="ListParagraph"/>
        <w:numPr>
          <w:ilvl w:val="0"/>
          <w:numId w:val="2"/>
        </w:numPr>
        <w:spacing w:after="120" w:line="264"/>
      </w:pPr>
      <w:r>
        <w:rPr>
          <w:rFonts w:ascii="Calibri" w:cs="Calibri" w:eastAsia="Calibri" w:hAnsi="Calibri"/>
          <w:b/>
          <w:bCs/>
          <w:color w:val="1D1D1D"/>
          <w:sz w:val="21"/>
          <w:szCs w:val="21"/>
        </w:rPr>
        <w:t xml:space="preserve">Intralogistyka i magazyn</w:t>
      </w:r>
      <w:r>
        <w:rPr>
          <w:rFonts w:ascii="Calibri" w:cs="Calibri" w:eastAsia="Calibri" w:hAnsi="Calibri"/>
          <w:color w:val="2D2D2D"/>
          <w:sz w:val="21"/>
          <w:szCs w:val="21"/>
        </w:rPr>
        <w:t xml:space="preserve"> – Wewnętrzny przepływ materiałów w magazynie 3PL.</w:t>
      </w:r>
    </w:p>
    <w:p>
      <w:pPr>
        <w:spacing w:after="40" w:before="420"/>
      </w:pPr>
      <w:r>
        <w:rPr>
          <w:rFonts w:ascii="Calibri" w:cs="Calibri" w:eastAsia="Calibri" w:hAnsi="Calibri"/>
          <w:b/>
          <w:bCs/>
          <w:color w:val="65B32E"/>
          <w:spacing w:val="30"/>
          <w:sz w:val="15"/>
          <w:szCs w:val="15"/>
        </w:rPr>
        <w:t xml:space="preserve">FAQ</w:t>
      </w:r>
    </w:p>
    <w:p>
      <w:pPr>
        <w:pStyle w:val="Heading2"/>
        <w:pBdr>
          <w:bottom w:val="single" w:color="DEDEDE" w:sz="6" w:space="8"/>
        </w:pBdr>
        <w:spacing w:after="180" w:before="40"/>
      </w:pPr>
      <w:r>
        <w:rPr>
          <w:rFonts w:ascii="Calibri" w:cs="Calibri" w:eastAsia="Calibri" w:hAnsi="Calibri"/>
          <w:b/>
          <w:bCs/>
          <w:color w:val="427718"/>
          <w:sz w:val="27"/>
          <w:szCs w:val="27"/>
        </w:rPr>
        <w:t xml:space="preserve">Najczęściej zadawane pytania</w:t>
      </w:r>
    </w:p>
    <w:p>
      <w:pPr>
        <w:spacing w:after="80" w:before="240"/>
      </w:pPr>
      <w:r>
        <w:rPr>
          <w:rFonts w:ascii="Calibri" w:cs="Calibri" w:eastAsia="Calibri" w:hAnsi="Calibri"/>
          <w:b/>
          <w:bCs/>
          <w:color w:val="1D1D1D"/>
          <w:sz w:val="22"/>
          <w:szCs w:val="22"/>
        </w:rPr>
        <w:t xml:space="preserve">Czy 3PL jest objęty PPWR?</w:t>
      </w:r>
    </w:p>
    <w:p>
      <w:pPr>
        <w:spacing w:after="150" w:line="264"/>
      </w:pPr>
      <w:r>
        <w:rPr>
          <w:rFonts w:ascii="Calibri" w:cs="Calibri" w:eastAsia="Calibri" w:hAnsi="Calibri"/>
          <w:color w:val="2D2D2D"/>
          <w:sz w:val="21"/>
          <w:szCs w:val="21"/>
        </w:rPr>
        <w:t xml:space="preserve">PPWR nie tworzy odrębnego reżimu prawnego dla operatorów logistycznych – reguluje obowiązki podmiotów gospodarczych, które wprowadzają opakowania do obrotu, udostępniają je na rynku lub stosują je w swojej działalności. Jeżeli jako operator 3PL stosujesz opakowania transportowe, dotyczą Cię cele ponownego użycia z art. 29 PPWR: co najmniej 40% opakowań w ramach systemu ponownego użycia od 1 stycznia 2030 r. i dążenie do 70% od 1 stycznia 2040 r. Z obowiązków wyłączone są mikroprzedsiębiorstwa, które udostępniają nie więcej niż 1000 kg opakowań rocznie (art. 29 ust. 13). Wysokość kar określi polska ustawa wdrażająca PPWR (projekt UC100). Operatorzy 3PL mogą też wspierać klientów w realizacji wymagań dotyczących opakowań wielokrotnego użytku.</w:t>
      </w:r>
    </w:p>
    <w:p>
      <w:pPr>
        <w:spacing w:after="80" w:before="240"/>
      </w:pPr>
      <w:r>
        <w:rPr>
          <w:rFonts w:ascii="Calibri" w:cs="Calibri" w:eastAsia="Calibri" w:hAnsi="Calibri"/>
          <w:b/>
          <w:bCs/>
          <w:color w:val="1D1D1D"/>
          <w:sz w:val="22"/>
          <w:szCs w:val="22"/>
        </w:rPr>
        <w:t xml:space="preserve">Czy bekuplast jest operatorem poolingu?</w:t>
      </w:r>
    </w:p>
    <w:p>
      <w:pPr>
        <w:spacing w:after="150" w:line="264"/>
      </w:pPr>
      <w:r>
        <w:rPr>
          <w:rFonts w:ascii="Calibri" w:cs="Calibri" w:eastAsia="Calibri" w:hAnsi="Calibri"/>
          <w:color w:val="2D2D2D"/>
          <w:sz w:val="21"/>
          <w:szCs w:val="21"/>
        </w:rPr>
        <w:t xml:space="preserve">Nie. bekuplast produkuje trwałe pojemniki zwrotne, które mogą zasilać systemy poolingowe – ich operatorzy to nasi potencjalni klienci, a nie konkurenci. Dostarczamy pojemniki w standardzie Euro.</w:t>
      </w:r>
    </w:p>
    <w:p>
      <w:pPr>
        <w:spacing w:after="80" w:before="240"/>
      </w:pPr>
      <w:r>
        <w:rPr>
          <w:rFonts w:ascii="Calibri" w:cs="Calibri" w:eastAsia="Calibri" w:hAnsi="Calibri"/>
          <w:b/>
          <w:bCs/>
          <w:color w:val="1D1D1D"/>
          <w:sz w:val="22"/>
          <w:szCs w:val="22"/>
        </w:rPr>
        <w:t xml:space="preserve">Czy palety plastikowe są kompatybilne z systemami magazynowymi klientów?</w:t>
      </w:r>
    </w:p>
    <w:p>
      <w:pPr>
        <w:spacing w:after="150" w:line="264"/>
      </w:pPr>
      <w:r>
        <w:rPr>
          <w:rFonts w:ascii="Calibri" w:cs="Calibri" w:eastAsia="Calibri" w:hAnsi="Calibri"/>
          <w:color w:val="2D2D2D"/>
          <w:sz w:val="21"/>
          <w:szCs w:val="21"/>
        </w:rPr>
        <w:t xml:space="preserve">Palety plastikowe Euro występują w wymiarach 1200×800 / 1200×1000 / 800×600 mm zgodnych ze standardem EURO-NORM.</w:t>
      </w:r>
    </w:p>
    <w:p>
      <w:pPr>
        <w:spacing w:after="80" w:before="240"/>
      </w:pPr>
      <w:r>
        <w:rPr>
          <w:rFonts w:ascii="Calibri" w:cs="Calibri" w:eastAsia="Calibri" w:hAnsi="Calibri"/>
          <w:b/>
          <w:bCs/>
          <w:color w:val="1D1D1D"/>
          <w:sz w:val="22"/>
          <w:szCs w:val="22"/>
        </w:rPr>
        <w:t xml:space="preserve">Czy palety plastikowe wymagają obróbki do eksportu poza UE?</w:t>
      </w:r>
    </w:p>
    <w:p>
      <w:pPr>
        <w:spacing w:after="150" w:line="264"/>
      </w:pPr>
      <w:r>
        <w:rPr>
          <w:rFonts w:ascii="Calibri" w:cs="Calibri" w:eastAsia="Calibri" w:hAnsi="Calibri"/>
          <w:color w:val="2D2D2D"/>
          <w:sz w:val="21"/>
          <w:szCs w:val="21"/>
        </w:rPr>
        <w:t xml:space="preserve">Nie – palety z tworzywa są wyłączone z normy ISPM-15. Eksportując do Wielkiej Brytanii, USA, Chin czy na Bliski Wschód, unikasz powracającego kosztu obróbki termicznej lub fumigacji oraz obowiązkowego oznakowania IPPC, który obciąża każdą paletę drewnianą.</w:t>
      </w:r>
    </w:p>
    <w:p>
      <w:pPr>
        <w:spacing w:after="80" w:before="240"/>
      </w:pPr>
      <w:r>
        <w:rPr>
          <w:rFonts w:ascii="Calibri" w:cs="Calibri" w:eastAsia="Calibri" w:hAnsi="Calibri"/>
          <w:b/>
          <w:bCs/>
          <w:color w:val="1D1D1D"/>
          <w:sz w:val="22"/>
          <w:szCs w:val="22"/>
        </w:rPr>
        <w:t xml:space="preserve">Czy macie pojemniki do transportu w kontrolowanej temperaturze (produkty chłodzone)?</w:t>
      </w:r>
    </w:p>
    <w:p>
      <w:pPr>
        <w:spacing w:after="150" w:line="264"/>
      </w:pPr>
      <w:r>
        <w:rPr>
          <w:rFonts w:ascii="Calibri" w:cs="Calibri" w:eastAsia="Calibri" w:hAnsi="Calibri"/>
          <w:color w:val="2D2D2D"/>
          <w:sz w:val="21"/>
          <w:szCs w:val="21"/>
        </w:rPr>
        <w:t xml:space="preserve">Tak – pojemniki basicline i basicline plus z opcją perforacji/wentylacji nadają się do transportu produktów chłodzonych; materiał dobieramy do wymagań temperaturowych.</w:t>
      </w:r>
    </w:p>
    <w:p>
      <w:pPr>
        <w:spacing w:after="80" w:before="240"/>
      </w:pPr>
      <w:r>
        <w:rPr>
          <w:rFonts w:ascii="Calibri" w:cs="Calibri" w:eastAsia="Calibri" w:hAnsi="Calibri"/>
          <w:b/>
          <w:bCs/>
          <w:color w:val="1D1D1D"/>
          <w:sz w:val="22"/>
          <w:szCs w:val="22"/>
        </w:rPr>
        <w:t xml:space="preserve">Jak wygląda pilotaż opakowań transportowych wielokrotnego użytku w 3PL?</w:t>
      </w:r>
    </w:p>
    <w:p>
      <w:pPr>
        <w:spacing w:after="150" w:line="264"/>
      </w:pPr>
      <w:r>
        <w:rPr>
          <w:rFonts w:ascii="Calibri" w:cs="Calibri" w:eastAsia="Calibri" w:hAnsi="Calibri"/>
          <w:color w:val="2D2D2D"/>
          <w:sz w:val="21"/>
          <w:szCs w:val="21"/>
        </w:rPr>
        <w:t xml:space="preserve">Wybieramy 1–2 klientów (najczęściej FMCG lub branża spożywcza) i jedną powtarzalną trasę. Wdrażamy palety plastikowe Euro oraz pojemniki basicline lub clever move box. Pilotaż prowadzimy etapami, a jego harmonogram ustalamy indywidualnie pod trasę i skalę.</w:t>
      </w:r>
    </w:p>
    <w:p>
      <w:pPr>
        <w:spacing w:after="80" w:before="240"/>
      </w:pPr>
      <w:r>
        <w:rPr>
          <w:rFonts w:ascii="Calibri" w:cs="Calibri" w:eastAsia="Calibri" w:hAnsi="Calibri"/>
          <w:b/>
          <w:bCs/>
          <w:color w:val="1D1D1D"/>
          <w:sz w:val="22"/>
          <w:szCs w:val="22"/>
        </w:rPr>
        <w:t xml:space="preserve">Czy oferujecie indywidualną konfigurację pod operatora 3PL?</w:t>
      </w:r>
    </w:p>
    <w:p>
      <w:pPr>
        <w:spacing w:after="150" w:line="264"/>
      </w:pPr>
      <w:r>
        <w:rPr>
          <w:rFonts w:ascii="Calibri" w:cs="Calibri" w:eastAsia="Calibri" w:hAnsi="Calibri"/>
          <w:color w:val="2D2D2D"/>
          <w:sz w:val="21"/>
          <w:szCs w:val="21"/>
        </w:rPr>
        <w:t xml:space="preserve">Tak – projektujemy pojemniki i palety pod konkretne wymagania 3PL. Produkcja na indywidualne zamówienie – minimalną wielkość zamówienia i czas realizacji projektu z prototypem ustalamy indywidualnie.</w:t>
      </w:r>
    </w:p>
    <w:p>
      <w:pPr>
        <w:spacing w:after="40" w:before="420"/>
      </w:pPr>
      <w:r>
        <w:rPr>
          <w:rFonts w:ascii="Calibri" w:cs="Calibri" w:eastAsia="Calibri" w:hAnsi="Calibri"/>
          <w:b/>
          <w:bCs/>
          <w:color w:val="65B32E"/>
          <w:spacing w:val="30"/>
          <w:sz w:val="15"/>
          <w:szCs w:val="15"/>
        </w:rPr>
        <w:t xml:space="preserve">KONTAKT</w:t>
      </w:r>
    </w:p>
    <w:p>
      <w:pPr>
        <w:pStyle w:val="Heading2"/>
        <w:pBdr>
          <w:bottom w:val="single" w:color="DEDEDE" w:sz="6" w:space="8"/>
        </w:pBdr>
        <w:spacing w:after="180" w:before="40"/>
      </w:pPr>
      <w:r>
        <w:rPr>
          <w:rFonts w:ascii="Calibri" w:cs="Calibri" w:eastAsia="Calibri" w:hAnsi="Calibri"/>
          <w:b/>
          <w:bCs/>
          <w:color w:val="427718"/>
          <w:sz w:val="27"/>
          <w:szCs w:val="27"/>
        </w:rPr>
        <w:t xml:space="preserve">Omówmy rozwiązanie dla Twojego procesu</w:t>
      </w:r>
    </w:p>
    <w:p>
      <w:pPr>
        <w:pStyle w:val="ListParagraph"/>
        <w:numPr>
          <w:ilvl w:val="0"/>
          <w:numId w:val="2"/>
        </w:numPr>
        <w:spacing w:after="100" w:line="264"/>
      </w:pPr>
      <w:r>
        <w:rPr>
          <w:rFonts w:ascii="Calibri" w:cs="Calibri" w:eastAsia="Calibri" w:hAnsi="Calibri"/>
          <w:color w:val="2D2D2D"/>
          <w:sz w:val="21"/>
          <w:szCs w:val="21"/>
        </w:rPr>
        <w:t xml:space="preserve">Szybki kontakt zwrotny</w:t>
      </w:r>
    </w:p>
    <w:p>
      <w:pPr>
        <w:pStyle w:val="ListParagraph"/>
        <w:numPr>
          <w:ilvl w:val="0"/>
          <w:numId w:val="2"/>
        </w:numPr>
        <w:spacing w:after="100" w:line="264"/>
      </w:pPr>
      <w:r>
        <w:rPr>
          <w:rFonts w:ascii="Calibri" w:cs="Calibri" w:eastAsia="Calibri" w:hAnsi="Calibri"/>
          <w:color w:val="2D2D2D"/>
          <w:sz w:val="21"/>
          <w:szCs w:val="21"/>
        </w:rPr>
        <w:t xml:space="preserve">Rozmawiamy o Twoich konkretnych potrzebach</w:t>
      </w:r>
    </w:p>
    <w:p>
      <w:pPr>
        <w:pStyle w:val="ListParagraph"/>
        <w:numPr>
          <w:ilvl w:val="0"/>
          <w:numId w:val="2"/>
        </w:numPr>
        <w:spacing w:after="100" w:line="264"/>
      </w:pPr>
      <w:r>
        <w:rPr>
          <w:rFonts w:ascii="Calibri" w:cs="Calibri" w:eastAsia="Calibri" w:hAnsi="Calibri"/>
          <w:color w:val="2D2D2D"/>
          <w:sz w:val="21"/>
          <w:szCs w:val="21"/>
        </w:rPr>
        <w:t xml:space="preserve">Bezpłatnie i bez zobowiązań</w:t>
      </w:r>
    </w:p>
    <w:p>
      <w:pPr>
        <w:pStyle w:val="ListParagraph"/>
        <w:numPr>
          <w:ilvl w:val="0"/>
          <w:numId w:val="2"/>
        </w:numPr>
        <w:spacing w:after="100" w:line="264"/>
      </w:pPr>
      <w:r>
        <w:rPr>
          <w:rFonts w:ascii="Calibri" w:cs="Calibri" w:eastAsia="Calibri" w:hAnsi="Calibri"/>
          <w:color w:val="2D2D2D"/>
          <w:sz w:val="21"/>
          <w:szCs w:val="21"/>
        </w:rPr>
        <w:t xml:space="preserve">Możliwość pozyskania próbek produktów</w:t>
      </w:r>
    </w:p>
    <w:p>
      <w:pPr>
        <w:pStyle w:val="Heading3"/>
        <w:spacing w:after="90" w:before="260"/>
      </w:pPr>
      <w:r>
        <w:rPr>
          <w:rFonts w:ascii="Calibri" w:cs="Calibri" w:eastAsia="Calibri" w:hAnsi="Calibri"/>
          <w:b/>
          <w:bCs/>
          <w:color w:val="1D1D1D"/>
          <w:sz w:val="23"/>
          <w:szCs w:val="23"/>
        </w:rPr>
        <w:t xml:space="preserve">Pozostaw dane kontaktowe</w:t>
      </w:r>
    </w:p>
    <w:p>
      <w:pPr>
        <w:spacing w:after="160" w:line="240"/>
        <w:ind w:left="240"/>
      </w:pPr>
      <w:r>
        <w:rPr>
          <w:rFonts w:ascii="Calibri" w:cs="Calibri" w:eastAsia="Calibri" w:hAnsi="Calibri"/>
          <w:b/>
          <w:bCs/>
          <w:color w:val="9A9A9A"/>
          <w:sz w:val="17"/>
          <w:szCs w:val="17"/>
        </w:rPr>
        <w:t xml:space="preserve">Pola: </w:t>
      </w:r>
      <w:r>
        <w:rPr>
          <w:rFonts w:ascii="Calibri" w:cs="Calibri" w:eastAsia="Calibri" w:hAnsi="Calibri"/>
          <w:color w:val="717171"/>
          <w:sz w:val="17"/>
          <w:szCs w:val="17"/>
        </w:rPr>
        <w:t xml:space="preserve">Imię i nazwisko  ·  Firma  ·  E-mail  ·  Telefon</w:t>
      </w:r>
    </w:p>
    <w:p>
      <w:pPr>
        <w:spacing w:after="160" w:line="240"/>
        <w:ind w:left="240"/>
      </w:pPr>
      <w:r>
        <w:rPr>
          <w:rFonts w:ascii="Calibri" w:cs="Calibri" w:eastAsia="Calibri" w:hAnsi="Calibri"/>
          <w:b/>
          <w:bCs/>
          <w:color w:val="9A9A9A"/>
          <w:sz w:val="17"/>
          <w:szCs w:val="17"/>
        </w:rPr>
        <w:t xml:space="preserve">Zgoda: </w:t>
      </w:r>
      <w:r>
        <w:rPr>
          <w:rFonts w:ascii="Calibri" w:cs="Calibri" w:eastAsia="Calibri" w:hAnsi="Calibri"/>
          <w:color w:val="717171"/>
          <w:sz w:val="17"/>
          <w:szCs w:val="17"/>
        </w:rPr>
        <w:t xml:space="preserve">Wyrażam zgodę na przetwarzanie danych osobowych i potwierdzam, że zapoznałem/am się z Polityką prywatności dotyczącą zasad ich przetwarzania.</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Proszę o kontakt</w:t>
      </w:r>
    </w:p>
    <w:sectPr>
      <w:footerReference w:type="default" r:id="rId7"/>
      <w:pgSz w:w="11906" w:h="16838"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4" w:space="8"/>
      </w:pBdr>
      <w:tabs>
        <w:tab w:val="right" w:pos="9412"/>
      </w:tabs>
    </w:pPr>
    <w:r>
      <w:rPr>
        <w:rFonts w:ascii="Calibri" w:cs="Calibri" w:eastAsia="Calibri" w:hAnsi="Calibri"/>
        <w:color w:val="9A9A9A"/>
        <w:sz w:val="15"/>
        <w:szCs w:val="15"/>
      </w:rPr>
      <w:t xml:space="preserve">Strona 06 – Logistyka i transport (3PL) · makieta v17</w:t>
    </w:r>
    <w:r>
      <w:rPr>
        <w:rFonts w:ascii="Calibri" w:cs="Calibri" w:eastAsia="Calibri" w:hAnsi="Calibri"/>
        <w:sz w:val="15"/>
        <w:szCs w:val="15"/>
      </w:rPr>
      <w:t xml:space="preserve">	</w:t>
    </w:r>
    <w:r>
      <w:rPr>
        <w:rFonts w:ascii="Calibri" w:cs="Calibri" w:eastAsia="Calibri" w:hAnsi="Calibri"/>
        <w:color w:val="9A9A9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65B32E"/>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Strona 06 – Logistyka i transport (3PL)</dc:title>
  <dc:creator>crear agency</dc:creator>
  <dc:description>Treść makiety branżowej PPWR v17 do recenzji</dc:description>
  <cp:lastModifiedBy>Un-named</cp:lastModifiedBy>
  <cp:revision>1</cp:revision>
  <dcterms:created xsi:type="dcterms:W3CDTF">2026-08-11T10:23:34.021Z</dcterms:created>
  <dcterms:modified xsi:type="dcterms:W3CDTF">2026-08-11T10:23:34.021Z</dcterms:modified>
</cp:coreProperties>
</file>

<file path=docProps/custom.xml><?xml version="1.0" encoding="utf-8"?>
<Properties xmlns="http://schemas.openxmlformats.org/officeDocument/2006/custom-properties" xmlns:vt="http://schemas.openxmlformats.org/officeDocument/2006/docPropsVTypes"/>
</file>