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D1D1D"/>
          <w:sz w:val="40"/>
          <w:szCs w:val="40"/>
        </w:rPr>
        <w:t xml:space="preserve">Strona 08 – Produkcja przemysłowa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Makieta v17 · /branzowe/produkcja-przemyslowa/</w:t>
      </w:r>
    </w:p>
    <w:p>
      <w:pPr>
        <w:spacing w:after="3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Persona: Production Manager / Plant Director</w:t>
      </w:r>
    </w:p>
    <w:p>
      <w:pPr>
        <w:spacing w:after="140" w:line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Główna fraza: pojemniki transportowe</w:t>
      </w:r>
    </w:p>
    <w:p>
      <w:pPr>
        <w:pBdr>
          <w:top w:val="single" w:color="DEDEDE" w:sz="6" w:space="10"/>
        </w:pBdr>
        <w:spacing w:after="120" w:line="240"/>
      </w:pPr>
      <w:r>
        <w:rPr>
          <w:rFonts w:ascii="Calibri" w:cs="Calibri" w:eastAsia="Calibri" w:hAnsi="Calibri"/>
          <w:i/>
          <w:iCs/>
          <w:color w:val="717171"/>
          <w:sz w:val="17"/>
          <w:szCs w:val="17"/>
        </w:rPr>
        <w:t xml:space="preserve">Dokument zawiera treść makiety do recenzji. Komentarze prosimy nanosić bezpośrednio w pliku.</w:t>
      </w:r>
    </w:p>
    <w:p>
      <w:pPr>
        <w:pBdr>
          <w:bottom w:val="single" w:color="DEDEDE" w:sz="6" w:space="2"/>
        </w:pBdr>
        <w:spacing w:after="260" w:before="120"/>
      </w:pPr>
      <w:r>
        <w:rPr>
          <w:rFonts w:ascii="Calibri" w:cs="Calibri" w:eastAsia="Calibri" w:hAnsi="Calibri"/>
          <w:sz w:val="2"/>
          <w:szCs w:val="2"/>
        </w:rPr>
        <w:t xml:space="preserve"/>
      </w:r>
    </w:p>
    <w:p>
      <w:pPr>
        <w:pStyle w:val="Heading1"/>
        <w:spacing w:after="160" w:before="120"/>
      </w:pPr>
      <w:r>
        <w:rPr>
          <w:rFonts w:ascii="Calibri" w:cs="Calibri" w:eastAsia="Calibri" w:hAnsi="Calibri"/>
          <w:b/>
          <w:bCs/>
          <w:color w:val="1D1D1D"/>
          <w:sz w:val="32"/>
          <w:szCs w:val="32"/>
        </w:rPr>
        <w:t xml:space="preserve">Pojemniki transportowe dla produkcji przemysłowej</w:t>
      </w:r>
    </w:p>
    <w:p>
      <w:pPr>
        <w:spacing w:after="200" w:line="276"/>
      </w:pPr>
      <w:r>
        <w:rPr>
          <w:rFonts w:ascii="Calibri" w:cs="Calibri" w:eastAsia="Calibri" w:hAnsi="Calibri"/>
          <w:color w:val="434343"/>
          <w:sz w:val="23"/>
          <w:szCs w:val="23"/>
        </w:rPr>
        <w:t xml:space="preserve">Pojemniki transportowe i palety plastikowe Euro dla AGD, elektroniki, mebli, chemii i budownictwa. Rozwiązania wspierające systemy opakowań wielokrotnego użytku zgodne z wymaganiami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Przyciski: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Zapytaj eksperta  ·  Przeprowadź audyt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NAJWAŻNIEJSZE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Kluczowe wnioski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 PPWR przewiduje, że od 1 stycznia 2030 r. opakowania transportowe w obiegu wewnątrz firmy będą zdatne do ponownego użycia w ramach systemu ponownego użycia.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Dotyczy to przepływu między miejscami działalności tego samego przedsiębiorstwa oraz przedsiębiorstw powiązanych i partnerskich.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Obieg zwrotny opakowań transportowych wewnątrz firmy stosuje się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w przemyśle m.in. w motoryzacji, AGD i elektronice. Art. 29 ust. 2 nie wymaga przy tym obiegu zamkniętego – system ponownego użycia może działać także w obiegu otwartym, ze zmianą właściciela opakowania.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Rozwiązania dla wielu branż przemysłu w jednym miejscu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– AGD, RTV, elektronika konsumencka, meble, chemia ogólna, budownictwo, tekstylia, narzędzia i części zamienne.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Pojemniki basicline plus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(baza 800×600 mm) sprawdzają się przy dużych wolumenach w produkcji (AGD, meble, narzędzia).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plastikowe Euro</w:t>
      </w:r>
      <w:r>
        <w:rPr>
          <w:rFonts w:ascii="Calibri" w:cs="Calibri" w:eastAsia="Calibri" w:hAnsi="Calibri"/>
          <w:b w:val="false"/>
          <w:bCs w:val="false"/>
          <w:color w:val="2D2D2D"/>
          <w:sz w:val="21"/>
          <w:szCs w:val="21"/>
        </w:rPr>
        <w:t xml:space="preserve"> mogą stanowić alternatywę dla palet drewnianych EPAL – nie podlegają obróbce ISPM-15 i cechują się długą żywotnością w obiegu zamkniętym.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WYZWANIA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Cztery wyzwania producentów przemysłowych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Pokazujemy, jak pojemniki transportowe domykają obieg między zakładami w produkcji przemysłowej.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Obieg wewnątrz firmy w systemie ponownego użycia – art. 29 ust. 2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Producent AGD z 3 zakładami w Polsce i 2 centrami dystrybucyjnymi – PPWR przewiduje, że od 1 stycznia 2030 r. pojemniki transportowe krążące między tymi 5 lokalizacjami będą zdatne do ponownego użycia w ramach systemu ponownego użycia.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basicline / basicline plus – EURO-NORM · palety plastikowe Euro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Pojemniki dla AKL i magazynów automatycznych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Nowoczesna produkcja przemysłowa to automatyczny magazyn (AKL), linia produkcyjna i automatyczna stacja pakowania. Pojemniki muszą mieć precyzyjne, powtarzalne wymiary zgodne z EURO-NORM, zapewniające niezawodną obsługę w magazynach automatycznych (AKL).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silverline / contecline – AKL · precyzja EURO-NORM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Opakowania dla komponentów wielkogabarytowych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Producenci AGD (lodówki, pralki), mebli i materiałów budowlanych potrzebują opakowań większych niż standardowe pojemniki – do komponentów wielkogabarytowych sprawdzają się palety plastikowe i pojemniki wielkogabarytowe.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Palety plastikowe i pojemniki wielkogabarytowe – 1200×1000 / 1200×800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04. Palety drewniane i obróbka ISPM-15 przy eksporcie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Palety drewniane w eksporcie poza UE wymagają obróbki fitosanitarnej według normy ISPM-15 (obróbka termiczna lub fumigacja) i znaku IPPC. Palety z tworzywa są poza zakresem tej normy – nie wymagają obróbki fitosanitarnej ani oznakowania IPPC wymaganego dla palet drewnianych.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Produkt: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Palety plastikowe Euro – bez obróbki ISPM-15 · długa żywotność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PRODUKTY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Pojemniki i palety dla produkcji przemysłowej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silverline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Obieg zamknięty między zakładami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Uniwersalne B2B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basicline plus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AGD, meble, narzędzia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contecline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Magazyny AKL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ESD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Elektronika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Palety Euro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Bez obróbki ISPM-15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ERGline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dystrybucja, logistyka zwrotna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PPWR · ZGODNOŚĆ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PPWR dla producentów – art. 29 i co konkretnie musisz zrobić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ust. 2 PPWR przewiduje, że od 1 stycznia 2030 r. opakowania transportowe w obiegu wewnątrz firmy – między zakładami produkcyjnymi, magazynami DC i centrami dystrybucji tego samego podmiotu lub przedsiębiorstw powiązanych i partnerskich – będą opakowaniami zdatnymi do ponownego użycia w ramach systemu ponownego użycia. Sama trwałość pojemnika nie wystarczy: opakowanie musi działać w systemie obejmującym zwrot, mycie i ewidencję obiegu. W tym reżimie nie obowiązuje próg procentowy – wymóg obejmuje wszystkie opakowania transportowe w formach wymienionych w art. 29 ust. 1: palety, składane pojemniki z tworzyw sztucznych, pudła, tace, skrzynie z tworzywa, duże pojemniki do przewozu luzem (DPPL), wiaderka, bębny i kanistry wszelkich rozmiarów i z wszelkich materiałów, w tym formaty opakowań elastycznych, a także opakowania paletowe i taśmy stabilizujące ładunek na palecie.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2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PPWR przewiduje, że od 1 stycznia 2030 r. opakowania transportowe w obiegu między zakładami tego samego przedsiębiorstwa oraz przedsiębiorstw powiązanych i partnerskich będą opakowaniami zdatnymi do ponownego użycia w ramach systemu ponownego użycia.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29 ust. 1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Podmiot gospodarczy stosujący opakowania transportowe zapewnia, aby co najmniej 40% z nich działało w ramach systemu ponownego użycia (od 1 stycznia 2030 r.); od 1 stycznia 2040 r. – dążenie do 70%.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5 ust. 5 · PFAS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Ogranicza zawartość PFAS we wszystkich opakowaniach przeznaczonych do kontaktu z żywnością (od 12 sierpnia 2026 r.). Dotyczy wytwórców takich opakowań. Pozostała część art. 5, w tym limit sumy metali ciężkich, obejmuje wszystkie opakowania.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Art. 24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Zakaz zbyt dużych opakowań – pusta przestrzeń w opakowaniach zbiorczych, transportowych i e-commerce nie może przekraczać 50% objętości. Nie chodzi o liczbę warstw opakowania, lecz o dobranie jego rozmiaru do zawartości: przestrzeń wypełnioną materiałami wypełniającymi – ścinkami papieru, wypełniaczami powietrznymi, folią bąbelkową, wypełniaczami gąbkowymi i piankowymi, wełną drzewną czy chipsami polistyrenowymi lub styropianowymi – również uznaje się za pustą przestrzeń. Wymóg zaczyna obowiązywać 1 stycznia 2030 r. albo 3 lata od wejścia w życie aktów wykonawczych Komisji – zależnie od tego, która data jest późniejsza.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NASTĘPNE KROKI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Co możesz zrobić już teraz</w:t>
      </w:r>
    </w:p>
    <w:p>
      <w:pPr>
        <w:pBdr>
          <w:left w:val="single" w:color="65B32E" w:sz="18" w:space="14"/>
        </w:pBdr>
        <w:spacing w:after="60" w:before="160" w:line="264"/>
        <w:ind w:left="340"/>
      </w:pPr>
      <w:r>
        <w:rPr>
          <w:rFonts w:ascii="Calibri" w:cs="Calibri" w:eastAsia="Calibri" w:hAnsi="Calibri"/>
          <w:i/>
          <w:iCs/>
          <w:color w:val="434343"/>
          <w:sz w:val="21"/>
          <w:szCs w:val="21"/>
        </w:rPr>
        <w:t xml:space="preserve">PPWR przewiduje, że od 1 stycznia 2030 r. opakowania transportowe w obiegu między różnymi miejscami działalności tego samego podmiotu oraz przedsiębiorstw powiązanych i partnerskich w UE będą zdatne do ponownego użycia w ramach systemu ponownego użycia (art. 29 ust. 2).</w:t>
      </w:r>
    </w:p>
    <w:p>
      <w:pPr>
        <w:spacing w:after="220" w:line="240"/>
        <w:ind w:left="340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zgodnie z rozporządzeniem (UE) 2025/40 Parlamentu Europejskiego i Rady z dnia 19 grudnia 2024 r. w sprawie opakowań i odpadów opakowaniowych (PPWR)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01. Przeprowadź audyt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Sprawdź gotowość zakładu do wymogów PPWR.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Przejdź do audytu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02. Oblicz koszt PPWR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opakowania jednorazowe i zwrotne oraz zobacz próg rentowności.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Otwórz kalkulator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03. Zapytaj eksperta</w:t>
      </w:r>
    </w:p>
    <w:p>
      <w:pPr>
        <w:spacing w:after="9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Zapytaj eksperta o PPWR w swojej branży.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Umów rozmowę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CASE STUDIES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Opakowania wielokrotnego użytku we wdrożeniach bekuplast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Każde wdrożenie to osobna historia naszego Klienta – indywidualne wymagania, do których dopasowujemy optymalne rozwiązania.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ROSSMANN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Intralogistyka centralnego magazynu (Landsberg, Niemcy) – pojemniki obiegowe w magazynie centralnym.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2025  ·  160 000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Orbico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beauty i FMCG (PL) – pojemniki contecline dla zautomatyzowanych magazynów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2023  ·  46 000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Onninen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materiałów budowlanych i instalacyjnych (PL) – pojemniki contecline.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2019  ·  40 000 pojemników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Auto Partner SA</w:t>
      </w:r>
    </w:p>
    <w:p>
      <w:pPr>
        <w:spacing w:after="6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Dystrybucja części samochodowych (PL) – pojemniki contecline i silverline w magazynach AKL/Shuttle.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color w:val="717171"/>
          <w:sz w:val="17"/>
          <w:szCs w:val="17"/>
        </w:rPr>
        <w:t xml:space="preserve">2022  ·  27 000 pojemników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KOSZT PPWR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Koszt przejścia na opakowania wielokrotnego użytku</w:t>
      </w:r>
    </w:p>
    <w:p>
      <w:pPr>
        <w:spacing w:after="18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Porównaj koszt opakowań jednorazowych z kosztem pojemników zwrotnych w obiegu zamkniętym – kalkulator pomoże oszacować próg rentowności przejścia na opakowania wielokrotnego użytku.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Oblicz koszt PPWR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POWIĄZANE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Może Cię też zainteresować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Intralogistyka i magazyn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AKL, shuttle, miniload dla automatyzacji magazynowej.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Przemysł motoryzacyjny i automotive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VDA-KLT, dostawcy tier-1/2/3, closed-loop OEM.</w:t>
      </w:r>
    </w:p>
    <w:p>
      <w:pPr>
        <w:pStyle w:val="ListParagraph"/>
        <w:numPr>
          <w:ilvl w:val="0"/>
          <w:numId w:val="2"/>
        </w:numPr>
        <w:spacing w:after="120" w:line="264"/>
      </w:pPr>
      <w:r>
        <w:rPr>
          <w:rFonts w:ascii="Calibri" w:cs="Calibri" w:eastAsia="Calibri" w:hAnsi="Calibri"/>
          <w:b/>
          <w:bCs/>
          <w:color w:val="1D1D1D"/>
          <w:sz w:val="21"/>
          <w:szCs w:val="21"/>
        </w:rPr>
        <w:t xml:space="preserve">Farmacja i kosmetyki</w:t>
      </w:r>
      <w:r>
        <w:rPr>
          <w:rFonts w:ascii="Calibri" w:cs="Calibri" w:eastAsia="Calibri" w:hAnsi="Calibri"/>
          <w:color w:val="2D2D2D"/>
          <w:sz w:val="21"/>
          <w:szCs w:val="21"/>
        </w:rPr>
        <w:t xml:space="preserve"> – Pojemniki ESD dla farmacji i chemii specjalistycznej.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FAQ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Najczęściej zadawane pytania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Co to jest art. 29 ust. 2 PPWR i kogo dotyczy?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ust. 2 PPWR przewiduje, że od 1 stycznia 2030 r. opakowania transportowe w obiegu wewnątrz firmy – między różnymi miejscami działalności tego samego podmiotu oraz przedsiębiorstw powiązanych i partnerskich – będą zdatne do ponownego użycia w ramach systemu ponownego użycia. Dotyczy podmiotów gospodarczych stosujących opakowania transportowe w takim obiegu.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pojedynczy zakład produkcyjny jest objęty art. 29?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Art. 29 ust. 2 dotyczy opakowań transportowych w obiegu między różnymi miejscami działalności tego samego podmiotu oraz przedsiębiorstw powiązanych i partnerskich – pojedynczy zakład bez takiego obiegu co do zasady nie podlega tej części przepisów. Może go jednak objąć art. 29 ust. 1 (cel 40% dla podmiotów stosujących opakowania transportowe), gdy dostarcza produkty dalej w łańcuchu.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Jakie pojemniki polecacie do obiegu zamkniętego w branży AGD?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Pojemniki basicline plus dla średnich i dużych komponentów AGD, silverline dla magazynów AKL oraz palety plastikowe Euro dla transportu międzyzakładowego.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palety plastikowe Euro są kompatybilne z systemami magazynów automatycznych (AKL)?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produkujemy palety plastikowe Euro w standardowych wymiarach EURO-NORM, kompatybilne z powszechnie stosowanymi systemami magazynów automatycznych. Dokładne wymiary dobieramy do wymagań Twojej instalacji.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Ile cykli wytrzymują palety plastikowe?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Palety plastikowe zapewniają wieloletnią eksploatację w obiegu zamkniętym – konkretna żywotność zależy od profilu obciążeń i liczby cykli w Twoim procesie. Palety drewniane zwykle mają krótszą żywotność i wymagają napraw oraz wymiany uszkodzonych elementów.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mogę porównać koszt obiegu zamkniętego z obecnym modelem jednorazowym?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kalkulator kosztu PPWR pomoże porównać obecny model z obiegiem zamkniętym: podajesz liczbę dostaw między zakładami, obecny model i skalę roczną, a otrzymujesz wynik kierunkowy w zakresie progu rentowności przejścia na opakowania zwrotne.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1D1D1D"/>
          <w:sz w:val="22"/>
          <w:szCs w:val="22"/>
        </w:rPr>
        <w:t xml:space="preserve">Czy oferujecie znakowanie indywidualne dla producenta?</w:t>
      </w:r>
    </w:p>
    <w:p>
      <w:pPr>
        <w:spacing w:after="15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Tak – oferujemy indywidualne znakowanie i personalizację pojemników (m.in. logo firmy), a w razie potrzeby przygotowanie miejsca pod tag RFID. Dostępne metody i szczegóły dobieramy pod konkretne zastosowanie. Docelowo opakowania obejmie zharmonizowane oznakowanie (cyfrowy nośnik danych) przewidziane w PPWR – szczegółowy termin i format wynikają z unijnych aktów wykonawczych.</w:t>
      </w:r>
    </w:p>
    <w:p>
      <w:pPr>
        <w:spacing w:after="40" w:before="420"/>
      </w:pPr>
      <w:r>
        <w:rPr>
          <w:rFonts w:ascii="Calibri" w:cs="Calibri" w:eastAsia="Calibri" w:hAnsi="Calibri"/>
          <w:b/>
          <w:bCs/>
          <w:color w:val="65B32E"/>
          <w:spacing w:val="30"/>
          <w:sz w:val="15"/>
          <w:szCs w:val="15"/>
        </w:rPr>
        <w:t xml:space="preserve">KONTAKT</w:t>
      </w:r>
    </w:p>
    <w:p>
      <w:pPr>
        <w:pStyle w:val="Heading2"/>
        <w:pBdr>
          <w:bottom w:val="single" w:color="DEDEDE" w:sz="6" w:space="8"/>
        </w:pBdr>
        <w:spacing w:after="180" w:before="40"/>
      </w:pPr>
      <w:r>
        <w:rPr>
          <w:rFonts w:ascii="Calibri" w:cs="Calibri" w:eastAsia="Calibri" w:hAnsi="Calibri"/>
          <w:b/>
          <w:bCs/>
          <w:color w:val="427718"/>
          <w:sz w:val="27"/>
          <w:szCs w:val="27"/>
        </w:rPr>
        <w:t xml:space="preserve">Omówmy rozwiązanie dla Twojego procesu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Szybki kontakt zwrotny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Rozmawiamy o Twoich konkretnych potrzebach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Bezpłatnie i bez zobowiązań</w:t>
      </w:r>
    </w:p>
    <w:p>
      <w:pPr>
        <w:pStyle w:val="ListParagraph"/>
        <w:numPr>
          <w:ilvl w:val="0"/>
          <w:numId w:val="2"/>
        </w:numPr>
        <w:spacing w:after="100" w:line="264"/>
      </w:pPr>
      <w:r>
        <w:rPr>
          <w:rFonts w:ascii="Calibri" w:cs="Calibri" w:eastAsia="Calibri" w:hAnsi="Calibri"/>
          <w:color w:val="2D2D2D"/>
          <w:sz w:val="21"/>
          <w:szCs w:val="21"/>
        </w:rPr>
        <w:t xml:space="preserve">Możliwość pozyskania próbek produktów</w:t>
      </w:r>
    </w:p>
    <w:p>
      <w:pPr>
        <w:pStyle w:val="Heading3"/>
        <w:spacing w:after="90" w:before="260"/>
      </w:pPr>
      <w:r>
        <w:rPr>
          <w:rFonts w:ascii="Calibri" w:cs="Calibri" w:eastAsia="Calibri" w:hAnsi="Calibri"/>
          <w:b/>
          <w:bCs/>
          <w:color w:val="1D1D1D"/>
          <w:sz w:val="23"/>
          <w:szCs w:val="23"/>
        </w:rPr>
        <w:t xml:space="preserve">Pozostaw dane kontaktowe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Pola: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Imię i nazwisko  ·  Firma  ·  E-mail  ·  Telefon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Zgoda: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Wyrażam zgodę na przetwarzanie danych osobowych i potwierdzam, że zapoznałem/am się z Polityką prywatności dotyczącą zasad ich przetwarzania.</w:t>
      </w:r>
    </w:p>
    <w:p>
      <w:pPr>
        <w:spacing w:after="160" w:line="240"/>
        <w:ind w:left="240"/>
      </w:pPr>
      <w:r>
        <w:rPr>
          <w:rFonts w:ascii="Calibri" w:cs="Calibri" w:eastAsia="Calibri" w:hAnsi="Calibri"/>
          <w:b/>
          <w:bCs/>
          <w:color w:val="9A9A9A"/>
          <w:sz w:val="17"/>
          <w:szCs w:val="17"/>
        </w:rPr>
        <w:t xml:space="preserve">Przycisk: </w:t>
      </w:r>
      <w:r>
        <w:rPr>
          <w:rFonts w:ascii="Calibri" w:cs="Calibri" w:eastAsia="Calibri" w:hAnsi="Calibri"/>
          <w:color w:val="717171"/>
          <w:sz w:val="17"/>
          <w:szCs w:val="17"/>
        </w:rPr>
        <w:t xml:space="preserve">Proszę o kontakt</w:t>
      </w:r>
    </w:p>
    <w:sectPr>
      <w:footerReference w:type="default" r:id="rId7"/>
      <w:pgSz w:w="11906" w:h="16838" w:orient="portrait"/>
      <w:pgMar w:top="1247" w:right="1247" w:bottom="1133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EDE" w:sz="4" w:space="8"/>
      </w:pBdr>
      <w:tabs>
        <w:tab w:val="right" w:pos="9412"/>
      </w:tabs>
    </w:pPr>
    <w:r>
      <w:rPr>
        <w:rFonts w:ascii="Calibri" w:cs="Calibri" w:eastAsia="Calibri" w:hAnsi="Calibri"/>
        <w:color w:val="9A9A9A"/>
        <w:sz w:val="15"/>
        <w:szCs w:val="15"/>
      </w:rPr>
      <w:t xml:space="preserve">Strona 08 – Produkcja przemysłowa · makieta v17</w:t>
    </w:r>
    <w:r>
      <w:rPr>
        <w:rFonts w:ascii="Calibri" w:cs="Calibri" w:eastAsia="Calibri" w:hAnsi="Calibri"/>
        <w:sz w:val="15"/>
        <w:szCs w:val="15"/>
      </w:rPr>
      <w:t xml:space="preserve">	</w:t>
    </w:r>
    <w:r>
      <w:rPr>
        <w:rFonts w:ascii="Calibri" w:cs="Calibri" w:eastAsia="Calibri" w:hAnsi="Calibri"/>
        <w:color w:val="9A9A9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20"/>
      </w:pPr>
      <w:rPr>
        <w:rFonts w:ascii="Calibri" w:cs="Calibri" w:eastAsia="Calibri" w:hAnsi="Calibri"/>
        <w:color w:val="65B32E"/>
        <w:sz w:val="21"/>
        <w:szCs w:val="2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D2D2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Strona 08 – Produkcja przemysłowa</dc:title>
  <dc:creator>crear agency</dc:creator>
  <dc:description>Treść makiety branżowej PPWR v17 do recenzji</dc:description>
  <cp:lastModifiedBy>Un-named</cp:lastModifiedBy>
  <cp:revision>1</cp:revision>
  <dcterms:created xsi:type="dcterms:W3CDTF">2026-08-11T10:23:34.034Z</dcterms:created>
  <dcterms:modified xsi:type="dcterms:W3CDTF">2026-08-11T10:23:34.034Z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